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3A04" w14:textId="5857391D" w:rsidR="00B102DE" w:rsidRPr="009435C9" w:rsidRDefault="00B102DE" w:rsidP="00B102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AACTT components of the PPRO study.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102DE" w14:paraId="4747F59E" w14:textId="77777777" w:rsidTr="00735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4A6321" w14:textId="77777777" w:rsidR="00B102DE" w:rsidRPr="007043CE" w:rsidRDefault="00B102DE" w:rsidP="00735CB7">
            <w:pPr>
              <w:spacing w:line="48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bCs w:val="0"/>
                <w:sz w:val="24"/>
                <w:szCs w:val="24"/>
              </w:rPr>
              <w:t>AACTT Component</w:t>
            </w:r>
          </w:p>
        </w:tc>
        <w:tc>
          <w:tcPr>
            <w:tcW w:w="6611" w:type="dxa"/>
          </w:tcPr>
          <w:p w14:paraId="6EC99AE3" w14:textId="77777777" w:rsidR="00B102DE" w:rsidRPr="006F0E4E" w:rsidRDefault="00B102DE" w:rsidP="00735CB7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bCs w:val="0"/>
                <w:sz w:val="24"/>
                <w:szCs w:val="24"/>
              </w:rPr>
              <w:t>PPR</w:t>
            </w:r>
            <w:r w:rsidRPr="007043CE">
              <w:rPr>
                <w:rFonts w:ascii="Times New Roman" w:hAnsi="Times New Roman" w:cs="Times New Roman"/>
                <w:sz w:val="24"/>
                <w:szCs w:val="24"/>
              </w:rPr>
              <w:t>O-Behave study</w:t>
            </w:r>
          </w:p>
        </w:tc>
      </w:tr>
      <w:tr w:rsidR="00B102DE" w14:paraId="1FB40658" w14:textId="77777777" w:rsidTr="0073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A691AE" w14:textId="77777777" w:rsidR="00B102DE" w:rsidRPr="00F422C1" w:rsidRDefault="00B102DE" w:rsidP="00735CB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sz w:val="24"/>
                <w:szCs w:val="24"/>
              </w:rPr>
              <w:t>Action(s)</w:t>
            </w:r>
          </w:p>
        </w:tc>
        <w:tc>
          <w:tcPr>
            <w:tcW w:w="6611" w:type="dxa"/>
          </w:tcPr>
          <w:p w14:paraId="472F8D89" w14:textId="77777777" w:rsidR="00B102DE" w:rsidRDefault="00B102DE" w:rsidP="00735CB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standard clinical assessment of the patient to determine eligibility. Includes establishing mechanisms of injury and liaising with the team. The decision to recruit a patient typically lies with the consultant.</w:t>
            </w:r>
          </w:p>
          <w:p w14:paraId="0655ABFF" w14:textId="77777777" w:rsidR="00B102DE" w:rsidRPr="00F422C1" w:rsidRDefault="00B102DE" w:rsidP="00735CB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Intervention delivery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F422C1">
              <w:rPr>
                <w:rFonts w:ascii="Times New Roman" w:hAnsi="Times New Roman" w:cs="Times New Roman"/>
                <w:sz w:val="24"/>
                <w:szCs w:val="24"/>
              </w:rPr>
              <w:t>insertion of a REBOA catheter through the femoral artery (cannulation)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2DE" w14:paraId="00AF79AB" w14:textId="77777777" w:rsidTr="00735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6413FE" w14:textId="77777777" w:rsidR="00B102DE" w:rsidRPr="00F422C1" w:rsidRDefault="00B102DE" w:rsidP="00735CB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sz w:val="24"/>
                <w:szCs w:val="24"/>
              </w:rPr>
              <w:t>Actor(s)</w:t>
            </w:r>
          </w:p>
        </w:tc>
        <w:tc>
          <w:tcPr>
            <w:tcW w:w="6611" w:type="dxa"/>
          </w:tcPr>
          <w:p w14:paraId="125FCFB1" w14:textId="77777777" w:rsidR="00B102DE" w:rsidRDefault="00B102DE" w:rsidP="00735CB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HEMS team – 2/3 people (usually 1 or 2 doctors and a paramedic, sometimes a registrar). </w:t>
            </w:r>
          </w:p>
        </w:tc>
      </w:tr>
      <w:tr w:rsidR="00B102DE" w14:paraId="56B20A6A" w14:textId="77777777" w:rsidTr="0073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DB49B8" w14:textId="77777777" w:rsidR="00B102DE" w:rsidRPr="00F422C1" w:rsidRDefault="00B102DE" w:rsidP="00735CB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</w:p>
        </w:tc>
        <w:tc>
          <w:tcPr>
            <w:tcW w:w="6611" w:type="dxa"/>
          </w:tcPr>
          <w:p w14:paraId="05A80552" w14:textId="77777777" w:rsidR="00B102DE" w:rsidRDefault="00B102DE" w:rsidP="00735CB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Physical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outdoors, can be in turbulent conditions, in a public place (e.g. train station) or indoors in a private residence.</w:t>
            </w:r>
          </w:p>
          <w:p w14:paraId="19E0C1D4" w14:textId="77777777" w:rsidR="00B102DE" w:rsidRDefault="00B102DE" w:rsidP="00735CB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Emotional 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stressful, unpredictable, can be situated in a violent scenario (e.g. cases that involve violence).</w:t>
            </w:r>
          </w:p>
          <w:p w14:paraId="5E78ADD7" w14:textId="77777777" w:rsidR="00B102DE" w:rsidRDefault="00B102DE" w:rsidP="00735CB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distance from hospital can vary. </w:t>
            </w:r>
          </w:p>
        </w:tc>
      </w:tr>
      <w:tr w:rsidR="00B102DE" w14:paraId="6DDD777C" w14:textId="77777777" w:rsidTr="00735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466146" w14:textId="77777777" w:rsidR="00B102DE" w:rsidRPr="00F422C1" w:rsidRDefault="00B102DE" w:rsidP="00735CB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6611" w:type="dxa"/>
          </w:tcPr>
          <w:p w14:paraId="320E68F6" w14:textId="77777777" w:rsidR="00B102DE" w:rsidRDefault="00B102DE" w:rsidP="00735CB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 with rapid life threatening bleeding (eligible for the REBOA intervention).  </w:t>
            </w:r>
          </w:p>
        </w:tc>
      </w:tr>
      <w:tr w:rsidR="00B102DE" w14:paraId="07DFBAA0" w14:textId="77777777" w:rsidTr="0073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3DD33F" w14:textId="77777777" w:rsidR="00B102DE" w:rsidRPr="00F422C1" w:rsidRDefault="00B102DE" w:rsidP="00735CB7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611" w:type="dxa"/>
          </w:tcPr>
          <w:p w14:paraId="32DDF3D3" w14:textId="77777777" w:rsidR="00B102DE" w:rsidRDefault="00B102DE" w:rsidP="00735CB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time of day. Most commonly after school, and around 11pm-1am on Friday/Saturday nights. </w:t>
            </w:r>
          </w:p>
        </w:tc>
      </w:tr>
    </w:tbl>
    <w:p w14:paraId="1BB829A8" w14:textId="77777777" w:rsidR="002818B7" w:rsidRDefault="002818B7"/>
    <w:sectPr w:rsidR="002818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EBFF" w14:textId="77777777" w:rsidR="00B102DE" w:rsidRDefault="00B102DE" w:rsidP="00B102DE">
      <w:pPr>
        <w:spacing w:after="0" w:line="240" w:lineRule="auto"/>
      </w:pPr>
      <w:r>
        <w:separator/>
      </w:r>
    </w:p>
  </w:endnote>
  <w:endnote w:type="continuationSeparator" w:id="0">
    <w:p w14:paraId="4920BB66" w14:textId="77777777" w:rsidR="00B102DE" w:rsidRDefault="00B102DE" w:rsidP="00B1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AD36" w14:textId="77777777" w:rsidR="00B102DE" w:rsidRDefault="00B102DE" w:rsidP="00B102DE">
      <w:pPr>
        <w:spacing w:after="0" w:line="240" w:lineRule="auto"/>
      </w:pPr>
      <w:r>
        <w:separator/>
      </w:r>
    </w:p>
  </w:footnote>
  <w:footnote w:type="continuationSeparator" w:id="0">
    <w:p w14:paraId="5041EB42" w14:textId="77777777" w:rsidR="00B102DE" w:rsidRDefault="00B102DE" w:rsidP="00B1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B691" w14:textId="16867718" w:rsidR="00B102DE" w:rsidRPr="00B102DE" w:rsidRDefault="00235475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Additional</w:t>
    </w:r>
    <w:r w:rsidR="00B102DE" w:rsidRPr="00B102DE">
      <w:rPr>
        <w:rFonts w:ascii="Times New Roman" w:hAnsi="Times New Roman" w:cs="Times New Roman"/>
        <w:b/>
        <w:bCs/>
        <w:sz w:val="24"/>
        <w:szCs w:val="24"/>
      </w:rPr>
      <w:t xml:space="preserve"> file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DE"/>
    <w:rsid w:val="00235475"/>
    <w:rsid w:val="002818B7"/>
    <w:rsid w:val="00B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7B70"/>
  <w15:chartTrackingRefBased/>
  <w15:docId w15:val="{88DA9942-6ABF-476F-9D08-72D20039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10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1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E"/>
  </w:style>
  <w:style w:type="paragraph" w:styleId="Footer">
    <w:name w:val="footer"/>
    <w:basedOn w:val="Normal"/>
    <w:link w:val="FooterChar"/>
    <w:uiPriority w:val="99"/>
    <w:unhideWhenUsed/>
    <w:rsid w:val="00B1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University of Aberdeen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Lawrie, Louisa</dc:creator>
  <cp:keywords/>
  <dc:description/>
  <cp:lastModifiedBy>Lawrie, Louisa</cp:lastModifiedBy>
  <cp:revision>2</cp:revision>
  <dcterms:created xsi:type="dcterms:W3CDTF">2022-06-16T10:13:00Z</dcterms:created>
  <dcterms:modified xsi:type="dcterms:W3CDTF">2022-06-16T10:13:00Z</dcterms:modified>
</cp:coreProperties>
</file>