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85" w:rsidRPr="00E43444" w:rsidRDefault="00270B85" w:rsidP="00270B85">
      <w:pPr>
        <w:spacing w:line="480" w:lineRule="auto"/>
        <w:jc w:val="both"/>
        <w:rPr>
          <w:rFonts w:ascii="Arial" w:hAnsi="Arial" w:cs="Arial"/>
          <w:b/>
          <w:sz w:val="20"/>
          <w:szCs w:val="20"/>
          <w:lang w:val="en-US"/>
        </w:rPr>
      </w:pPr>
      <w:proofErr w:type="gramStart"/>
      <w:r w:rsidRPr="00214456">
        <w:rPr>
          <w:rFonts w:ascii="Arial" w:hAnsi="Arial" w:cs="Arial"/>
          <w:b/>
          <w:sz w:val="20"/>
          <w:szCs w:val="20"/>
          <w:lang w:val="en-US"/>
        </w:rPr>
        <w:t>Additional file 3.</w:t>
      </w:r>
      <w:proofErr w:type="gramEnd"/>
      <w:r w:rsidRPr="00214456">
        <w:rPr>
          <w:rFonts w:ascii="Arial" w:hAnsi="Arial" w:cs="Arial"/>
          <w:b/>
          <w:sz w:val="20"/>
          <w:szCs w:val="20"/>
          <w:lang w:val="en-US"/>
        </w:rPr>
        <w:t xml:space="preserve"> </w:t>
      </w:r>
      <w:proofErr w:type="gramStart"/>
      <w:r w:rsidRPr="00214456">
        <w:rPr>
          <w:rFonts w:ascii="Arial" w:hAnsi="Arial" w:cs="Arial"/>
          <w:b/>
          <w:sz w:val="20"/>
          <w:szCs w:val="20"/>
          <w:lang w:val="en-US"/>
        </w:rPr>
        <w:t>Risk factors, drugs and nutritional supplements of study participants.</w:t>
      </w:r>
      <w:proofErr w:type="gramEnd"/>
    </w:p>
    <w:tbl>
      <w:tblPr>
        <w:tblW w:w="8694" w:type="dxa"/>
        <w:tblCellMar>
          <w:left w:w="0" w:type="dxa"/>
          <w:right w:w="0" w:type="dxa"/>
        </w:tblCellMar>
        <w:tblLook w:val="0420" w:firstRow="1" w:lastRow="0" w:firstColumn="0" w:lastColumn="0" w:noHBand="0" w:noVBand="1"/>
      </w:tblPr>
      <w:tblGrid>
        <w:gridCol w:w="3938"/>
        <w:gridCol w:w="1155"/>
        <w:gridCol w:w="1068"/>
        <w:gridCol w:w="1068"/>
        <w:gridCol w:w="1465"/>
      </w:tblGrid>
      <w:tr w:rsidR="00270B85" w:rsidRPr="00214456" w:rsidTr="0012784E">
        <w:trPr>
          <w:trHeight w:val="308"/>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lang w:val="en-US"/>
              </w:rPr>
            </w:pP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CU</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Del="00C24AD6" w:rsidRDefault="00270B85" w:rsidP="0012784E">
            <w:pPr>
              <w:spacing w:line="480" w:lineRule="auto"/>
              <w:jc w:val="both"/>
              <w:rPr>
                <w:rFonts w:ascii="Arial" w:hAnsi="Arial" w:cs="Arial"/>
                <w:bCs/>
                <w:sz w:val="20"/>
                <w:szCs w:val="20"/>
              </w:rPr>
            </w:pPr>
            <w:r w:rsidRPr="00214456">
              <w:rPr>
                <w:rFonts w:ascii="Arial" w:hAnsi="Arial" w:cs="Arial"/>
                <w:bCs/>
                <w:sz w:val="20"/>
                <w:szCs w:val="20"/>
              </w:rPr>
              <w:t>CI-NAD</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bCs/>
                <w:sz w:val="20"/>
                <w:szCs w:val="20"/>
              </w:rPr>
            </w:pPr>
            <w:r w:rsidRPr="00214456">
              <w:rPr>
                <w:rFonts w:ascii="Arial" w:hAnsi="Arial" w:cs="Arial"/>
                <w:bCs/>
                <w:sz w:val="20"/>
                <w:szCs w:val="20"/>
              </w:rPr>
              <w:t>CI-AD</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ind w:right="154"/>
              <w:jc w:val="both"/>
              <w:rPr>
                <w:rFonts w:ascii="Arial" w:hAnsi="Arial" w:cs="Arial"/>
                <w:sz w:val="20"/>
                <w:szCs w:val="20"/>
                <w:lang w:val="en-US"/>
              </w:rPr>
            </w:pPr>
            <w:r w:rsidRPr="00214456">
              <w:rPr>
                <w:rFonts w:ascii="Arial" w:hAnsi="Arial" w:cs="Arial"/>
                <w:sz w:val="20"/>
                <w:szCs w:val="20"/>
                <w:lang w:val="en-US"/>
              </w:rPr>
              <w:t>P Value</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N</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13</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38</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34</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Risk factors</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Hypertension</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4 (31)</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26 (68)</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16 (47)</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b/>
                <w:sz w:val="20"/>
                <w:szCs w:val="20"/>
              </w:rPr>
              <w:t>.036</w:t>
            </w:r>
            <w:r w:rsidRPr="00214456">
              <w:rPr>
                <w:rFonts w:ascii="Arial" w:hAnsi="Arial" w:cs="Arial"/>
                <w:sz w:val="20"/>
                <w:szCs w:val="20"/>
                <w:vertAlign w:val="superscript"/>
              </w:rPr>
              <w:t>a</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Diabetes</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2 (15)</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6 (16)</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4 (12)</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.878</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Vascular disease</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4 (31)</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11 (29)</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4 (12)</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.159</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Hypercholesterolemia</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7 (54)</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18 (47)</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15 (44)</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.835</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Stroke</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 (8)</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6 (16)</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6 (18)</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bCs/>
                <w:sz w:val="20"/>
                <w:szCs w:val="20"/>
              </w:rPr>
              <w:t>.693</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Drugs</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w:t>
            </w:r>
            <w:r w:rsidRPr="00214456">
              <w:rPr>
                <w:rFonts w:ascii="Arial" w:hAnsi="Arial" w:cs="Arial"/>
                <w:color w:val="000000" w:themeColor="text1"/>
                <w:sz w:val="20"/>
                <w:szCs w:val="20"/>
              </w:rPr>
              <w:t>Acetylcholinesterase inhibitors</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2 (5)</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3 (9)</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.553</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Memantine</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 (3)</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0 (0)</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hideMark/>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.953</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Antidepressant/ hypnotic/ anxiolytic</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13 (34)</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16 (47)</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.267</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 xml:space="preserve">  Antipsychotic</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3 (8)</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 (3)</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.916</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Nutritional supplements</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4 (11)</w:t>
            </w:r>
          </w:p>
        </w:tc>
        <w:tc>
          <w:tcPr>
            <w:tcW w:w="1068" w:type="dxa"/>
            <w:tcBorders>
              <w:top w:val="single" w:sz="8" w:space="0" w:color="000000"/>
              <w:left w:val="single" w:sz="8" w:space="0" w:color="FFFFFF"/>
              <w:bottom w:val="single" w:sz="8" w:space="0" w:color="000000"/>
              <w:right w:val="single" w:sz="8" w:space="0" w:color="FFFFFF"/>
            </w:tcBorders>
            <w:shd w:val="clear" w:color="auto" w:fill="FFFFFF"/>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7 (21)</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.236</w:t>
            </w:r>
          </w:p>
        </w:tc>
      </w:tr>
      <w:tr w:rsidR="00270B85" w:rsidRPr="00214456" w:rsidTr="0012784E">
        <w:trPr>
          <w:trHeight w:val="205"/>
        </w:trPr>
        <w:tc>
          <w:tcPr>
            <w:tcW w:w="3938"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highlight w:val="yellow"/>
              </w:rPr>
            </w:pPr>
            <w:r w:rsidRPr="00214456">
              <w:rPr>
                <w:rFonts w:ascii="Arial" w:hAnsi="Arial" w:cs="Arial"/>
                <w:color w:val="000000" w:themeColor="text1"/>
                <w:sz w:val="20"/>
                <w:szCs w:val="20"/>
              </w:rPr>
              <w:t>Sleep disturbances</w:t>
            </w:r>
            <w:r w:rsidRPr="00214456">
              <w:rPr>
                <w:rFonts w:ascii="Arial" w:hAnsi="Arial" w:cs="Arial"/>
                <w:color w:val="000000" w:themeColor="text1"/>
                <w:sz w:val="20"/>
                <w:szCs w:val="20"/>
                <w:vertAlign w:val="superscript"/>
              </w:rPr>
              <w:t>b</w:t>
            </w:r>
          </w:p>
        </w:tc>
        <w:tc>
          <w:tcPr>
            <w:tcW w:w="115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vAlign w:val="center"/>
          </w:tcPr>
          <w:p w:rsidR="00270B85" w:rsidRPr="00214456" w:rsidRDefault="00270B85" w:rsidP="0012784E">
            <w:pPr>
              <w:spacing w:line="480" w:lineRule="auto"/>
              <w:jc w:val="both"/>
              <w:rPr>
                <w:rFonts w:ascii="Arial" w:hAnsi="Arial" w:cs="Arial"/>
                <w:sz w:val="20"/>
                <w:szCs w:val="20"/>
              </w:rPr>
            </w:pPr>
            <w:r w:rsidRPr="00214456">
              <w:rPr>
                <w:rFonts w:ascii="Arial" w:hAnsi="Arial" w:cs="Arial"/>
                <w:color w:val="000000" w:themeColor="text1"/>
                <w:kern w:val="24"/>
                <w:sz w:val="20"/>
                <w:szCs w:val="20"/>
              </w:rPr>
              <w:t>5.2 (4.8)</w:t>
            </w:r>
          </w:p>
        </w:tc>
        <w:tc>
          <w:tcPr>
            <w:tcW w:w="1068" w:type="dxa"/>
            <w:tcBorders>
              <w:top w:val="single" w:sz="8" w:space="0" w:color="000000"/>
              <w:left w:val="single" w:sz="8" w:space="0" w:color="FFFFFF"/>
              <w:bottom w:val="single" w:sz="8" w:space="0" w:color="000000"/>
              <w:right w:val="single" w:sz="8" w:space="0" w:color="FFFFFF"/>
            </w:tcBorders>
            <w:shd w:val="clear" w:color="auto" w:fill="FFFFFF"/>
            <w:vAlign w:val="center"/>
          </w:tcPr>
          <w:p w:rsidR="00270B85" w:rsidRPr="00214456" w:rsidRDefault="00270B85" w:rsidP="0012784E">
            <w:pPr>
              <w:spacing w:line="480" w:lineRule="auto"/>
              <w:jc w:val="both"/>
              <w:rPr>
                <w:rFonts w:ascii="Arial" w:hAnsi="Arial" w:cs="Arial"/>
                <w:color w:val="000000" w:themeColor="text1"/>
                <w:kern w:val="24"/>
                <w:sz w:val="20"/>
                <w:szCs w:val="20"/>
              </w:rPr>
            </w:pPr>
            <w:r w:rsidRPr="00214456">
              <w:rPr>
                <w:rFonts w:ascii="Arial" w:hAnsi="Arial" w:cs="Arial"/>
                <w:color w:val="000000" w:themeColor="text1"/>
                <w:kern w:val="24"/>
                <w:sz w:val="20"/>
                <w:szCs w:val="20"/>
              </w:rPr>
              <w:t>3.9 (4.9)</w:t>
            </w:r>
          </w:p>
        </w:tc>
        <w:tc>
          <w:tcPr>
            <w:tcW w:w="1068" w:type="dxa"/>
            <w:tcBorders>
              <w:top w:val="single" w:sz="8" w:space="0" w:color="000000"/>
              <w:left w:val="single" w:sz="8" w:space="0" w:color="FFFFFF"/>
              <w:bottom w:val="single" w:sz="8" w:space="0" w:color="000000"/>
              <w:right w:val="single" w:sz="8" w:space="0" w:color="FFFFFF"/>
            </w:tcBorders>
            <w:shd w:val="clear" w:color="auto" w:fill="FFFFFF"/>
            <w:vAlign w:val="center"/>
          </w:tcPr>
          <w:p w:rsidR="00270B85" w:rsidRPr="00214456" w:rsidRDefault="00270B85" w:rsidP="0012784E">
            <w:pPr>
              <w:spacing w:line="480" w:lineRule="auto"/>
              <w:jc w:val="both"/>
              <w:rPr>
                <w:rFonts w:ascii="Arial" w:hAnsi="Arial" w:cs="Arial"/>
                <w:sz w:val="20"/>
                <w:szCs w:val="20"/>
              </w:rPr>
            </w:pPr>
            <w:r w:rsidRPr="00214456">
              <w:rPr>
                <w:rFonts w:ascii="Arial" w:hAnsi="Arial" w:cs="Arial"/>
                <w:color w:val="000000" w:themeColor="text1"/>
                <w:kern w:val="24"/>
                <w:sz w:val="20"/>
                <w:szCs w:val="20"/>
              </w:rPr>
              <w:t>3.7 (4.8)</w:t>
            </w:r>
          </w:p>
        </w:tc>
        <w:tc>
          <w:tcPr>
            <w:tcW w:w="1465" w:type="dxa"/>
            <w:tcBorders>
              <w:top w:val="single" w:sz="8" w:space="0" w:color="000000"/>
              <w:left w:val="single" w:sz="8" w:space="0" w:color="FFFFFF"/>
              <w:bottom w:val="single" w:sz="8" w:space="0" w:color="000000"/>
              <w:right w:val="single" w:sz="8" w:space="0" w:color="FFFFFF"/>
            </w:tcBorders>
            <w:shd w:val="clear" w:color="auto" w:fill="FFFFFF"/>
            <w:tcMar>
              <w:top w:w="28" w:type="dxa"/>
              <w:left w:w="108" w:type="dxa"/>
              <w:bottom w:w="28" w:type="dxa"/>
              <w:right w:w="108" w:type="dxa"/>
            </w:tcMar>
          </w:tcPr>
          <w:p w:rsidR="00270B85" w:rsidRPr="00214456" w:rsidRDefault="00270B85" w:rsidP="0012784E">
            <w:pPr>
              <w:spacing w:line="480" w:lineRule="auto"/>
              <w:jc w:val="both"/>
              <w:rPr>
                <w:rFonts w:ascii="Arial" w:hAnsi="Arial" w:cs="Arial"/>
                <w:sz w:val="20"/>
                <w:szCs w:val="20"/>
              </w:rPr>
            </w:pPr>
            <w:r w:rsidRPr="00214456">
              <w:rPr>
                <w:rFonts w:ascii="Arial" w:hAnsi="Arial" w:cs="Arial"/>
                <w:sz w:val="20"/>
                <w:szCs w:val="20"/>
              </w:rPr>
              <w:t>.179</w:t>
            </w:r>
          </w:p>
        </w:tc>
      </w:tr>
    </w:tbl>
    <w:p w:rsidR="00270B85" w:rsidRPr="00214456" w:rsidRDefault="00270B85" w:rsidP="00270B85">
      <w:pPr>
        <w:spacing w:line="480" w:lineRule="auto"/>
        <w:jc w:val="both"/>
        <w:rPr>
          <w:rFonts w:ascii="Arial" w:hAnsi="Arial" w:cs="Arial"/>
          <w:sz w:val="20"/>
          <w:szCs w:val="20"/>
          <w:vertAlign w:val="superscript"/>
          <w:lang w:val="en-US"/>
        </w:rPr>
      </w:pPr>
    </w:p>
    <w:p w:rsidR="00270B85" w:rsidRPr="00214456" w:rsidRDefault="00270B85" w:rsidP="00270B85">
      <w:pPr>
        <w:spacing w:line="480" w:lineRule="auto"/>
        <w:jc w:val="both"/>
        <w:rPr>
          <w:rFonts w:ascii="Arial" w:hAnsi="Arial" w:cs="Arial"/>
          <w:sz w:val="20"/>
          <w:szCs w:val="20"/>
        </w:rPr>
      </w:pPr>
      <w:r w:rsidRPr="00214456">
        <w:rPr>
          <w:rFonts w:ascii="Arial" w:hAnsi="Arial" w:cs="Arial"/>
          <w:sz w:val="20"/>
          <w:szCs w:val="20"/>
          <w:vertAlign w:val="superscript"/>
        </w:rPr>
        <w:t>a</w:t>
      </w:r>
      <w:r w:rsidRPr="00214456">
        <w:rPr>
          <w:rFonts w:ascii="Arial" w:hAnsi="Arial" w:cs="Arial"/>
          <w:sz w:val="20"/>
          <w:szCs w:val="20"/>
        </w:rPr>
        <w:t xml:space="preserve"> CU vs CI-NAD, p=.017 and CI-AD vs CI-NAD, p=.067.</w:t>
      </w:r>
    </w:p>
    <w:p w:rsidR="00270B85" w:rsidRPr="00214456" w:rsidRDefault="00270B85" w:rsidP="00270B85">
      <w:pPr>
        <w:spacing w:line="480" w:lineRule="auto"/>
        <w:jc w:val="both"/>
        <w:rPr>
          <w:rFonts w:ascii="Arial" w:hAnsi="Arial" w:cs="Arial"/>
          <w:sz w:val="20"/>
          <w:szCs w:val="20"/>
          <w:lang w:val="en-US"/>
        </w:rPr>
      </w:pPr>
      <w:r w:rsidRPr="00214456">
        <w:rPr>
          <w:rFonts w:ascii="Arial" w:hAnsi="Arial" w:cs="Arial"/>
          <w:sz w:val="20"/>
          <w:szCs w:val="20"/>
          <w:vertAlign w:val="superscript"/>
          <w:lang w:val="en-US"/>
        </w:rPr>
        <w:t>b</w:t>
      </w:r>
      <w:r w:rsidRPr="00214456">
        <w:rPr>
          <w:rFonts w:ascii="Arial" w:hAnsi="Arial" w:cs="Arial"/>
          <w:sz w:val="20"/>
          <w:szCs w:val="20"/>
          <w:lang w:val="en-US"/>
        </w:rPr>
        <w:t xml:space="preserve"> The following five night sleep symptoms were evaluated: difficulty falling asleep, waking up frequently in the night, early morning awakenings, not feeling rested in the morning, difficulty staying awake and need to take a nap during the day. For each symptom, respondents were asked to estimate frequency of the symptom during the past month on a five-point scale: 0= never; 1= 1-3 days; 2= 4-7 days; 3= 8-14 days; 4= 15-21 days; 5 = 22-31 days </w:t>
      </w:r>
      <w:r w:rsidRPr="00214456">
        <w:rPr>
          <w:rFonts w:ascii="Arial" w:hAnsi="Arial" w:cs="Arial"/>
          <w:sz w:val="20"/>
          <w:szCs w:val="20"/>
          <w:lang w:val="en-US"/>
        </w:rPr>
        <w:fldChar w:fldCharType="begin" w:fldLock="1"/>
      </w:r>
      <w:r w:rsidRPr="00214456">
        <w:rPr>
          <w:rFonts w:ascii="Arial" w:hAnsi="Arial" w:cs="Arial"/>
          <w:sz w:val="20"/>
          <w:szCs w:val="20"/>
          <w:lang w:val="en-US"/>
        </w:rPr>
        <w:instrText>ADDIN CSL_CITATION {"citationItems":[{"id":"ITEM-1","itemData":{"DOI":"10.1093/ageing/27.2.207","ISSN":"0002-0729 (Print)","PMID":"16296681","abstract":"OBJECTIVE: Interest in centenarians has focused on two particular aspects: the  antecedents of extreme old age and the psychophysical well-being of the very old. Our study deals with the latter aspect and aims to assess the quality of life of Italian centenarians. METHOD: Using data collected using two questionnaires designed to investigate quality of life in elderly people, three groups of 38 elderly subjects were compared: centenarians and subjects aged between 75 and 85 years and 86 and 99 years. RESULTS: The centenarians complained less spontaneously about their health (maintained in part by medical treatments), but declared having greater functional disability. Their cognitive function appears to be reasonably well preserved and they have lower scores for anxiety and depression than the subjects in the two younger groups. They consider themselves religious, satisfied with their financial situation but no longer interested in sex or involved in recreational activities. They report greater satisfaction with life and with social and family relations than do less elderly individuals. CONCLUSIONS: The centenarians we interviewed seem to be well adapted to their lives and to maintain a more positive attitude than the subjects in the two younger groups.","author":[{"dropping-particle":"","family":"Buono","given":"M","non-dropping-particle":"Dello","parse-names":false,"suffix":""},{"dropping-particle":"","family":"Urciuoli","given":"O","non-dropping-particle":"","parse-names":false,"suffix":""},{"dropping-particle":"","family":"Leo","given":"D","non-dropping-particle":"De","parse-names":false,"suffix":""}],"container-title":"Age and ageing","id":"ITEM-1","issue":"2","issued":{"date-parts":[["1998","3"]]},"language":"eng","page":"207-216","publisher-place":"England","title":"Quality of life and longevity: a study of centenarians.","type":"article-journal","volume":"27"},"uris":["http://www.mendeley.com/documents/?uuid=925606d5-5adf-42f5-85f8-cb1a32bd72f0"]}],"mendeley":{"formattedCitation":"[7]","plainTextFormattedCitation":"[7]","previouslyFormattedCitation":"[7]"},"properties":{"noteIndex":0},"schema":"https://github.com/citation-style-language/schema/raw/master/csl-citation.json"}</w:instrText>
      </w:r>
      <w:r w:rsidRPr="00214456">
        <w:rPr>
          <w:rFonts w:ascii="Arial" w:hAnsi="Arial" w:cs="Arial"/>
          <w:sz w:val="20"/>
          <w:szCs w:val="20"/>
          <w:lang w:val="en-US"/>
        </w:rPr>
        <w:fldChar w:fldCharType="separate"/>
      </w:r>
      <w:r w:rsidRPr="00214456">
        <w:rPr>
          <w:rFonts w:ascii="Arial" w:hAnsi="Arial" w:cs="Arial"/>
          <w:noProof/>
          <w:sz w:val="20"/>
          <w:szCs w:val="20"/>
          <w:lang w:val="en-US"/>
        </w:rPr>
        <w:t>[7]</w:t>
      </w:r>
      <w:r w:rsidRPr="00214456">
        <w:rPr>
          <w:rFonts w:ascii="Arial" w:hAnsi="Arial" w:cs="Arial"/>
          <w:sz w:val="20"/>
          <w:szCs w:val="20"/>
          <w:lang w:val="en-US"/>
        </w:rPr>
        <w:fldChar w:fldCharType="end"/>
      </w:r>
      <w:r w:rsidRPr="00214456">
        <w:rPr>
          <w:rFonts w:ascii="Arial" w:hAnsi="Arial" w:cs="Arial"/>
          <w:sz w:val="20"/>
          <w:szCs w:val="20"/>
          <w:lang w:val="en-US"/>
        </w:rPr>
        <w:t>.</w:t>
      </w:r>
    </w:p>
    <w:p w:rsidR="00270B85" w:rsidRPr="00214456" w:rsidRDefault="00270B85" w:rsidP="00270B85">
      <w:pPr>
        <w:spacing w:line="480" w:lineRule="auto"/>
        <w:jc w:val="both"/>
        <w:rPr>
          <w:rFonts w:ascii="Arial" w:hAnsi="Arial" w:cs="Arial"/>
          <w:sz w:val="20"/>
          <w:szCs w:val="20"/>
          <w:lang w:val="en-US"/>
        </w:rPr>
      </w:pPr>
      <w:r w:rsidRPr="00214456">
        <w:rPr>
          <w:rFonts w:ascii="Arial" w:hAnsi="Arial" w:cs="Arial"/>
          <w:color w:val="000000" w:themeColor="text1"/>
          <w:sz w:val="20"/>
          <w:szCs w:val="20"/>
          <w:lang w:val="en-US"/>
        </w:rPr>
        <w:t>Figure denotes number (</w:t>
      </w:r>
      <w:proofErr w:type="gramStart"/>
      <w:r w:rsidRPr="00214456">
        <w:rPr>
          <w:rFonts w:ascii="Arial" w:hAnsi="Arial" w:cs="Arial"/>
          <w:color w:val="000000" w:themeColor="text1"/>
          <w:sz w:val="20"/>
          <w:szCs w:val="20"/>
          <w:lang w:val="en-US"/>
        </w:rPr>
        <w:t>%</w:t>
      </w:r>
      <w:proofErr w:type="gramEnd"/>
      <w:r w:rsidRPr="00214456">
        <w:rPr>
          <w:rFonts w:ascii="Arial" w:hAnsi="Arial" w:cs="Arial"/>
          <w:color w:val="000000" w:themeColor="text1"/>
          <w:sz w:val="20"/>
          <w:szCs w:val="20"/>
          <w:lang w:val="en-US"/>
        </w:rPr>
        <w:t xml:space="preserve">). </w:t>
      </w:r>
      <w:r w:rsidRPr="00214456">
        <w:rPr>
          <w:rFonts w:ascii="Arial" w:hAnsi="Arial" w:cs="Arial"/>
          <w:sz w:val="20"/>
          <w:szCs w:val="20"/>
          <w:lang w:val="en-US"/>
        </w:rPr>
        <w:t>Statistical difference between the groups was assessed by Chi-squared test.</w:t>
      </w:r>
    </w:p>
    <w:p w:rsidR="0046036E" w:rsidRPr="00270B85" w:rsidRDefault="00270B85" w:rsidP="00270B85">
      <w:pPr>
        <w:spacing w:line="480" w:lineRule="auto"/>
        <w:jc w:val="both"/>
        <w:rPr>
          <w:rFonts w:ascii="Arial" w:hAnsi="Arial" w:cs="Arial"/>
          <w:sz w:val="20"/>
          <w:szCs w:val="20"/>
          <w:lang w:val="en-US"/>
        </w:rPr>
      </w:pPr>
      <w:r w:rsidRPr="00214456">
        <w:rPr>
          <w:rFonts w:ascii="Arial" w:hAnsi="Arial" w:cs="Arial"/>
          <w:sz w:val="20"/>
          <w:szCs w:val="20"/>
          <w:lang w:val="en-US"/>
        </w:rPr>
        <w:t>Abbreviations: CU: cognitively unimpaired persons; CI-NAD: patients with cognitive impairment not due to AD; CI-AD: patients with cognitive impairment due to AD.</w:t>
      </w:r>
      <w:bookmarkStart w:id="0" w:name="_GoBack"/>
      <w:bookmarkEnd w:id="0"/>
    </w:p>
    <w:sectPr w:rsidR="0046036E" w:rsidRPr="0027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revisionView w:comments="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85"/>
    <w:rsid w:val="00270B85"/>
    <w:rsid w:val="0046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85"/>
    <w:pPr>
      <w:spacing w:after="0" w:line="240" w:lineRule="auto"/>
    </w:pPr>
    <w:rPr>
      <w:rFonts w:ascii="Times New Roman" w:eastAsia="Times New Roman" w:hAnsi="Times New Roman" w:cs="Times New Roman"/>
      <w:sz w:val="24"/>
      <w:szCs w:val="24"/>
      <w:lang w:val="it-CH"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85"/>
    <w:pPr>
      <w:spacing w:after="0" w:line="240" w:lineRule="auto"/>
    </w:pPr>
    <w:rPr>
      <w:rFonts w:ascii="Times New Roman" w:eastAsia="Times New Roman" w:hAnsi="Times New Roman" w:cs="Times New Roman"/>
      <w:sz w:val="24"/>
      <w:szCs w:val="24"/>
      <w:lang w:val="it-CH"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E754049</dc:creator>
  <cp:lastModifiedBy>E754049</cp:lastModifiedBy>
  <cp:revision>1</cp:revision>
  <dcterms:created xsi:type="dcterms:W3CDTF">2023-03-27T08:27:00Z</dcterms:created>
  <dcterms:modified xsi:type="dcterms:W3CDTF">2023-03-27T08:27:00Z</dcterms:modified>
</cp:coreProperties>
</file>