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8A30" w14:textId="0FF9BCEC" w:rsidR="00864590" w:rsidRPr="006C4483" w:rsidRDefault="00864590" w:rsidP="006C4483">
      <w:pPr>
        <w:rPr>
          <w:rFonts w:ascii="Times New Roman" w:hAnsi="Times New Roman" w:cs="Times New Roman"/>
          <w:b/>
          <w:sz w:val="22"/>
          <w:szCs w:val="22"/>
        </w:rPr>
      </w:pPr>
      <w:r w:rsidRPr="006C4483">
        <w:rPr>
          <w:rFonts w:ascii="Times New Roman" w:hAnsi="Times New Roman" w:cs="Times New Roman"/>
          <w:b/>
          <w:sz w:val="22"/>
          <w:szCs w:val="22"/>
        </w:rPr>
        <w:t>Table S</w:t>
      </w:r>
      <w:r w:rsidRPr="006C4483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6C4483">
        <w:rPr>
          <w:rFonts w:ascii="Times New Roman" w:hAnsi="Times New Roman" w:cs="Times New Roman"/>
          <w:b/>
          <w:sz w:val="22"/>
          <w:szCs w:val="22"/>
        </w:rPr>
        <w:instrText xml:space="preserve"> SEQ Table \* ARABIC </w:instrText>
      </w:r>
      <w:r w:rsidRPr="006C4483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4483">
        <w:rPr>
          <w:rFonts w:ascii="Times New Roman" w:hAnsi="Times New Roman" w:cs="Times New Roman"/>
          <w:b/>
          <w:noProof/>
          <w:sz w:val="22"/>
          <w:szCs w:val="22"/>
        </w:rPr>
        <w:t>1</w:t>
      </w:r>
      <w:r w:rsidRPr="006C4483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C4483">
        <w:rPr>
          <w:rFonts w:ascii="Times New Roman" w:hAnsi="Times New Roman" w:cs="Times New Roman"/>
          <w:b/>
          <w:sz w:val="22"/>
          <w:szCs w:val="22"/>
        </w:rPr>
        <w:t>: Clinical details and timeline of the patient's inpatient journey</w:t>
      </w:r>
    </w:p>
    <w:p w14:paraId="7AD1617A" w14:textId="77777777" w:rsidR="006C4483" w:rsidRPr="006C4483" w:rsidRDefault="006C4483" w:rsidP="006C448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PlainTable21"/>
        <w:tblW w:w="10879" w:type="dxa"/>
        <w:tblInd w:w="-848" w:type="dxa"/>
        <w:tblLook w:val="04A0" w:firstRow="1" w:lastRow="0" w:firstColumn="1" w:lastColumn="0" w:noHBand="0" w:noVBand="1"/>
      </w:tblPr>
      <w:tblGrid>
        <w:gridCol w:w="808"/>
        <w:gridCol w:w="2023"/>
        <w:gridCol w:w="8048"/>
      </w:tblGrid>
      <w:tr w:rsidR="008354F1" w:rsidRPr="00472C42" w14:paraId="0FC441C8" w14:textId="77777777" w:rsidTr="0047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5967C74" w14:textId="77777777" w:rsidR="008354F1" w:rsidRPr="00472C42" w:rsidRDefault="008354F1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</w:p>
        </w:tc>
        <w:tc>
          <w:tcPr>
            <w:tcW w:w="2023" w:type="dxa"/>
          </w:tcPr>
          <w:p w14:paraId="19312E0F" w14:textId="77777777" w:rsidR="008354F1" w:rsidRPr="00472C42" w:rsidRDefault="008354F1" w:rsidP="00FB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summary</w:t>
            </w:r>
          </w:p>
        </w:tc>
        <w:tc>
          <w:tcPr>
            <w:tcW w:w="8048" w:type="dxa"/>
          </w:tcPr>
          <w:p w14:paraId="0EC0A69B" w14:textId="77777777" w:rsidR="008354F1" w:rsidRPr="00472C42" w:rsidRDefault="008354F1" w:rsidP="00FB3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details</w:t>
            </w:r>
          </w:p>
        </w:tc>
      </w:tr>
      <w:tr w:rsidR="008354F1" w:rsidRPr="00472C42" w14:paraId="70350891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771C5558" w14:textId="77777777" w:rsidR="008354F1" w:rsidRPr="00472C42" w:rsidRDefault="008354F1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0</w:t>
            </w:r>
          </w:p>
        </w:tc>
        <w:tc>
          <w:tcPr>
            <w:tcW w:w="2023" w:type="dxa"/>
          </w:tcPr>
          <w:p w14:paraId="1502F9F2" w14:textId="77777777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Admission and empirical treatment for infection</w:t>
            </w:r>
          </w:p>
        </w:tc>
        <w:tc>
          <w:tcPr>
            <w:tcW w:w="8048" w:type="dxa"/>
          </w:tcPr>
          <w:p w14:paraId="2E3B7ED3" w14:textId="136A6774" w:rsidR="009638BD" w:rsidRPr="00472C42" w:rsidRDefault="008354F1" w:rsidP="00FB3FE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Admitted under general medicine</w:t>
            </w:r>
            <w:r w:rsidR="009A0DC9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472C42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hematology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fevers, night sweats</w:t>
            </w:r>
            <w:r w:rsidR="009C063C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 weight loss</w:t>
            </w:r>
            <w:r w:rsidR="009638BD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3B7D2A30" w14:textId="77777777" w:rsidR="008354F1" w:rsidRPr="00472C42" w:rsidRDefault="009638BD" w:rsidP="00FB3FE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Purpuric rash noted</w:t>
            </w:r>
          </w:p>
          <w:p w14:paraId="4BC83C7E" w14:textId="28549F98" w:rsidR="008354F1" w:rsidRPr="00472C42" w:rsidRDefault="00923923" w:rsidP="00FB3FE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Pancytopenia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 Hb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110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g/L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WCC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3.5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 /L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PLT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18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10^9/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hyperferritinaemia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4068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37C1B" w:rsidRPr="005C37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μg</w:t>
            </w:r>
            <w:proofErr w:type="spellEnd"/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/L,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raised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CRP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123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mg/L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FB3FE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ormal renal function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BC58B6F" w14:textId="77777777" w:rsidR="008354F1" w:rsidRPr="00472C42" w:rsidRDefault="008354F1" w:rsidP="00FB3FE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CXR unremarkable</w:t>
            </w:r>
          </w:p>
          <w:p w14:paraId="4482FD1D" w14:textId="77777777" w:rsidR="008354F1" w:rsidRPr="00472C42" w:rsidRDefault="008354F1" w:rsidP="00FB3FE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Initial therapy with ceftriaxone for suspected meningococcal disease</w:t>
            </w:r>
          </w:p>
        </w:tc>
      </w:tr>
      <w:tr w:rsidR="008354F1" w:rsidRPr="00472C42" w14:paraId="24468859" w14:textId="77777777" w:rsidTr="00472C42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D968402" w14:textId="77777777" w:rsidR="008354F1" w:rsidRPr="00472C42" w:rsidRDefault="00923923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1</w:t>
            </w:r>
          </w:p>
        </w:tc>
        <w:tc>
          <w:tcPr>
            <w:tcW w:w="2023" w:type="dxa"/>
          </w:tcPr>
          <w:p w14:paraId="525318C4" w14:textId="77777777" w:rsidR="008354F1" w:rsidRPr="00472C42" w:rsidRDefault="008354F1" w:rsidP="00FB3F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Worsening pancytopenia  </w:t>
            </w:r>
          </w:p>
        </w:tc>
        <w:tc>
          <w:tcPr>
            <w:tcW w:w="8048" w:type="dxa"/>
          </w:tcPr>
          <w:p w14:paraId="58EA0173" w14:textId="45EB16E6" w:rsidR="008354F1" w:rsidRPr="00472C42" w:rsidRDefault="008354F1" w:rsidP="00FB3FE4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Hb </w:t>
            </w:r>
            <w:r w:rsidR="00B779DB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 g</w:t>
            </w:r>
            <w:r w:rsidR="00923923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WCC 3.9</w:t>
            </w:r>
            <w:r w:rsidR="00923923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 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FB3FE4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PLT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3</w:t>
            </w:r>
            <w:r w:rsidR="00923923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10^9/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</w:tr>
      <w:tr w:rsidR="008354F1" w:rsidRPr="00472C42" w14:paraId="556C4678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40E98391" w14:textId="77777777" w:rsidR="008354F1" w:rsidRPr="00472C42" w:rsidRDefault="002B07A2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2</w:t>
            </w:r>
          </w:p>
        </w:tc>
        <w:tc>
          <w:tcPr>
            <w:tcW w:w="2023" w:type="dxa"/>
          </w:tcPr>
          <w:p w14:paraId="59692538" w14:textId="77777777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HLH detected, steroids commenced</w:t>
            </w:r>
          </w:p>
        </w:tc>
        <w:tc>
          <w:tcPr>
            <w:tcW w:w="8048" w:type="dxa"/>
          </w:tcPr>
          <w:p w14:paraId="31C5C37D" w14:textId="2108E0B8" w:rsidR="008354F1" w:rsidRPr="00472C42" w:rsidRDefault="009638BD" w:rsidP="00FB3FE4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Multiple sets of b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lood cultures: negative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purpura felt to be related to </w:t>
            </w:r>
            <w:r w:rsidR="00472C42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thrombocytopenia</w:t>
            </w:r>
          </w:p>
          <w:p w14:paraId="0AE96CB4" w14:textId="77777777" w:rsidR="008354F1" w:rsidRPr="00472C42" w:rsidRDefault="008354F1" w:rsidP="00FB3FE4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HIV negative</w:t>
            </w:r>
          </w:p>
          <w:p w14:paraId="37FBE426" w14:textId="77777777" w:rsidR="008354F1" w:rsidRPr="00472C42" w:rsidRDefault="002D186E" w:rsidP="00FB3FE4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Bone m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arrow aspirate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demonstrated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hemophagocytosis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9638B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patient 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commenced on dexamethasone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initially for this</w:t>
            </w:r>
          </w:p>
        </w:tc>
      </w:tr>
      <w:tr w:rsidR="008354F1" w:rsidRPr="00472C42" w14:paraId="0844FAC8" w14:textId="77777777" w:rsidTr="00472C4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35D83A11" w14:textId="77777777" w:rsidR="008354F1" w:rsidRPr="00472C42" w:rsidRDefault="002B07A2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4</w:t>
            </w:r>
          </w:p>
        </w:tc>
        <w:tc>
          <w:tcPr>
            <w:tcW w:w="2023" w:type="dxa"/>
          </w:tcPr>
          <w:p w14:paraId="43387B29" w14:textId="77777777" w:rsidR="008354F1" w:rsidRPr="00472C42" w:rsidRDefault="008354F1" w:rsidP="00FB3F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failure and admission to ITU, PCP suspected</w:t>
            </w:r>
          </w:p>
        </w:tc>
        <w:tc>
          <w:tcPr>
            <w:tcW w:w="8048" w:type="dxa"/>
          </w:tcPr>
          <w:p w14:paraId="68D9BDB1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Acute respiratory failure </w:t>
            </w:r>
          </w:p>
          <w:p w14:paraId="044F1B6D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Transferred to ITU and commenced CPAP </w:t>
            </w:r>
          </w:p>
          <w:p w14:paraId="69DBDC31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CXR showed extensive new bilateral perihilar opacification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PCP suspected. Similar changes shown on </w:t>
            </w:r>
            <w:r w:rsidR="002B07A2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CT-CAP</w:t>
            </w:r>
          </w:p>
          <w:p w14:paraId="329B3B76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Ceftriaxone changed to </w:t>
            </w:r>
            <w:r w:rsidR="00910088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co-trimoxazole, also covered with </w:t>
            </w:r>
            <w:r w:rsidR="00910088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tazocin and clarithromycin initially then changed to IV meropenem for 7 days given ongoing temperature spikes</w:t>
            </w:r>
          </w:p>
        </w:tc>
      </w:tr>
      <w:tr w:rsidR="008354F1" w:rsidRPr="00472C42" w14:paraId="792EDA98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955871F" w14:textId="77777777" w:rsidR="008354F1" w:rsidRPr="00472C42" w:rsidRDefault="002B07A2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6</w:t>
            </w:r>
          </w:p>
        </w:tc>
        <w:tc>
          <w:tcPr>
            <w:tcW w:w="2023" w:type="dxa"/>
          </w:tcPr>
          <w:p w14:paraId="412DA081" w14:textId="77777777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ITU stepdown </w:t>
            </w:r>
          </w:p>
        </w:tc>
        <w:tc>
          <w:tcPr>
            <w:tcW w:w="8048" w:type="dxa"/>
          </w:tcPr>
          <w:p w14:paraId="0E735274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Improved respiratory function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stepped down to infectious diseases </w:t>
            </w:r>
            <w:r w:rsidR="001A0B8B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unit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50%</w:t>
            </w:r>
            <w:r w:rsidR="0095026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inhaled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oxygen</w:t>
            </w:r>
          </w:p>
        </w:tc>
      </w:tr>
      <w:tr w:rsidR="008354F1" w:rsidRPr="00472C42" w14:paraId="2BE552A5" w14:textId="77777777" w:rsidTr="00472C4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1584EABD" w14:textId="77777777" w:rsidR="008354F1" w:rsidRPr="00472C42" w:rsidRDefault="002B07A2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Days 9–10</w:t>
            </w:r>
          </w:p>
          <w:p w14:paraId="272E0F55" w14:textId="77777777" w:rsidR="008354F1" w:rsidRPr="00472C42" w:rsidRDefault="008354F1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</w:tcPr>
          <w:p w14:paraId="2D0EEBF9" w14:textId="77777777" w:rsidR="008354F1" w:rsidRPr="00472C42" w:rsidRDefault="008354F1" w:rsidP="00FB3F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TB suspected</w:t>
            </w:r>
          </w:p>
        </w:tc>
        <w:tc>
          <w:tcPr>
            <w:tcW w:w="8048" w:type="dxa"/>
          </w:tcPr>
          <w:p w14:paraId="307F7CDC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Sputum culture: </w:t>
            </w:r>
            <w:r w:rsidR="002B07A2" w:rsidRPr="00472C4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Mycobacterium tuberculosis</w:t>
            </w:r>
          </w:p>
          <w:p w14:paraId="25E5CFC0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Bone marrow trephine</w:t>
            </w:r>
            <w:r w:rsidR="002B07A2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biopsy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no micro-organisms but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caseating granulomatous inflammation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seen and suspicious for mycobacterial infection</w:t>
            </w:r>
          </w:p>
          <w:p w14:paraId="7C5FCBB1" w14:textId="77777777" w:rsidR="008354F1" w:rsidRPr="00472C42" w:rsidRDefault="002B07A2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 xml:space="preserve">Pneumocystis jirovecii 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PCR negative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A43B37" w:rsidRPr="00472C4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</w:t>
            </w:r>
            <w:r w:rsidR="008354F1" w:rsidRPr="00472C4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egionella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antigen and PCR negative, respiratory mycology negative, routine respiratory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culture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negative </w:t>
            </w:r>
          </w:p>
          <w:p w14:paraId="0216486E" w14:textId="77777777" w:rsidR="00445958" w:rsidRPr="00472C42" w:rsidRDefault="00445958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Co-trimoxazole stopped</w:t>
            </w:r>
          </w:p>
        </w:tc>
      </w:tr>
      <w:tr w:rsidR="008354F1" w:rsidRPr="00472C42" w14:paraId="156C389F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17A03DA4" w14:textId="77777777" w:rsidR="008354F1" w:rsidRPr="00472C42" w:rsidRDefault="002B07A2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</w:t>
            </w:r>
            <w:r w:rsidR="00ED561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="0095026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ED561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023" w:type="dxa"/>
          </w:tcPr>
          <w:p w14:paraId="796981CF" w14:textId="77777777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improvement</w:t>
            </w:r>
          </w:p>
        </w:tc>
        <w:tc>
          <w:tcPr>
            <w:tcW w:w="8048" w:type="dxa"/>
          </w:tcPr>
          <w:p w14:paraId="5FA5DC1B" w14:textId="40E62FE5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Patient </w:t>
            </w:r>
            <w:r w:rsidR="00ED561A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improving clinically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apyrexial, CXR clear</w:t>
            </w:r>
            <w:r w:rsidR="00ED561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no longer requiring oxygen, CRP </w:t>
            </w:r>
            <w:r w:rsidR="00472C42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normalized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4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mg/L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ED561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meropenem stopped</w:t>
            </w:r>
          </w:p>
          <w:p w14:paraId="78F9E606" w14:textId="77777777" w:rsidR="008354F1" w:rsidRPr="00472C42" w:rsidRDefault="003C679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PLT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remained low at 48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</w:t>
            </w:r>
            <w:r w:rsidR="00733EA3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10^9/L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Hb 128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g/L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WCC 4.5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 /L</w:t>
            </w:r>
          </w:p>
          <w:p w14:paraId="25FA7BCD" w14:textId="77777777" w:rsidR="00C26916" w:rsidRPr="00472C42" w:rsidRDefault="002E5D3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Investigation ongoing</w:t>
            </w:r>
          </w:p>
        </w:tc>
      </w:tr>
      <w:tr w:rsidR="008354F1" w:rsidRPr="00472C42" w14:paraId="06DB44D1" w14:textId="77777777" w:rsidTr="00472C4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73C4FABC" w14:textId="77777777" w:rsidR="008354F1" w:rsidRPr="00472C42" w:rsidRDefault="00ED561A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Days 25</w:t>
            </w:r>
            <w:r w:rsidR="0095026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23" w:type="dxa"/>
          </w:tcPr>
          <w:p w14:paraId="66D3E95E" w14:textId="77777777" w:rsidR="008354F1" w:rsidRPr="00472C42" w:rsidRDefault="008354F1" w:rsidP="00FB3F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Further evidence of TB</w:t>
            </w:r>
          </w:p>
        </w:tc>
        <w:tc>
          <w:tcPr>
            <w:tcW w:w="8048" w:type="dxa"/>
          </w:tcPr>
          <w:p w14:paraId="6AACAAB7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Blood culture: </w:t>
            </w:r>
            <w:r w:rsidRPr="00472C4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Mycobacterium tuberculosis</w:t>
            </w:r>
          </w:p>
          <w:p w14:paraId="7D1E1A13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Urine culture: </w:t>
            </w:r>
            <w:r w:rsidRPr="00472C4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Mycobacterium tuberculosis</w:t>
            </w:r>
          </w:p>
        </w:tc>
      </w:tr>
      <w:tr w:rsidR="008354F1" w:rsidRPr="00472C42" w14:paraId="581D8385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4EBA76C" w14:textId="77777777" w:rsidR="008354F1" w:rsidRPr="00472C42" w:rsidRDefault="00AB274D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Days 32</w:t>
            </w:r>
            <w:r w:rsidR="0095026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  <w:p w14:paraId="7F829520" w14:textId="77777777" w:rsidR="008354F1" w:rsidRPr="00472C42" w:rsidRDefault="008354F1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</w:tcPr>
          <w:p w14:paraId="4F9FE3FC" w14:textId="77777777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deterioration, readmitted to ITU, ventilated, anti-TB therapy commenced, chemotherapy added in</w:t>
            </w:r>
          </w:p>
        </w:tc>
        <w:tc>
          <w:tcPr>
            <w:tcW w:w="8048" w:type="dxa"/>
          </w:tcPr>
          <w:p w14:paraId="43FA2206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Acute respiratory failure, re-admitted to ITU, intubated and ventilated</w:t>
            </w:r>
          </w:p>
          <w:p w14:paraId="6DF81419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Required vasopressors, inotropic support, and renal replacement therapy</w:t>
            </w:r>
          </w:p>
          <w:p w14:paraId="6127EDB4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Commenced isoniazid, rifampicin, pyrazinamide, ethambutol</w:t>
            </w:r>
          </w:p>
          <w:p w14:paraId="53D6FE83" w14:textId="1D40DE25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Worsening pancytopenia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rang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ing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Hb 86–91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platelets 18–25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WCC 0.1–0.3</w:t>
            </w:r>
            <w:r w:rsidR="00AB274D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 10^9 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neutrophils 0.00–0.20</w:t>
            </w:r>
            <w:r w:rsidR="00AB274D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AB274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 10^9 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worsening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hyperferritinaemia rang</w:t>
            </w:r>
            <w:r w:rsidR="00AB274D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ing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58,999</w:t>
            </w:r>
            <w:r w:rsidR="00AB274D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–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127,985</w:t>
            </w:r>
            <w:r w:rsidR="003C679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81C96" w:rsidRPr="005C37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μg</w:t>
            </w:r>
            <w:proofErr w:type="spellEnd"/>
            <w:r w:rsidR="00581C96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etoposide commenced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 8 weeks</w:t>
            </w:r>
          </w:p>
          <w:p w14:paraId="79EEC58C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Regular platelet transfusions required</w:t>
            </w:r>
          </w:p>
        </w:tc>
      </w:tr>
      <w:tr w:rsidR="008354F1" w:rsidRPr="00472C42" w14:paraId="45FB671B" w14:textId="77777777" w:rsidTr="00472C4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7F4B624D" w14:textId="77777777" w:rsidR="008354F1" w:rsidRPr="00472C42" w:rsidRDefault="007404D6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Days 40–48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23" w:type="dxa"/>
          </w:tcPr>
          <w:p w14:paraId="0A070DC6" w14:textId="77777777" w:rsidR="008354F1" w:rsidRPr="00472C42" w:rsidRDefault="008354F1" w:rsidP="00FB3F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improvement</w:t>
            </w:r>
          </w:p>
        </w:tc>
        <w:tc>
          <w:tcPr>
            <w:tcW w:w="8048" w:type="dxa"/>
          </w:tcPr>
          <w:p w14:paraId="4BA82AB0" w14:textId="1044D06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Stepped down to </w:t>
            </w:r>
            <w:r w:rsidR="00472C42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hematology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ward</w:t>
            </w:r>
          </w:p>
          <w:p w14:paraId="0D7A7FE7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Ongoing chemotherapy and monitoring</w:t>
            </w:r>
          </w:p>
          <w:p w14:paraId="2F896BDA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 89</w:t>
            </w:r>
            <w:r w:rsidR="00886840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WCC 10.6</w:t>
            </w:r>
            <w:r w:rsidR="00886840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 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platelets 49</w:t>
            </w:r>
            <w:r w:rsidR="00886840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</w:t>
            </w:r>
            <w:r w:rsidR="00886840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day 48 </w:t>
            </w:r>
          </w:p>
        </w:tc>
      </w:tr>
      <w:tr w:rsidR="008354F1" w:rsidRPr="00472C42" w14:paraId="5533172C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58AF59A3" w14:textId="77777777" w:rsidR="008354F1" w:rsidRPr="00472C42" w:rsidRDefault="002D186E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49</w:t>
            </w:r>
          </w:p>
        </w:tc>
        <w:tc>
          <w:tcPr>
            <w:tcW w:w="2023" w:type="dxa"/>
          </w:tcPr>
          <w:p w14:paraId="5A0EB275" w14:textId="77777777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Seizures commence</w:t>
            </w:r>
          </w:p>
        </w:tc>
        <w:tc>
          <w:tcPr>
            <w:tcW w:w="8048" w:type="dxa"/>
          </w:tcPr>
          <w:p w14:paraId="00E11018" w14:textId="77777777" w:rsidR="008354F1" w:rsidRPr="00472C42" w:rsidRDefault="002D186E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Continuous r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ight-sided facial twitching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8354F1" w:rsidRPr="00472C42" w14:paraId="1B225D01" w14:textId="77777777" w:rsidTr="00472C4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240CE481" w14:textId="77777777" w:rsidR="008354F1" w:rsidRPr="00472C42" w:rsidRDefault="00FB6F6D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Days 50–69</w:t>
            </w:r>
            <w:r w:rsidR="008354F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23" w:type="dxa"/>
          </w:tcPr>
          <w:p w14:paraId="1DA6EEEC" w14:textId="77777777" w:rsidR="008354F1" w:rsidRPr="00472C42" w:rsidRDefault="008354F1" w:rsidP="00FB3F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Transferred to neurology ward</w:t>
            </w:r>
          </w:p>
        </w:tc>
        <w:tc>
          <w:tcPr>
            <w:tcW w:w="8048" w:type="dxa"/>
          </w:tcPr>
          <w:p w14:paraId="2828A735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Ongoing right-sided facial twitching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persistent fevers, clinically disorientated and dysphasic</w:t>
            </w:r>
          </w:p>
          <w:p w14:paraId="3AA35D11" w14:textId="77777777" w:rsidR="00FA1B43" w:rsidRPr="00472C42" w:rsidRDefault="00FA1B43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Plain CT head: normal</w:t>
            </w:r>
          </w:p>
          <w:p w14:paraId="28363396" w14:textId="77777777" w:rsidR="00FA1B43" w:rsidRPr="00472C42" w:rsidRDefault="00FA1B43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 head with contrast: enhancing nodule in right cerebellar hemisphere, suspected tuberculoma</w:t>
            </w:r>
          </w:p>
          <w:p w14:paraId="4265D63C" w14:textId="77777777" w:rsidR="00FA1B43" w:rsidRPr="00472C42" w:rsidRDefault="00FA1B43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MRI head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with contrast: four small, contrast-enhancing, foci within the parenchyma of the brain,</w:t>
            </w:r>
            <w:r w:rsidR="000A774B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A774B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likely tuberculomata</w:t>
            </w:r>
            <w:r w:rsidR="000A774B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one in left hemisphere motor strip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corresponding with right-sided facial twitching</w:t>
            </w:r>
          </w:p>
          <w:p w14:paraId="57D8A658" w14:textId="3AFBC195" w:rsidR="003E661F" w:rsidRPr="00472C42" w:rsidRDefault="00FA1B43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EPC</w:t>
            </w:r>
            <w:r w:rsidR="003E661F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was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diagnosed</w:t>
            </w:r>
            <w:r w:rsidR="003E661F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twitching continued until </w:t>
            </w:r>
            <w:r w:rsidR="003E661F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 56</w:t>
            </w:r>
            <w:r w:rsidR="003E661F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 AED dose-escalation had been required</w:t>
            </w:r>
            <w:r w:rsidR="003E661F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terminate seizures with the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final regimen</w:t>
            </w:r>
            <w:r w:rsidR="003E661F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phenytoin 550 mg</w:t>
            </w:r>
            <w:r w:rsidR="003E661F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OD, levetiracetam 1250 mg BD, and clonazepam 1 mg </w:t>
            </w:r>
            <w:r w:rsidR="003E661F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</w:t>
            </w:r>
          </w:p>
          <w:p w14:paraId="2D72630C" w14:textId="77777777" w:rsidR="00FA1B43" w:rsidRPr="00472C42" w:rsidRDefault="0042337B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CSF culture: </w:t>
            </w:r>
            <w:r w:rsidRPr="00472C4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Mycobacterium tuberculosis</w:t>
            </w:r>
          </w:p>
          <w:p w14:paraId="184E9E7A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EEG: muscle artefact</w:t>
            </w:r>
          </w:p>
        </w:tc>
      </w:tr>
      <w:tr w:rsidR="008354F1" w:rsidRPr="00472C42" w14:paraId="59CA16EF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 w:val="restart"/>
          </w:tcPr>
          <w:p w14:paraId="1056A910" w14:textId="77777777" w:rsidR="008354F1" w:rsidRPr="00472C42" w:rsidRDefault="00031397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Days 70–124</w:t>
            </w:r>
          </w:p>
        </w:tc>
        <w:tc>
          <w:tcPr>
            <w:tcW w:w="2023" w:type="dxa"/>
          </w:tcPr>
          <w:p w14:paraId="67A0790B" w14:textId="45C67D4B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Transferred to </w:t>
            </w:r>
            <w:r w:rsidR="00DF190E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infectious diseases </w:t>
            </w:r>
            <w:r w:rsidR="001A0B8B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unit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 investigation of ongoing pyrexia</w:t>
            </w:r>
            <w:r w:rsidR="00DF190E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infection excluded as cause</w:t>
            </w:r>
            <w:r w:rsidR="00DF190E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pyrexia felt to be HLH-related</w:t>
            </w:r>
            <w:r w:rsidR="00DF190E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51827" w:rsidRPr="00A518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cyclosporine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commenced</w:t>
            </w:r>
          </w:p>
        </w:tc>
        <w:tc>
          <w:tcPr>
            <w:tcW w:w="8048" w:type="dxa"/>
          </w:tcPr>
          <w:p w14:paraId="1250779C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Fevers ongoing</w:t>
            </w:r>
          </w:p>
          <w:p w14:paraId="340962A1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Repeat CXR</w:t>
            </w:r>
            <w:r w:rsidR="008F759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F7591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day 70 and day 91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33F2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demonstrated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static bilateral upper lobe fibrosis and scaring, no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new changes to explain</w:t>
            </w:r>
            <w:r w:rsidR="00733F2A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pyrexia</w:t>
            </w:r>
          </w:p>
          <w:p w14:paraId="671994DA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Repeat CT</w:t>
            </w:r>
            <w:r w:rsidR="00733F2A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-CAP</w:t>
            </w:r>
            <w:r w:rsidR="00733F2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day 93 demonstrated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mix of cavitating and calcified lung lesions and infiltrative upper zone changes in keeping with known TB,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 new features to explain pyrexia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14:paraId="5B704B48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Repeat MRI head with contrast</w:t>
            </w:r>
            <w:r w:rsidR="00733F2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day 94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showed increased number of enhancing parenchymal foci in keeping with tuberculomata,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 new features to explain pyrexia</w:t>
            </w:r>
          </w:p>
          <w:p w14:paraId="7E04EC0F" w14:textId="0ECF2D8A" w:rsidR="008354F1" w:rsidRPr="00472C42" w:rsidRDefault="001B6E08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Repeated sets of cultures including blood, urine, sputum, viral throat swabs, and blood-borne </w:t>
            </w:r>
            <w:r w:rsidR="00B779DB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viruses remained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negative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1DE0F2AA" w14:textId="20B951FA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Repeat bone marrow aspirate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B6E08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day 114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showed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ongoing </w:t>
            </w:r>
            <w:r w:rsidR="00695C1C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hemophagocytosis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ferritin had </w:t>
            </w:r>
            <w:r w:rsidR="00695C1C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remained high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ranging 2422–4327</w:t>
            </w:r>
            <w:r w:rsidR="00695C1C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56186" w:rsidRPr="005C37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μg</w:t>
            </w:r>
            <w:proofErr w:type="spellEnd"/>
            <w:r w:rsidR="00F56186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695C1C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it was felt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ongoing HLH could explain </w:t>
            </w:r>
            <w:r w:rsidR="00695C1C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pyrexia</w:t>
            </w:r>
            <w:r w:rsidR="00695C1C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="00A51827" w:rsidRPr="00A518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cyclosporine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commenced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8354F1" w:rsidRPr="00472C42" w14:paraId="2270E5A3" w14:textId="77777777" w:rsidTr="00472C42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/>
          </w:tcPr>
          <w:p w14:paraId="38DEAAFD" w14:textId="77777777" w:rsidR="008354F1" w:rsidRPr="00472C42" w:rsidRDefault="008354F1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</w:tcPr>
          <w:p w14:paraId="51526F6B" w14:textId="77777777" w:rsidR="008354F1" w:rsidRPr="00472C42" w:rsidRDefault="008354F1" w:rsidP="00FB3F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Failed AED dose reduction as seizures recurred </w:t>
            </w:r>
          </w:p>
        </w:tc>
        <w:tc>
          <w:tcPr>
            <w:tcW w:w="8048" w:type="dxa"/>
          </w:tcPr>
          <w:p w14:paraId="62894EF6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Reduction in dose of phenytoin and clonazepam attempted.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</w:t>
            </w:r>
            <w:r w:rsidR="004C710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day 91,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patient was off clonazepam and down to 350 mg daily of phenytoin when </w:t>
            </w: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right-sided facial twitching recurred</w:t>
            </w:r>
          </w:p>
          <w:p w14:paraId="48A70D35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Transferred to neurology ward</w:t>
            </w:r>
          </w:p>
          <w:p w14:paraId="4BB27BED" w14:textId="673E3383" w:rsidR="008354F1" w:rsidRPr="00472C42" w:rsidRDefault="008354F1" w:rsidP="00A43B37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Seizures continued for 72 hours,</w:t>
            </w:r>
            <w:r w:rsidR="00A43B37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had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required</w:t>
            </w:r>
            <w:r w:rsidR="004C710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increased phenytoin</w:t>
            </w:r>
            <w:r w:rsidR="00A43B37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C7104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dose</w:t>
            </w:r>
            <w:r w:rsidR="00AE55F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400 mg OD,</w:t>
            </w:r>
            <w:r w:rsidR="00AE55F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43B37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increased</w:t>
            </w:r>
            <w:r w:rsidR="00AE55F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levetiracetam</w:t>
            </w:r>
            <w:r w:rsidR="00A43B37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dose </w:t>
            </w:r>
            <w:r w:rsidR="00AE55F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1</w:t>
            </w:r>
            <w:r w:rsidR="002140F5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 mg</w:t>
            </w:r>
            <w:r w:rsidR="00AE55F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BD,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introduction of clobazam 10 mg BD to terminate</w:t>
            </w:r>
          </w:p>
          <w:p w14:paraId="19490C7D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Transferred back to </w:t>
            </w:r>
            <w:r w:rsidR="00DA17EF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infectious diseases unit 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seizure-free</w:t>
            </w:r>
          </w:p>
        </w:tc>
      </w:tr>
      <w:tr w:rsidR="008354F1" w:rsidRPr="00472C42" w14:paraId="07A7223A" w14:textId="77777777" w:rsidTr="004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</w:tcPr>
          <w:p w14:paraId="602669F7" w14:textId="77777777" w:rsidR="008354F1" w:rsidRPr="00472C42" w:rsidRDefault="00B53926" w:rsidP="00FB3FE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Days 125–168</w:t>
            </w:r>
          </w:p>
        </w:tc>
        <w:tc>
          <w:tcPr>
            <w:tcW w:w="2023" w:type="dxa"/>
          </w:tcPr>
          <w:p w14:paraId="3CBC1B12" w14:textId="77777777" w:rsidR="008354F1" w:rsidRPr="00472C42" w:rsidRDefault="008354F1" w:rsidP="00FB3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Clinical improvement, ongoing rehabilitation, discharged from hospital</w:t>
            </w:r>
          </w:p>
        </w:tc>
        <w:tc>
          <w:tcPr>
            <w:tcW w:w="8048" w:type="dxa"/>
          </w:tcPr>
          <w:p w14:paraId="1767626D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Fevers settled, remained seizure-free</w:t>
            </w:r>
          </w:p>
          <w:p w14:paraId="74379DC0" w14:textId="77777777" w:rsidR="003C2DC9" w:rsidRPr="00472C42" w:rsidRDefault="003C2DC9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 117</w:t>
            </w:r>
            <w:r w:rsidR="008A511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WCC 7.2</w:t>
            </w:r>
            <w:r w:rsidR="008A511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 /L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PLT 248</w:t>
            </w:r>
            <w:r w:rsidR="008A511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 10^9/L, ferritin 860 ug/L</w:t>
            </w:r>
          </w:p>
          <w:p w14:paraId="14ABCAC2" w14:textId="77777777" w:rsidR="00370E49" w:rsidRPr="00472C42" w:rsidRDefault="00370E49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 material change in MRI brain appearances from before (multiple tuberculomata scattered throughout the brain) </w:t>
            </w:r>
          </w:p>
          <w:p w14:paraId="1D8E3FA2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Memory and speech improving</w:t>
            </w:r>
          </w:p>
          <w:p w14:paraId="752BE471" w14:textId="77777777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Ongoing physiotherapy, occupational therapy, and speech-and-language therapy</w:t>
            </w:r>
          </w:p>
          <w:p w14:paraId="2FE7C4E7" w14:textId="77777777" w:rsidR="00821365" w:rsidRPr="00472C42" w:rsidRDefault="00821365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Normal immunology screen</w:t>
            </w:r>
            <w:r w:rsidR="002173ED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 familial HLH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(granule release assay and perforin expression) </w:t>
            </w:r>
          </w:p>
          <w:p w14:paraId="6979A383" w14:textId="16FB2704" w:rsidR="008354F1" w:rsidRPr="00472C42" w:rsidRDefault="0052088A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Discharge m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edications included anti-TB therapy</w:t>
            </w:r>
            <w:r w:rsidR="00AE55FA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and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prednisolone, levetiracetam 1</w:t>
            </w:r>
            <w:r w:rsidR="00B85125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500 mg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 phenytoin 350 mg OD,</w:t>
            </w:r>
            <w:r w:rsidR="00AE55FA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clobazam 10 mg BD, and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A51827" w:rsidRPr="00A518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cyclosporine 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250 </w:t>
            </w:r>
            <w:r w:rsidR="00AE55FA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  <w:r w:rsidR="008354F1" w:rsidRPr="00472C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BD</w:t>
            </w:r>
          </w:p>
          <w:p w14:paraId="7A82D15F" w14:textId="15F4BD29" w:rsidR="008354F1" w:rsidRPr="00472C42" w:rsidRDefault="008354F1" w:rsidP="00FB3FE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Discharged with community rehabilitation arranged and outpatient neurology, </w:t>
            </w:r>
            <w:r w:rsidR="00B779DB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hematology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</w:t>
            </w:r>
            <w:r w:rsidR="00AE55FA"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infectious diseases</w:t>
            </w:r>
            <w:r w:rsidRPr="00472C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follow-up</w:t>
            </w:r>
          </w:p>
        </w:tc>
      </w:tr>
      <w:tr w:rsidR="00FB3FE4" w:rsidRPr="00472C42" w14:paraId="60EAEB5C" w14:textId="77777777" w:rsidTr="00472C4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9" w:type="dxa"/>
            <w:gridSpan w:val="3"/>
          </w:tcPr>
          <w:p w14:paraId="31D8B029" w14:textId="6C15566D" w:rsidR="00FB3FE4" w:rsidRPr="00437C1B" w:rsidRDefault="00FB3FE4" w:rsidP="00E24C4E">
            <w:pPr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lastRenderedPageBreak/>
              <w:t xml:space="preserve">Abbreviations: </w:t>
            </w:r>
            <w:proofErr w:type="spellStart"/>
            <w:r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Hb</w:t>
            </w:r>
            <w:proofErr w:type="spellEnd"/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B779DB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Hemoglobin</w:t>
            </w:r>
            <w:r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,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437C1B" w:rsidRPr="005C37CC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g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Grams, </w:t>
            </w:r>
            <w:r w:rsidR="00437C1B" w:rsidRPr="00605F56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L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liter, </w:t>
            </w:r>
            <w:r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WCC</w:t>
            </w:r>
            <w:r w:rsid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</w:t>
            </w:r>
            <w:r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hite cell count, </w:t>
            </w:r>
            <w:r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PLT</w:t>
            </w:r>
            <w:r w:rsid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P</w:t>
            </w:r>
            <w:r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latelets, </w:t>
            </w:r>
            <w:proofErr w:type="spellStart"/>
            <w:r w:rsidR="00437C1B" w:rsidRPr="00605F56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μg</w:t>
            </w:r>
            <w:proofErr w:type="spellEnd"/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Microgram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, </w:t>
            </w:r>
            <w:r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CRP</w:t>
            </w:r>
            <w:r w:rsid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C-reactive </w:t>
            </w:r>
            <w:r w:rsidR="00B779DB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protein, </w:t>
            </w:r>
            <w:r w:rsidR="00B779DB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CXR</w:t>
            </w:r>
            <w:r w:rsid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C</w:t>
            </w:r>
            <w:r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hest x-ray,</w:t>
            </w:r>
            <w:r w:rsidR="00437C1B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437C1B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HLH</w:t>
            </w:r>
            <w:r w:rsid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437C1B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Hemophagocytic </w:t>
            </w:r>
            <w:proofErr w:type="spellStart"/>
            <w:r w:rsidR="00437C1B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lymphohistiocytosis</w:t>
            </w:r>
            <w:proofErr w:type="spellEnd"/>
            <w:r w:rsidR="00437C1B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, </w:t>
            </w:r>
            <w:r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437C1B" w:rsidRPr="00605F56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HIV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 H</w:t>
            </w:r>
            <w:r w:rsidR="00437C1B" w:rsidRPr="00605F56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uman immunodeficiency virus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, </w:t>
            </w:r>
            <w:r w:rsidR="00437C1B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ITU</w:t>
            </w:r>
            <w:r w:rsid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Intensive care unit, </w:t>
            </w:r>
            <w:r w:rsidR="00950264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PCP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Pneumocystis pneumonia, </w:t>
            </w:r>
            <w:r w:rsidR="00950264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CPAP</w:t>
            </w:r>
            <w:r w:rsid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Continuous positive airway pressure, </w:t>
            </w:r>
            <w:r w:rsidR="00950264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CT-CAP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Computed tomography of the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chest, abdomen, pelvis, </w:t>
            </w:r>
            <w:r w:rsidR="00950264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IV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950264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intravenous, </w:t>
            </w:r>
            <w:r w:rsidR="003C6791" w:rsidRPr="00966081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TB</w:t>
            </w:r>
            <w:r w:rsidR="003C6791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tuberculosis</w:t>
            </w:r>
            <w:r w:rsidR="00C335D1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,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437C1B" w:rsidRPr="00437C1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PCR</w:t>
            </w:r>
            <w:r w:rsid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Polymerase chain reaction,</w:t>
            </w:r>
            <w:r w:rsidR="00C335D1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C335D1" w:rsidRP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EPC</w:t>
            </w:r>
            <w:r w:rsid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C335D1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Epilepsia partialis continua, </w:t>
            </w:r>
            <w:r w:rsidR="00C335D1" w:rsidRP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CSF</w:t>
            </w:r>
            <w:r w:rsidR="00C335D1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cerebrospinal fluid</w:t>
            </w:r>
            <w:r w:rsidR="00923126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, </w:t>
            </w:r>
            <w:r w:rsidR="00923126" w:rsidRP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AED</w:t>
            </w:r>
            <w:r w:rsid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923126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antiepileptic drug</w:t>
            </w:r>
            <w:r w:rsidR="00DA17EF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,</w:t>
            </w:r>
            <w:r w:rsidR="00F56186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F56186" w:rsidRPr="00F56186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EEG</w:t>
            </w:r>
            <w:r w:rsidR="00F56186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Electroencephalogram. </w:t>
            </w:r>
            <w:r w:rsidR="00F56186" w:rsidRPr="00F56186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MRI</w:t>
            </w:r>
            <w:r w:rsidR="00F56186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Magnetic resonance image,</w:t>
            </w:r>
            <w:r w:rsidR="00DA17EF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763959" w:rsidRPr="00605F56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mg</w:t>
            </w:r>
            <w:r w:rsidR="00763959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</w:t>
            </w:r>
            <w:r w:rsidR="00763959" w:rsidRPr="00605F56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Milligram</w:t>
            </w:r>
            <w:r w:rsidR="00763959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,</w:t>
            </w:r>
            <w:r w:rsidR="00763959" w:rsidRP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DA17EF" w:rsidRP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OD</w:t>
            </w:r>
            <w:r w:rsidR="00DA17EF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 xml:space="preserve"> once daily, </w:t>
            </w:r>
            <w:r w:rsidR="00DA17EF" w:rsidRP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>BD</w:t>
            </w:r>
            <w:r w:rsidR="00F64BB0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en-US"/>
              </w:rPr>
              <w:t xml:space="preserve"> </w:t>
            </w:r>
            <w:r w:rsidR="00DA17EF" w:rsidRPr="00437C1B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twice daily</w:t>
            </w:r>
          </w:p>
        </w:tc>
      </w:tr>
    </w:tbl>
    <w:p w14:paraId="2F5419CA" w14:textId="3703C0C9" w:rsidR="00A361E3" w:rsidRPr="00472C42" w:rsidRDefault="00A361E3" w:rsidP="00864590">
      <w:pPr>
        <w:pStyle w:val="Caption"/>
        <w:rPr>
          <w:lang w:val="en-US"/>
        </w:rPr>
      </w:pPr>
    </w:p>
    <w:sectPr w:rsidR="00A361E3" w:rsidRPr="00472C42" w:rsidSect="00A21717">
      <w:pgSz w:w="11900" w:h="16840"/>
      <w:pgMar w:top="601" w:right="1440" w:bottom="6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0C6"/>
    <w:multiLevelType w:val="hybridMultilevel"/>
    <w:tmpl w:val="803CFCEC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3F94"/>
    <w:multiLevelType w:val="hybridMultilevel"/>
    <w:tmpl w:val="7F403712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E2B7F"/>
    <w:multiLevelType w:val="hybridMultilevel"/>
    <w:tmpl w:val="0CE86DE4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B5FEC"/>
    <w:multiLevelType w:val="hybridMultilevel"/>
    <w:tmpl w:val="E166A118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63378"/>
    <w:multiLevelType w:val="hybridMultilevel"/>
    <w:tmpl w:val="6B1EFF9C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87E2F"/>
    <w:multiLevelType w:val="hybridMultilevel"/>
    <w:tmpl w:val="D796419A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41BB9"/>
    <w:multiLevelType w:val="hybridMultilevel"/>
    <w:tmpl w:val="63F0604E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A4EAC"/>
    <w:multiLevelType w:val="hybridMultilevel"/>
    <w:tmpl w:val="C090C70C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96C58"/>
    <w:multiLevelType w:val="hybridMultilevel"/>
    <w:tmpl w:val="8B04C250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6404E4"/>
    <w:multiLevelType w:val="hybridMultilevel"/>
    <w:tmpl w:val="9D30D66A"/>
    <w:lvl w:ilvl="0" w:tplc="2318A00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66"/>
  </w:docVars>
  <w:rsids>
    <w:rsidRoot w:val="005249C5"/>
    <w:rsid w:val="000067B3"/>
    <w:rsid w:val="00007EA1"/>
    <w:rsid w:val="00013731"/>
    <w:rsid w:val="00014891"/>
    <w:rsid w:val="00031397"/>
    <w:rsid w:val="00045F67"/>
    <w:rsid w:val="00052446"/>
    <w:rsid w:val="00054442"/>
    <w:rsid w:val="0006316A"/>
    <w:rsid w:val="00065BE8"/>
    <w:rsid w:val="00090B7A"/>
    <w:rsid w:val="0009211F"/>
    <w:rsid w:val="000A774B"/>
    <w:rsid w:val="000C7AF7"/>
    <w:rsid w:val="000D28A0"/>
    <w:rsid w:val="000D4820"/>
    <w:rsid w:val="0010136D"/>
    <w:rsid w:val="0010197E"/>
    <w:rsid w:val="00110DEC"/>
    <w:rsid w:val="00141353"/>
    <w:rsid w:val="00155A0E"/>
    <w:rsid w:val="00171541"/>
    <w:rsid w:val="00173B28"/>
    <w:rsid w:val="001742F0"/>
    <w:rsid w:val="00177CCC"/>
    <w:rsid w:val="0018511D"/>
    <w:rsid w:val="00197C2C"/>
    <w:rsid w:val="001A0717"/>
    <w:rsid w:val="001A0B8B"/>
    <w:rsid w:val="001B3F35"/>
    <w:rsid w:val="001B6E08"/>
    <w:rsid w:val="001C5BB6"/>
    <w:rsid w:val="001F4345"/>
    <w:rsid w:val="001F7E23"/>
    <w:rsid w:val="002039C2"/>
    <w:rsid w:val="002140F5"/>
    <w:rsid w:val="002173ED"/>
    <w:rsid w:val="0024424A"/>
    <w:rsid w:val="00244C57"/>
    <w:rsid w:val="00247D8C"/>
    <w:rsid w:val="00271AA6"/>
    <w:rsid w:val="002B07A2"/>
    <w:rsid w:val="002D186E"/>
    <w:rsid w:val="002E5D31"/>
    <w:rsid w:val="002E78D9"/>
    <w:rsid w:val="002F5330"/>
    <w:rsid w:val="003230E5"/>
    <w:rsid w:val="00332C20"/>
    <w:rsid w:val="003441A3"/>
    <w:rsid w:val="00346486"/>
    <w:rsid w:val="00352C0A"/>
    <w:rsid w:val="00370E49"/>
    <w:rsid w:val="003727F2"/>
    <w:rsid w:val="00372A85"/>
    <w:rsid w:val="003C0B5F"/>
    <w:rsid w:val="003C2DC9"/>
    <w:rsid w:val="003C6791"/>
    <w:rsid w:val="003C7DE1"/>
    <w:rsid w:val="003D165F"/>
    <w:rsid w:val="003D2925"/>
    <w:rsid w:val="003E661F"/>
    <w:rsid w:val="003E7AD4"/>
    <w:rsid w:val="0042337B"/>
    <w:rsid w:val="00427D61"/>
    <w:rsid w:val="00431981"/>
    <w:rsid w:val="00437C1B"/>
    <w:rsid w:val="00445958"/>
    <w:rsid w:val="0045360F"/>
    <w:rsid w:val="00453F0F"/>
    <w:rsid w:val="004542ED"/>
    <w:rsid w:val="00456677"/>
    <w:rsid w:val="00472C42"/>
    <w:rsid w:val="004B27AD"/>
    <w:rsid w:val="004C00DB"/>
    <w:rsid w:val="004C7104"/>
    <w:rsid w:val="004D2746"/>
    <w:rsid w:val="004F5580"/>
    <w:rsid w:val="004F5924"/>
    <w:rsid w:val="0052088A"/>
    <w:rsid w:val="005243FA"/>
    <w:rsid w:val="005249C5"/>
    <w:rsid w:val="00530CF7"/>
    <w:rsid w:val="00545BF4"/>
    <w:rsid w:val="00546CD1"/>
    <w:rsid w:val="0055487C"/>
    <w:rsid w:val="00555243"/>
    <w:rsid w:val="00561513"/>
    <w:rsid w:val="005634A3"/>
    <w:rsid w:val="00581C96"/>
    <w:rsid w:val="005844C8"/>
    <w:rsid w:val="005C5782"/>
    <w:rsid w:val="005D30D2"/>
    <w:rsid w:val="005D4403"/>
    <w:rsid w:val="005D6BAE"/>
    <w:rsid w:val="005E3212"/>
    <w:rsid w:val="005F1180"/>
    <w:rsid w:val="00604B89"/>
    <w:rsid w:val="00605FB9"/>
    <w:rsid w:val="00607A0E"/>
    <w:rsid w:val="006129B2"/>
    <w:rsid w:val="00617A07"/>
    <w:rsid w:val="006271A7"/>
    <w:rsid w:val="00634A72"/>
    <w:rsid w:val="006408A8"/>
    <w:rsid w:val="006474AB"/>
    <w:rsid w:val="00651D4C"/>
    <w:rsid w:val="00673CBE"/>
    <w:rsid w:val="00695C1C"/>
    <w:rsid w:val="006B0206"/>
    <w:rsid w:val="006B58D8"/>
    <w:rsid w:val="006C4483"/>
    <w:rsid w:val="006C5054"/>
    <w:rsid w:val="007010EB"/>
    <w:rsid w:val="00706E82"/>
    <w:rsid w:val="00717434"/>
    <w:rsid w:val="00733EA3"/>
    <w:rsid w:val="00733F2A"/>
    <w:rsid w:val="007404D6"/>
    <w:rsid w:val="00743EF6"/>
    <w:rsid w:val="00750156"/>
    <w:rsid w:val="007622BA"/>
    <w:rsid w:val="00763959"/>
    <w:rsid w:val="00770750"/>
    <w:rsid w:val="0078533B"/>
    <w:rsid w:val="007876F8"/>
    <w:rsid w:val="007C657D"/>
    <w:rsid w:val="007E3DE9"/>
    <w:rsid w:val="007F1AF6"/>
    <w:rsid w:val="00802204"/>
    <w:rsid w:val="008209ED"/>
    <w:rsid w:val="00821365"/>
    <w:rsid w:val="008317AE"/>
    <w:rsid w:val="00832C28"/>
    <w:rsid w:val="008354F1"/>
    <w:rsid w:val="00864590"/>
    <w:rsid w:val="00867C36"/>
    <w:rsid w:val="00886840"/>
    <w:rsid w:val="008A511D"/>
    <w:rsid w:val="008D5F05"/>
    <w:rsid w:val="008E082E"/>
    <w:rsid w:val="008E1418"/>
    <w:rsid w:val="008E3CC4"/>
    <w:rsid w:val="008F3E9C"/>
    <w:rsid w:val="008F7591"/>
    <w:rsid w:val="00910088"/>
    <w:rsid w:val="00912AC2"/>
    <w:rsid w:val="00923126"/>
    <w:rsid w:val="00923923"/>
    <w:rsid w:val="00925318"/>
    <w:rsid w:val="00932AAA"/>
    <w:rsid w:val="00950264"/>
    <w:rsid w:val="00962A15"/>
    <w:rsid w:val="009638BD"/>
    <w:rsid w:val="00966081"/>
    <w:rsid w:val="00970C17"/>
    <w:rsid w:val="0097663A"/>
    <w:rsid w:val="00976EC4"/>
    <w:rsid w:val="00987CB7"/>
    <w:rsid w:val="009A0DC9"/>
    <w:rsid w:val="009A2D42"/>
    <w:rsid w:val="009C03A1"/>
    <w:rsid w:val="009C063C"/>
    <w:rsid w:val="009C29DE"/>
    <w:rsid w:val="009C7ACF"/>
    <w:rsid w:val="009F4F74"/>
    <w:rsid w:val="00A00A6F"/>
    <w:rsid w:val="00A01492"/>
    <w:rsid w:val="00A028F1"/>
    <w:rsid w:val="00A117BE"/>
    <w:rsid w:val="00A14A15"/>
    <w:rsid w:val="00A1751C"/>
    <w:rsid w:val="00A21717"/>
    <w:rsid w:val="00A361E3"/>
    <w:rsid w:val="00A43B37"/>
    <w:rsid w:val="00A45626"/>
    <w:rsid w:val="00A51827"/>
    <w:rsid w:val="00A55E29"/>
    <w:rsid w:val="00A56F64"/>
    <w:rsid w:val="00A71567"/>
    <w:rsid w:val="00A730A8"/>
    <w:rsid w:val="00A84F05"/>
    <w:rsid w:val="00A91CE0"/>
    <w:rsid w:val="00A93A8B"/>
    <w:rsid w:val="00AA3C2D"/>
    <w:rsid w:val="00AA74B7"/>
    <w:rsid w:val="00AB274D"/>
    <w:rsid w:val="00AC7236"/>
    <w:rsid w:val="00AD2643"/>
    <w:rsid w:val="00AD7D28"/>
    <w:rsid w:val="00AE55FA"/>
    <w:rsid w:val="00AF666A"/>
    <w:rsid w:val="00B00931"/>
    <w:rsid w:val="00B02FA0"/>
    <w:rsid w:val="00B050B3"/>
    <w:rsid w:val="00B21582"/>
    <w:rsid w:val="00B2629F"/>
    <w:rsid w:val="00B30DD9"/>
    <w:rsid w:val="00B47D15"/>
    <w:rsid w:val="00B53926"/>
    <w:rsid w:val="00B53BD5"/>
    <w:rsid w:val="00B75366"/>
    <w:rsid w:val="00B779DB"/>
    <w:rsid w:val="00B85125"/>
    <w:rsid w:val="00B901D5"/>
    <w:rsid w:val="00B9399C"/>
    <w:rsid w:val="00BA09E9"/>
    <w:rsid w:val="00BA0AFD"/>
    <w:rsid w:val="00BC5909"/>
    <w:rsid w:val="00BF7EFE"/>
    <w:rsid w:val="00C13707"/>
    <w:rsid w:val="00C2253D"/>
    <w:rsid w:val="00C26916"/>
    <w:rsid w:val="00C335D1"/>
    <w:rsid w:val="00C40CB3"/>
    <w:rsid w:val="00C57F7A"/>
    <w:rsid w:val="00C731B1"/>
    <w:rsid w:val="00CB694A"/>
    <w:rsid w:val="00CC2E43"/>
    <w:rsid w:val="00CE2DFB"/>
    <w:rsid w:val="00D02DEA"/>
    <w:rsid w:val="00D034A6"/>
    <w:rsid w:val="00D12D06"/>
    <w:rsid w:val="00D3392A"/>
    <w:rsid w:val="00D55A94"/>
    <w:rsid w:val="00D55F50"/>
    <w:rsid w:val="00D93FA3"/>
    <w:rsid w:val="00DA17EF"/>
    <w:rsid w:val="00DE004E"/>
    <w:rsid w:val="00DF190E"/>
    <w:rsid w:val="00E026DB"/>
    <w:rsid w:val="00E16323"/>
    <w:rsid w:val="00E24C4E"/>
    <w:rsid w:val="00E366AF"/>
    <w:rsid w:val="00E408FB"/>
    <w:rsid w:val="00E421F8"/>
    <w:rsid w:val="00E44E7B"/>
    <w:rsid w:val="00E5750D"/>
    <w:rsid w:val="00E6426A"/>
    <w:rsid w:val="00E91D09"/>
    <w:rsid w:val="00E940B6"/>
    <w:rsid w:val="00EA027A"/>
    <w:rsid w:val="00EB0368"/>
    <w:rsid w:val="00EB64CB"/>
    <w:rsid w:val="00EC6426"/>
    <w:rsid w:val="00ED561A"/>
    <w:rsid w:val="00EE1056"/>
    <w:rsid w:val="00F106BC"/>
    <w:rsid w:val="00F13F61"/>
    <w:rsid w:val="00F36469"/>
    <w:rsid w:val="00F54558"/>
    <w:rsid w:val="00F56186"/>
    <w:rsid w:val="00F57677"/>
    <w:rsid w:val="00F64BB0"/>
    <w:rsid w:val="00F87488"/>
    <w:rsid w:val="00F87B48"/>
    <w:rsid w:val="00F929A4"/>
    <w:rsid w:val="00FA1B43"/>
    <w:rsid w:val="00FB3FE4"/>
    <w:rsid w:val="00FB6F6D"/>
    <w:rsid w:val="00FC43A1"/>
    <w:rsid w:val="00FC6D54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AC26"/>
  <w15:docId w15:val="{F82047D3-C88B-3E4D-8103-3D6D7018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28"/>
    <w:pPr>
      <w:ind w:left="720"/>
      <w:contextualSpacing/>
    </w:pPr>
  </w:style>
  <w:style w:type="table" w:styleId="TableGrid">
    <w:name w:val="Table Grid"/>
    <w:basedOn w:val="TableNormal"/>
    <w:uiPriority w:val="39"/>
    <w:rsid w:val="0055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D6B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D6B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D6B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2B07A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24C4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MBIZVO Gashirai</dc:creator>
  <cp:keywords/>
  <dc:description/>
  <cp:lastModifiedBy>MBIZVO Gashirai</cp:lastModifiedBy>
  <cp:revision>29</cp:revision>
  <cp:lastPrinted>2019-05-06T09:19:00Z</cp:lastPrinted>
  <dcterms:created xsi:type="dcterms:W3CDTF">2019-04-02T08:15:00Z</dcterms:created>
  <dcterms:modified xsi:type="dcterms:W3CDTF">2019-05-11T23:28:00Z</dcterms:modified>
</cp:coreProperties>
</file>