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A0" w:rsidRDefault="007617A0" w:rsidP="007617A0">
      <w:pPr>
        <w:spacing w:line="360" w:lineRule="auto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Supplemental material</w:t>
      </w:r>
    </w:p>
    <w:p w:rsidR="007617A0" w:rsidRPr="009A0252" w:rsidRDefault="007617A0" w:rsidP="007617A0">
      <w:pPr>
        <w:spacing w:line="360" w:lineRule="auto"/>
        <w:rPr>
          <w:rFonts w:ascii="Arial" w:hAnsi="Arial" w:cs="Arial"/>
          <w:lang w:val="en-US"/>
        </w:rPr>
      </w:pPr>
      <w:r w:rsidRPr="009A0252">
        <w:rPr>
          <w:rFonts w:ascii="Arial" w:hAnsi="Arial" w:cs="Arial"/>
          <w:lang w:val="en-US"/>
        </w:rPr>
        <w:t>Table S1</w:t>
      </w:r>
      <w:r>
        <w:rPr>
          <w:rFonts w:ascii="Arial" w:hAnsi="Arial" w:cs="Arial"/>
          <w:lang w:val="en-US"/>
        </w:rPr>
        <w:t xml:space="preserve"> Safety data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86"/>
        <w:gridCol w:w="2786"/>
        <w:gridCol w:w="2787"/>
      </w:tblGrid>
      <w:tr w:rsidR="007617A0" w:rsidRPr="002905BF" w:rsidTr="00CB1A5C">
        <w:trPr>
          <w:trHeight w:val="506"/>
        </w:trPr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05BF">
              <w:rPr>
                <w:rFonts w:ascii="Arial" w:hAnsi="Arial" w:cs="Arial"/>
                <w:lang w:val="en-US"/>
              </w:rPr>
              <w:t>IDegAsp</w:t>
            </w:r>
            <w:proofErr w:type="spellEnd"/>
            <w:r w:rsidRPr="002905BF">
              <w:rPr>
                <w:rFonts w:ascii="Arial" w:hAnsi="Arial" w:cs="Arial"/>
                <w:lang w:val="en-US"/>
              </w:rPr>
              <w:t xml:space="preserve"> BID + </w:t>
            </w:r>
            <w:proofErr w:type="spellStart"/>
            <w:r w:rsidRPr="002905BF">
              <w:rPr>
                <w:rFonts w:ascii="Arial" w:hAnsi="Arial" w:cs="Arial"/>
                <w:lang w:val="en-US"/>
              </w:rPr>
              <w:t>IAsp</w:t>
            </w:r>
            <w:proofErr w:type="spellEnd"/>
            <w:r w:rsidRPr="002905BF">
              <w:rPr>
                <w:rFonts w:ascii="Arial" w:hAnsi="Arial" w:cs="Arial"/>
                <w:lang w:val="en-US"/>
              </w:rPr>
              <w:t xml:space="preserve"> OD</w:t>
            </w:r>
          </w:p>
        </w:tc>
        <w:tc>
          <w:tcPr>
            <w:tcW w:w="2787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 xml:space="preserve">IDeg OD + </w:t>
            </w:r>
            <w:proofErr w:type="spellStart"/>
            <w:r w:rsidRPr="002905BF">
              <w:rPr>
                <w:rFonts w:ascii="Arial" w:hAnsi="Arial" w:cs="Arial"/>
                <w:lang w:val="en-US"/>
              </w:rPr>
              <w:t>IAsp</w:t>
            </w:r>
            <w:proofErr w:type="spellEnd"/>
            <w:r w:rsidRPr="002905BF">
              <w:rPr>
                <w:rFonts w:ascii="Arial" w:hAnsi="Arial" w:cs="Arial"/>
                <w:lang w:val="en-US"/>
              </w:rPr>
              <w:t xml:space="preserve"> TID</w:t>
            </w:r>
          </w:p>
        </w:tc>
      </w:tr>
      <w:tr w:rsidR="007617A0" w:rsidRPr="002905BF" w:rsidTr="00CB1A5C">
        <w:trPr>
          <w:trHeight w:val="506"/>
        </w:trPr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 xml:space="preserve">All patients </w:t>
            </w:r>
          </w:p>
        </w:tc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2787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20</w:t>
            </w:r>
          </w:p>
        </w:tc>
      </w:tr>
      <w:tr w:rsidR="007617A0" w:rsidRPr="002905BF" w:rsidTr="00CB1A5C">
        <w:trPr>
          <w:trHeight w:val="506"/>
        </w:trPr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 xml:space="preserve">Number of patients with </w:t>
            </w:r>
            <w:r>
              <w:rPr>
                <w:rFonts w:ascii="Arial" w:hAnsi="Arial" w:cs="Arial"/>
                <w:lang w:val="en-US"/>
              </w:rPr>
              <w:t xml:space="preserve">adverse </w:t>
            </w:r>
            <w:r w:rsidRPr="002905BF">
              <w:rPr>
                <w:rFonts w:ascii="Arial" w:hAnsi="Arial" w:cs="Arial"/>
                <w:lang w:val="en-US"/>
              </w:rPr>
              <w:t>events</w:t>
            </w:r>
          </w:p>
        </w:tc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787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17</w:t>
            </w:r>
          </w:p>
        </w:tc>
      </w:tr>
      <w:tr w:rsidR="007617A0" w:rsidRPr="002905BF" w:rsidTr="00CB1A5C">
        <w:trPr>
          <w:trHeight w:val="506"/>
        </w:trPr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 xml:space="preserve">Percentage of patients with </w:t>
            </w:r>
            <w:r>
              <w:rPr>
                <w:rFonts w:ascii="Arial" w:hAnsi="Arial" w:cs="Arial"/>
                <w:lang w:val="en-US"/>
              </w:rPr>
              <w:t xml:space="preserve">adverse </w:t>
            </w:r>
            <w:r w:rsidRPr="002905BF">
              <w:rPr>
                <w:rFonts w:ascii="Arial" w:hAnsi="Arial" w:cs="Arial"/>
                <w:lang w:val="en-US"/>
              </w:rPr>
              <w:t xml:space="preserve">events </w:t>
            </w:r>
          </w:p>
        </w:tc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75%</w:t>
            </w:r>
          </w:p>
        </w:tc>
        <w:tc>
          <w:tcPr>
            <w:tcW w:w="2787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85%</w:t>
            </w:r>
          </w:p>
        </w:tc>
      </w:tr>
      <w:tr w:rsidR="007617A0" w:rsidRPr="002905BF" w:rsidTr="00CB1A5C">
        <w:trPr>
          <w:trHeight w:val="506"/>
        </w:trPr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 xml:space="preserve">Number of </w:t>
            </w:r>
            <w:r>
              <w:rPr>
                <w:rFonts w:ascii="Arial" w:hAnsi="Arial" w:cs="Arial"/>
                <w:lang w:val="en-US"/>
              </w:rPr>
              <w:t xml:space="preserve">adverse </w:t>
            </w:r>
            <w:r w:rsidRPr="002905BF">
              <w:rPr>
                <w:rFonts w:ascii="Arial" w:hAnsi="Arial" w:cs="Arial"/>
                <w:lang w:val="en-US"/>
              </w:rPr>
              <w:t>events</w:t>
            </w:r>
          </w:p>
        </w:tc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33</w:t>
            </w:r>
          </w:p>
        </w:tc>
        <w:tc>
          <w:tcPr>
            <w:tcW w:w="2787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45</w:t>
            </w:r>
          </w:p>
        </w:tc>
      </w:tr>
      <w:tr w:rsidR="007617A0" w:rsidRPr="002905BF" w:rsidTr="00CB1A5C">
        <w:trPr>
          <w:trHeight w:val="506"/>
        </w:trPr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Adverse event rate per 100 PYE</w:t>
            </w:r>
          </w:p>
        </w:tc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380</w:t>
            </w:r>
          </w:p>
        </w:tc>
        <w:tc>
          <w:tcPr>
            <w:tcW w:w="2787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514</w:t>
            </w:r>
          </w:p>
        </w:tc>
      </w:tr>
      <w:tr w:rsidR="007617A0" w:rsidRPr="002905BF" w:rsidTr="00CB1A5C">
        <w:trPr>
          <w:trHeight w:val="506"/>
        </w:trPr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Number of EAC confirmed cardiovascular events </w:t>
            </w:r>
          </w:p>
        </w:tc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87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7617A0" w:rsidRPr="002905BF" w:rsidTr="00CB1A5C">
        <w:trPr>
          <w:trHeight w:val="506"/>
        </w:trPr>
        <w:tc>
          <w:tcPr>
            <w:tcW w:w="2786" w:type="dxa"/>
            <w:vAlign w:val="center"/>
          </w:tcPr>
          <w:p w:rsidR="007617A0" w:rsidRDefault="007617A0" w:rsidP="00CB1A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Percentage of patients with EAC confirmed cardiovascular events </w:t>
            </w:r>
          </w:p>
        </w:tc>
        <w:tc>
          <w:tcPr>
            <w:tcW w:w="2786" w:type="dxa"/>
            <w:vAlign w:val="center"/>
          </w:tcPr>
          <w:p w:rsidR="007617A0" w:rsidRDefault="007617A0" w:rsidP="00CB1A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0%</w:t>
            </w:r>
          </w:p>
        </w:tc>
        <w:tc>
          <w:tcPr>
            <w:tcW w:w="2787" w:type="dxa"/>
            <w:vAlign w:val="center"/>
          </w:tcPr>
          <w:p w:rsidR="007617A0" w:rsidRDefault="007617A0" w:rsidP="00CB1A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5%</w:t>
            </w:r>
          </w:p>
        </w:tc>
      </w:tr>
      <w:tr w:rsidR="007617A0" w:rsidRPr="002905BF" w:rsidTr="00CB1A5C">
        <w:trPr>
          <w:trHeight w:val="506"/>
        </w:trPr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Num</w:t>
            </w:r>
            <w:r>
              <w:rPr>
                <w:rFonts w:ascii="Arial" w:hAnsi="Arial" w:cs="Arial"/>
                <w:lang w:val="en-US"/>
              </w:rPr>
              <w:t>ber of patients with serious adverse events</w:t>
            </w:r>
          </w:p>
        </w:tc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787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2</w:t>
            </w:r>
          </w:p>
        </w:tc>
      </w:tr>
      <w:tr w:rsidR="007617A0" w:rsidRPr="002905BF" w:rsidTr="00CB1A5C">
        <w:trPr>
          <w:trHeight w:val="506"/>
        </w:trPr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Percent</w:t>
            </w:r>
            <w:r>
              <w:rPr>
                <w:rFonts w:ascii="Arial" w:hAnsi="Arial" w:cs="Arial"/>
                <w:lang w:val="en-US"/>
              </w:rPr>
              <w:t>age of patients with serious adverse events</w:t>
            </w:r>
          </w:p>
        </w:tc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10%</w:t>
            </w:r>
          </w:p>
        </w:tc>
        <w:tc>
          <w:tcPr>
            <w:tcW w:w="2787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10%</w:t>
            </w:r>
          </w:p>
        </w:tc>
      </w:tr>
      <w:tr w:rsidR="007617A0" w:rsidRPr="002905BF" w:rsidTr="00CB1A5C">
        <w:trPr>
          <w:trHeight w:val="506"/>
        </w:trPr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 xml:space="preserve">Number of </w:t>
            </w:r>
            <w:r>
              <w:rPr>
                <w:rFonts w:ascii="Arial" w:hAnsi="Arial" w:cs="Arial"/>
                <w:lang w:val="en-US"/>
              </w:rPr>
              <w:t xml:space="preserve">serious adverse </w:t>
            </w:r>
            <w:r w:rsidRPr="002905BF">
              <w:rPr>
                <w:rFonts w:ascii="Arial" w:hAnsi="Arial" w:cs="Arial"/>
                <w:lang w:val="en-US"/>
              </w:rPr>
              <w:t xml:space="preserve">events </w:t>
            </w:r>
          </w:p>
        </w:tc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2787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3</w:t>
            </w:r>
          </w:p>
        </w:tc>
      </w:tr>
      <w:tr w:rsidR="007617A0" w:rsidRPr="002905BF" w:rsidTr="00CB1A5C">
        <w:trPr>
          <w:trHeight w:val="506"/>
        </w:trPr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Serious adverse event rate per 100 PYE</w:t>
            </w:r>
          </w:p>
        </w:tc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23</w:t>
            </w:r>
          </w:p>
        </w:tc>
        <w:tc>
          <w:tcPr>
            <w:tcW w:w="2787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34</w:t>
            </w:r>
          </w:p>
        </w:tc>
      </w:tr>
      <w:tr w:rsidR="007617A0" w:rsidRPr="002905BF" w:rsidTr="00CB1A5C">
        <w:trPr>
          <w:trHeight w:val="506"/>
        </w:trPr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Number of patients with withdrawn due to AEs</w:t>
            </w:r>
          </w:p>
        </w:tc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2787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1</w:t>
            </w:r>
          </w:p>
        </w:tc>
      </w:tr>
      <w:tr w:rsidR="007617A0" w:rsidRPr="002905BF" w:rsidTr="00CB1A5C">
        <w:trPr>
          <w:trHeight w:val="506"/>
        </w:trPr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Percentage of patients withdrawn due to AEs.</w:t>
            </w:r>
          </w:p>
        </w:tc>
        <w:tc>
          <w:tcPr>
            <w:tcW w:w="2786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0%</w:t>
            </w:r>
          </w:p>
        </w:tc>
        <w:tc>
          <w:tcPr>
            <w:tcW w:w="2787" w:type="dxa"/>
            <w:vAlign w:val="center"/>
          </w:tcPr>
          <w:p w:rsidR="007617A0" w:rsidRPr="002905BF" w:rsidRDefault="007617A0" w:rsidP="00CB1A5C">
            <w:pPr>
              <w:rPr>
                <w:rFonts w:ascii="Arial" w:hAnsi="Arial" w:cs="Arial"/>
                <w:lang w:val="en-US"/>
              </w:rPr>
            </w:pPr>
            <w:r w:rsidRPr="002905BF">
              <w:rPr>
                <w:rFonts w:ascii="Arial" w:hAnsi="Arial" w:cs="Arial"/>
                <w:lang w:val="en-US"/>
              </w:rPr>
              <w:t>5%</w:t>
            </w:r>
          </w:p>
        </w:tc>
      </w:tr>
    </w:tbl>
    <w:p w:rsidR="007617A0" w:rsidRDefault="007617A0" w:rsidP="007617A0">
      <w:pPr>
        <w:spacing w:after="0" w:line="240" w:lineRule="auto"/>
        <w:ind w:left="-142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 AEs, adverse events; </w:t>
      </w:r>
      <w:r w:rsidRPr="0048582E">
        <w:rPr>
          <w:rFonts w:ascii="Arial" w:hAnsi="Arial" w:cs="Arial"/>
          <w:sz w:val="20"/>
          <w:lang w:val="en-US"/>
        </w:rPr>
        <w:t>EAC, event adjudication committee</w:t>
      </w:r>
      <w:r>
        <w:rPr>
          <w:rFonts w:ascii="Arial" w:hAnsi="Arial" w:cs="Arial"/>
          <w:sz w:val="20"/>
          <w:lang w:val="en-US"/>
        </w:rPr>
        <w:t xml:space="preserve">. </w:t>
      </w:r>
    </w:p>
    <w:p w:rsidR="007617A0" w:rsidRPr="0048582E" w:rsidRDefault="007617A0" w:rsidP="007617A0">
      <w:pPr>
        <w:spacing w:after="0" w:line="240" w:lineRule="auto"/>
        <w:ind w:left="-142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 *The following events were evaluated and adjudicated by the EAC: acute coronary syndrome (ST elevation myocardial infarction, non-ST elevation myocardial infarction, </w:t>
      </w:r>
      <w:proofErr w:type="gramStart"/>
      <w:r>
        <w:rPr>
          <w:rFonts w:ascii="Arial" w:hAnsi="Arial" w:cs="Arial"/>
          <w:sz w:val="20"/>
          <w:lang w:val="en-US"/>
        </w:rPr>
        <w:t>unstable</w:t>
      </w:r>
      <w:proofErr w:type="gramEnd"/>
      <w:r>
        <w:rPr>
          <w:rFonts w:ascii="Arial" w:hAnsi="Arial" w:cs="Arial"/>
          <w:sz w:val="20"/>
          <w:lang w:val="en-US"/>
        </w:rPr>
        <w:t xml:space="preserve"> angina pectoris); stroke; cardiovascular death. </w:t>
      </w:r>
    </w:p>
    <w:p w:rsidR="007617A0" w:rsidRPr="002905BF" w:rsidRDefault="007617A0" w:rsidP="007617A0">
      <w:pPr>
        <w:rPr>
          <w:lang w:val="en-US"/>
        </w:rPr>
      </w:pPr>
    </w:p>
    <w:p w:rsidR="007617A0" w:rsidRDefault="007617A0" w:rsidP="007617A0"/>
    <w:p w:rsidR="00EB5C92" w:rsidRDefault="00EB5C92">
      <w:bookmarkStart w:id="0" w:name="_GoBack"/>
      <w:bookmarkEnd w:id="0"/>
    </w:p>
    <w:sectPr w:rsidR="00EB5C92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480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71B7" w:rsidRDefault="00761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1B7" w:rsidRDefault="007617A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A0"/>
    <w:rsid w:val="007617A0"/>
    <w:rsid w:val="00C82524"/>
    <w:rsid w:val="00EB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FC4FF-33E9-4B63-80F9-D61C1753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7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76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617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7A0"/>
  </w:style>
  <w:style w:type="table" w:styleId="TableGrid">
    <w:name w:val="Table Grid"/>
    <w:basedOn w:val="TableNormal"/>
    <w:uiPriority w:val="39"/>
    <w:rsid w:val="00761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938545A0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 Communications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Parker</dc:creator>
  <cp:keywords/>
  <dc:description/>
  <cp:lastModifiedBy>Gabrielle Parker</cp:lastModifiedBy>
  <cp:revision>1</cp:revision>
  <dcterms:created xsi:type="dcterms:W3CDTF">2016-09-23T13:19:00Z</dcterms:created>
  <dcterms:modified xsi:type="dcterms:W3CDTF">2016-09-23T13:20:00Z</dcterms:modified>
</cp:coreProperties>
</file>