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7" w:rsidRPr="00F50296" w:rsidRDefault="0010247B" w:rsidP="004902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0296">
        <w:rPr>
          <w:rFonts w:ascii="Times New Roman" w:hAnsi="Times New Roman" w:cs="Times New Roman"/>
          <w:b/>
          <w:sz w:val="24"/>
          <w:szCs w:val="24"/>
        </w:rPr>
        <w:t>Appendix 1</w:t>
      </w:r>
      <w:r w:rsidR="00490277" w:rsidRPr="00F502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90277" w:rsidRPr="00F5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77" w:rsidRPr="00F50296">
        <w:rPr>
          <w:rFonts w:ascii="Times New Roman" w:hAnsi="Times New Roman" w:cs="Times New Roman"/>
          <w:sz w:val="24"/>
          <w:szCs w:val="24"/>
        </w:rPr>
        <w:t>Search strategy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Cochrane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Library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 Issue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6 2015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Search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>Name</w:t>
      </w:r>
      <w:proofErr w:type="gramStart"/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>:Antihyperglycemics</w:t>
      </w:r>
      <w:proofErr w:type="spellEnd"/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review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Last Saved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:17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/07/2015 14:06:03.665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Description: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IDSearch</w:t>
      </w:r>
      <w:proofErr w:type="spell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"Diabetes Mellitus"]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F50296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#2[</w:t>
      </w:r>
      <w:proofErr w:type="spellStart"/>
      <w:r w:rsidRPr="00F50296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mh</w:t>
      </w:r>
      <w:proofErr w:type="spellEnd"/>
      <w:r w:rsidRPr="00F50296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"Diabetes </w:t>
      </w:r>
      <w:proofErr w:type="spellStart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Mellitus</w:t>
      </w:r>
      <w:proofErr w:type="spellEnd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Type 2"] </w:t>
      </w:r>
      <w:r w:rsidRPr="00F50296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Pr="00F50296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#3[</w:t>
      </w:r>
      <w:proofErr w:type="spellStart"/>
      <w:r w:rsidRPr="00F50296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mh</w:t>
      </w:r>
      <w:proofErr w:type="spellEnd"/>
      <w:r w:rsidRPr="00F50296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"Diabetes </w:t>
      </w:r>
      <w:proofErr w:type="spellStart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Mellitus</w:t>
      </w:r>
      <w:proofErr w:type="spellEnd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Type 1"] </w:t>
      </w:r>
      <w:r w:rsidRPr="00F50296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"insulin resistance"]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#5[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"glucose intolerance"]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#6(MODY or NIDDM or T2DM)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#7(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 insulin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 depend* or noninsulin* depend* or noninsulin depend* or noninsulin depend*)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#8(insulin* depend* or insulin* depend* or insulin depend* or insulin depend*)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#9((keto*resist*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*keto*) near/3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#10(((late or adult*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matur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 or slow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stabl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 near/3 onset) and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#11{or #1-#10}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#12[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"Dose-Response Relationship, Drug"]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#13[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"Drug Administration Schedule"]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#14[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"Drug Substitution"]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#15((down or drug or dose) near/3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titrat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#16((drug or dose) near/3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reduc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#17((drug or dose) near/3 de-escalation)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#18((drug or dose) near/3 taper$)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#19(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discontinu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#20(withdraw*)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#21(stop*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spac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#22(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ceas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* or cessation)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#23(interval near/3 widening)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#24(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deprescri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* or de-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*):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ti</w:t>
      </w:r>
      <w:proofErr w:type="gram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,ab</w:t>
      </w:r>
      <w:proofErr w:type="spellEnd"/>
      <w:proofErr w:type="gram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#25(interval near/3 spacing)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#26discontinu*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#27eliminat*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#28reduc*.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#29{or #12-#28}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#30#11 and #29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#31[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"Hypoglycemic Agents"]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#32(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antihyperglycemic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anti-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hypergylcemic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#33[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Metformin]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#34[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"Sulfonylurea Compounds"]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#35(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Meglitinides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Sulfonylurea)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#36[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Glyburide]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#37(glyburide*)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#38[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Thiazolidinediones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#39(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Glitazones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TZD*)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#40[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"Dipeptidyl-Peptidase IV Inhibitors"]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#41[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"Glucagon-Like Peptide 1"]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#42[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Insulin]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#43[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"Insulin, Long-Acting"]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#44[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mh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"Insulin, Short-Acting"]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#45{or #31-#44}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#46#30 and #45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Database: Ovid MEDLINE(R) In-Process &amp; Other Non-Indexed Citations and Ovid MEDLINE(R) &lt;1946 to Present&gt;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Search Strategy: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--------------------------------------------------------------------------------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     Diabetes Mellitus/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dt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(13584)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2    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Diabetes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Mellitus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Type 2/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dt</w:t>
      </w:r>
      <w:proofErr w:type="spellEnd"/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(22806)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3    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Diabetes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Mellitus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Type 1/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dt</w:t>
      </w:r>
      <w:proofErr w:type="spellEnd"/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(11593)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4     (renal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adj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insufficiency).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(6496)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5     (impaired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glucos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toleranc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glucos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intoleranc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or insulin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resistan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(20591)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6     (MODY or NIDDM or T2DM).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(16197)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7     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 insulin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depend$ or noninsulin$ depend$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noninsulin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?depend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noninsulin?depend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(12040)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8     (insulin$ depend$ or insulin$ depend$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insulin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?depend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insulin?depend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(10989)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9     ((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 2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II or typ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?2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typ?II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adj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(88896)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10     ((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 1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 or typ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?1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typ?I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adj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(34800)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11     ((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keto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?resist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non?keto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 adj3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(195)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12     (((late or adult$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matur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or slow 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stabl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 adj3 onset) and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(3718)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13     or/1-12 (181975)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14     Dose-Response Relationship, Drug/ (353106)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15     Drug Administration Schedule/ (88851)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16    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Drug Substitution/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mt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[Methods] (101)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17     ((down or drug or dose) adj3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titrat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(3492)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18     ((drug or dose) adj3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reduc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(43482)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19     ((drug or dose) adj3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de$escalation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(22)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20     ((drug or dose) adj3 taper$).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(880)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21    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discontinu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(7308)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22     withdraw$.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(18194)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23    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spac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(43389)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24     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ceas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or cessation).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(74574)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25     stop$.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(11370)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26     (interval adj3 widening).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(42)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27     (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deprescri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$ or de-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$).</w:t>
      </w:r>
      <w:proofErr w:type="spell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ti</w:t>
      </w:r>
      <w:proofErr w:type="gramStart"/>
      <w:r w:rsidRPr="004E48A8">
        <w:rPr>
          <w:rStyle w:val="spellingerror"/>
          <w:rFonts w:ascii="Arial" w:hAnsi="Arial" w:cs="Arial"/>
          <w:color w:val="000000"/>
          <w:sz w:val="22"/>
          <w:szCs w:val="22"/>
          <w:lang w:val="fr-CA"/>
        </w:rPr>
        <w:t>,ab</w:t>
      </w:r>
      <w:proofErr w:type="spellEnd"/>
      <w:proofErr w:type="gram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(67)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28     (interval adj3 spacing).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(41)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29    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discontinu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(7308)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30    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eliminat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(23103)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31    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reduc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(233877)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32     or/14-31 (848120)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33     Hypoglycemic Agents/ad, ae,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th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, to [Administration &amp; Dosage, Adverse Effects, Therapeutic Use, Therapy, Toxicity] (33891)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34     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antihyperglycemic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anti-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hypergylcemic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(1749)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35     Metformin/ad,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tu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[Administration &amp; Dosage, Therapeutic Use] (5852)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36     Sulfonylurea Compounds/ad,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tu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[Administration &amp; Dosage, Therapeutic Use] (2931)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37     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Meglitinides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Sulfonylurea).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(4595)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38     Glyburide/ (5741)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39     glyburide$.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(1363)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40    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Thiazolidinediones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/ad, ae,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tu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[Administration &amp; Dosage, Adverse Effects, Therapeutic Use] (4497)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41     (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Glitazones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or TZD*).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(1913)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42     Dipeptidyl-Peptidase IV Inhibitors/ (2006)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43     Glucagon-Like Peptide 1/ (5407)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44     Insulin/ad,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tu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proofErr w:type="gramStart"/>
      <w:r>
        <w:rPr>
          <w:rStyle w:val="spellingerror"/>
          <w:rFonts w:ascii="Arial" w:hAnsi="Arial" w:cs="Arial"/>
          <w:color w:val="000000"/>
          <w:sz w:val="22"/>
          <w:szCs w:val="22"/>
        </w:rPr>
        <w:t>th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[Administration &amp; Dosage, Therapeutic Use, Therapy] (32791)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45     Insulin, Long-Acting/ or Insulin, Short-Acting/ (2506)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46     or/33-45 (72670)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47     13 and 32 and 46 (4671)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48     limit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47 to (humans and "all adult (18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plus years)") (2666)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Database: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>Embase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>Classic+Embase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&lt;1947 to 2015 July 10&gt;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OVID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Search Strategy: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--------------------------------------------------------------------------------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diabetes mellitus/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dm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an,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to [Disease Management, Drug Analysis, Drug Resistance, Drug Therapy, Drug Toxicity] (108898)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     *insulin resistance/ (26542)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     glucose intolerance/ (12779)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4     (impaired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glucos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toleranc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glucos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intoleranc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insulin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resistan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(96560)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5     (MODY or NIDDM or T2DM).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(25126)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6     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 insulin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depend$ or noninsulin$ depend$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noninsulin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?depend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noninsulin?depend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(13727)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7     (insulin$ depend$ or insulin$ depend$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insulin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?depend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insulin?depend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(32969)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8     ((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? 2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II or typ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?2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typ?II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 adj3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(133858)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9     ((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? 2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II or typ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?2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typ?II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 adj3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(133858)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10     ((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keto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?resist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non?keto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$) adj6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ti,ab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. (380)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11     (((late or adult$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matur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 or slow or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stabl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$) adj3 onset) and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diabet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(5384)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12     or/1-11 (314677)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13     dose response/ (343849)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14     drug administration/ (53237)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15     drug substitution/ (26828)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16     (down adj3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titrat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(315)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17     (dose adj3 </w:t>
      </w:r>
      <w:proofErr w:type="spellStart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titrat</w:t>
      </w:r>
      <w:proofErr w:type="spellEnd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).</w:t>
      </w:r>
      <w:proofErr w:type="spellStart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ti</w:t>
      </w:r>
      <w:proofErr w:type="gramStart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,ab</w:t>
      </w:r>
      <w:proofErr w:type="spellEnd"/>
      <w:proofErr w:type="gramEnd"/>
      <w:r w:rsidRPr="00F50296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  <w:r w:rsidRPr="00F50296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(0)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18     (dose adj3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reduc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(49933)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19     (dose adj3 de-</w:t>
      </w:r>
      <w:proofErr w:type="spell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escalation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).</w:t>
      </w:r>
      <w:proofErr w:type="spell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ti</w:t>
      </w:r>
      <w:proofErr w:type="gram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,ab</w:t>
      </w:r>
      <w:proofErr w:type="spellEnd"/>
      <w:proofErr w:type="gram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(232)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20     (drug adj3 taper$).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(185)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21     (dose adj3 taper$).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(1244)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22    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discontinu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(142881)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23     withdraw$.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(138218)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24     withdraw$.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(138218)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25    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spac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(344087)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26     (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ceas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 or cessation).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(101336)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27     stop$.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(146272)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Pr="004E48A8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28     (interval adj3 widening).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(59)</w:t>
      </w:r>
      <w:r w:rsidRPr="004E48A8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29     (</w:t>
      </w:r>
      <w:proofErr w:type="spell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$ or de-</w:t>
      </w:r>
      <w:proofErr w:type="spell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prescri</w:t>
      </w:r>
      <w:proofErr w:type="spell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$).</w:t>
      </w:r>
      <w:proofErr w:type="spell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ti</w:t>
      </w:r>
      <w:proofErr w:type="gramStart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,ab</w:t>
      </w:r>
      <w:proofErr w:type="spellEnd"/>
      <w:proofErr w:type="gramEnd"/>
      <w:r w:rsidRPr="004E48A8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</w:t>
      </w:r>
      <w:r w:rsidRPr="004E48A8">
        <w:rPr>
          <w:rStyle w:val="apple-converted-space"/>
          <w:rFonts w:ascii="Arial" w:hAnsi="Arial" w:cs="Arial"/>
          <w:color w:val="000000"/>
          <w:sz w:val="22"/>
          <w:szCs w:val="22"/>
          <w:lang w:val="fr-CA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(95)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30    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discontinu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(142881)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31    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eliminat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$.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(331425)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32    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taper.ti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(4448)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33     (reduce or reduction).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ti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,ab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. (1486646)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34     or/13-33 (2880505)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35     12 and 34 (55064)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36    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exp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animals/ not humans.sh.</w:t>
      </w:r>
      <w:proofErr w:type="gram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(21045706)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90277" w:rsidRDefault="00490277" w:rsidP="004902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37     35 not 36 (3457)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10247B" w:rsidRDefault="00490277" w:rsidP="00490277">
      <w:pPr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38     limit 37 to exclude </w:t>
      </w:r>
      <w:proofErr w:type="spellStart"/>
      <w:r>
        <w:rPr>
          <w:rStyle w:val="normaltextrun"/>
          <w:rFonts w:ascii="Arial" w:hAnsi="Arial" w:cs="Arial"/>
          <w:color w:val="000000"/>
        </w:rPr>
        <w:t>medline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journals (274)</w:t>
      </w:r>
    </w:p>
    <w:p w:rsidR="0010247B" w:rsidRDefault="0010247B">
      <w:pPr>
        <w:rPr>
          <w:rStyle w:val="normaltextrun"/>
          <w:rFonts w:ascii="Arial" w:hAnsi="Arial" w:cs="Arial"/>
          <w:color w:val="000000"/>
        </w:rPr>
        <w:sectPr w:rsidR="001024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normaltextrun"/>
          <w:rFonts w:ascii="Arial" w:hAnsi="Arial" w:cs="Arial"/>
          <w:color w:val="000000"/>
        </w:rPr>
        <w:br w:type="page"/>
      </w:r>
    </w:p>
    <w:p w:rsidR="0010247B" w:rsidRPr="0010247B" w:rsidRDefault="0010247B" w:rsidP="001024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47B">
        <w:rPr>
          <w:rFonts w:ascii="Times New Roman" w:hAnsi="Times New Roman" w:cs="Times New Roman"/>
          <w:b/>
          <w:sz w:val="24"/>
          <w:szCs w:val="24"/>
        </w:rPr>
        <w:t>Appendix 2.</w:t>
      </w:r>
      <w:proofErr w:type="gramEnd"/>
      <w:r w:rsidRPr="0010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7B">
        <w:rPr>
          <w:rFonts w:ascii="Times New Roman" w:hAnsi="Times New Roman" w:cs="Times New Roman"/>
          <w:sz w:val="24"/>
          <w:szCs w:val="24"/>
        </w:rPr>
        <w:t xml:space="preserve">Risk of Bias Profile – </w:t>
      </w:r>
      <w:proofErr w:type="spellStart"/>
      <w:r w:rsidRPr="0010247B">
        <w:rPr>
          <w:rFonts w:ascii="Times New Roman" w:hAnsi="Times New Roman" w:cs="Times New Roman"/>
          <w:sz w:val="24"/>
          <w:szCs w:val="24"/>
        </w:rPr>
        <w:t>Aspinall</w:t>
      </w:r>
      <w:proofErr w:type="spellEnd"/>
      <w:r w:rsidRPr="0010247B">
        <w:rPr>
          <w:rFonts w:ascii="Times New Roman" w:hAnsi="Times New Roman" w:cs="Times New Roman"/>
          <w:sz w:val="24"/>
          <w:szCs w:val="24"/>
        </w:rPr>
        <w:t xml:space="preserve"> et al., 2011</w:t>
      </w:r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681"/>
        <w:gridCol w:w="1445"/>
        <w:gridCol w:w="9050"/>
      </w:tblGrid>
      <w:tr w:rsidR="0010247B" w:rsidTr="00A948DD">
        <w:tc>
          <w:tcPr>
            <w:tcW w:w="0" w:type="auto"/>
            <w:shd w:val="clear" w:color="auto" w:fill="BFBFBF" w:themeFill="background1" w:themeFillShade="BF"/>
          </w:tcPr>
          <w:p w:rsidR="0010247B" w:rsidRPr="00D64D4B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4B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0247B" w:rsidRPr="00D64D4B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4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0247B" w:rsidRPr="00D64D4B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4B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due to confounding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Moderate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Possible confounding due to insufficient matching of intervention with control group (control group likely healthier at baseline), adjusted for using multivariable model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in selection of participants into the study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Moderate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Selection bias likely since those in control group did not meet </w:t>
            </w:r>
            <w:proofErr w:type="spellStart"/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eligibilty</w:t>
            </w:r>
            <w:proofErr w:type="spellEnd"/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criteria at baseline, and likely healthier at index date (less likely to experience hypoglycemia, less likely to have medication adjustment), adjusted for selection bias with model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in measurement of interventions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 status is well defined and information collected at time of intervention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due to departures from intended interventions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Critical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Contamination very likely and not adjusted for 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due to missing data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Outcome data appears to be complete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in measurement of outcomes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risk</w:t>
            </w:r>
          </w:p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Objective measures (A1C, discontinuation rate) unlikely to be affected by knowledge of intervention; hypoglycemia reporting may be affected, no information about pharmacy reporting errors 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Bias in selection of the reported results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No evidence of selective outcome reporting observed</w:t>
            </w:r>
          </w:p>
        </w:tc>
      </w:tr>
      <w:tr w:rsidR="0010247B" w:rsidTr="00A948DD"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</w:p>
        </w:tc>
        <w:tc>
          <w:tcPr>
            <w:tcW w:w="0" w:type="auto"/>
          </w:tcPr>
          <w:p w:rsidR="0010247B" w:rsidRPr="001B56F6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Serious due to contamination of intervention in control group, which is likely to bias effects</w:t>
            </w:r>
          </w:p>
          <w:p w:rsidR="0010247B" w:rsidRPr="001B56F6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7B" w:rsidRDefault="0010247B">
      <w:pPr>
        <w:rPr>
          <w:rStyle w:val="normaltextrun"/>
          <w:rFonts w:ascii="Arial" w:hAnsi="Arial" w:cs="Arial"/>
          <w:color w:val="000000"/>
        </w:rPr>
      </w:pPr>
    </w:p>
    <w:p w:rsidR="0010247B" w:rsidRDefault="0010247B">
      <w:pPr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br w:type="page"/>
      </w:r>
    </w:p>
    <w:p w:rsidR="0010247B" w:rsidRPr="0010247B" w:rsidRDefault="0010247B" w:rsidP="001024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47B">
        <w:rPr>
          <w:rFonts w:ascii="Times New Roman" w:hAnsi="Times New Roman" w:cs="Times New Roman"/>
          <w:b/>
          <w:sz w:val="24"/>
          <w:szCs w:val="24"/>
        </w:rPr>
        <w:t>Appendix 3.</w:t>
      </w:r>
      <w:proofErr w:type="gramEnd"/>
      <w:r w:rsidRPr="0010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7B">
        <w:rPr>
          <w:rFonts w:ascii="Times New Roman" w:hAnsi="Times New Roman" w:cs="Times New Roman"/>
          <w:sz w:val="24"/>
          <w:szCs w:val="24"/>
        </w:rPr>
        <w:t xml:space="preserve">Risk of Bias Profile – </w:t>
      </w:r>
      <w:proofErr w:type="spellStart"/>
      <w:r w:rsidRPr="0010247B">
        <w:rPr>
          <w:rFonts w:ascii="Times New Roman" w:hAnsi="Times New Roman" w:cs="Times New Roman"/>
          <w:sz w:val="24"/>
          <w:szCs w:val="24"/>
        </w:rPr>
        <w:t>Sjoblom</w:t>
      </w:r>
      <w:proofErr w:type="spellEnd"/>
      <w:r w:rsidRPr="0010247B">
        <w:rPr>
          <w:rFonts w:ascii="Times New Roman" w:hAnsi="Times New Roman" w:cs="Times New Roman"/>
          <w:sz w:val="24"/>
          <w:szCs w:val="24"/>
        </w:rPr>
        <w:t xml:space="preserve"> et al., 2008</w:t>
      </w:r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4679"/>
        <w:gridCol w:w="1537"/>
        <w:gridCol w:w="6960"/>
      </w:tblGrid>
      <w:tr w:rsidR="0010247B" w:rsidTr="00A948DD">
        <w:tc>
          <w:tcPr>
            <w:tcW w:w="0" w:type="auto"/>
            <w:shd w:val="clear" w:color="auto" w:fill="BFBFBF" w:themeFill="background1" w:themeFillShade="BF"/>
          </w:tcPr>
          <w:p w:rsidR="0010247B" w:rsidRPr="000F46FC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FC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0247B" w:rsidRPr="000F46FC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FC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0247B" w:rsidRPr="000F46FC" w:rsidRDefault="0010247B" w:rsidP="00A9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FC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due to confounding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Serious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Potential confounding, which was not adjusted for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in selection of participants into the study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Serious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Selection into study related to intervention and outcome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in measurement of interventions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 status unlikely to be influenced by knowledge of outcome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due to departures from intended interventions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Moderate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Co-interventions not described</w:t>
            </w:r>
          </w:p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due to missing data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Follow-up data reasonably complete for A1C data and complete for mortality 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in measurement of outcomes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risk</w:t>
            </w:r>
          </w:p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 outcomes, unlikely to be influenced by knowledge of intervention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Bias in selection of the reported results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No evidence of selective outcome reporting observed</w:t>
            </w:r>
          </w:p>
        </w:tc>
      </w:tr>
      <w:tr w:rsidR="0010247B" w:rsidTr="00A948DD"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</w:p>
        </w:tc>
        <w:tc>
          <w:tcPr>
            <w:tcW w:w="0" w:type="auto"/>
          </w:tcPr>
          <w:p w:rsidR="0010247B" w:rsidRPr="00986C7E" w:rsidRDefault="0010247B" w:rsidP="00A94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Serious risk of bias due to selection bias, potential confounding</w:t>
            </w:r>
          </w:p>
        </w:tc>
      </w:tr>
    </w:tbl>
    <w:p w:rsidR="0010247B" w:rsidRDefault="0010247B">
      <w:pPr>
        <w:rPr>
          <w:rStyle w:val="normaltextrun"/>
          <w:rFonts w:ascii="Arial" w:hAnsi="Arial" w:cs="Arial"/>
          <w:color w:val="000000"/>
        </w:rPr>
      </w:pPr>
    </w:p>
    <w:p w:rsidR="0010247B" w:rsidRDefault="0010247B">
      <w:pPr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br w:type="page"/>
      </w:r>
    </w:p>
    <w:p w:rsidR="0010247B" w:rsidRDefault="0010247B" w:rsidP="0010247B">
      <w:pPr>
        <w:rPr>
          <w:rStyle w:val="apple-converted-space"/>
        </w:rPr>
      </w:pPr>
      <w:proofErr w:type="gramStart"/>
      <w:r>
        <w:rPr>
          <w:rStyle w:val="apple-converted-space"/>
          <w:rFonts w:ascii="Times New Roman" w:hAnsi="Times New Roman"/>
          <w:b/>
        </w:rPr>
        <w:t>Appendix 4.</w:t>
      </w:r>
      <w:proofErr w:type="gramEnd"/>
      <w:r>
        <w:rPr>
          <w:rStyle w:val="apple-converted-space"/>
          <w:rFonts w:ascii="Times New Roman" w:hAnsi="Times New Roman"/>
          <w:b/>
        </w:rPr>
        <w:t xml:space="preserve"> </w:t>
      </w:r>
      <w:r>
        <w:rPr>
          <w:rStyle w:val="apple-converted-space"/>
          <w:rFonts w:ascii="Times New Roman" w:hAnsi="Times New Roman"/>
        </w:rPr>
        <w:t xml:space="preserve">Summary of findings table – </w:t>
      </w:r>
      <w:proofErr w:type="spellStart"/>
      <w:r>
        <w:rPr>
          <w:rStyle w:val="apple-converted-space"/>
          <w:rFonts w:ascii="Times New Roman" w:hAnsi="Times New Roman"/>
        </w:rPr>
        <w:t>Aspinall</w:t>
      </w:r>
      <w:proofErr w:type="spellEnd"/>
      <w:r>
        <w:rPr>
          <w:rStyle w:val="apple-converted-space"/>
          <w:rFonts w:ascii="Times New Roman" w:hAnsi="Times New Roman"/>
        </w:rPr>
        <w:t xml:space="preserve"> et al., 2011</w:t>
      </w:r>
    </w:p>
    <w:tbl>
      <w:tblPr>
        <w:tblpPr w:leftFromText="180" w:rightFromText="180" w:horzAnchor="margin" w:tblpY="54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1639"/>
        <w:gridCol w:w="3161"/>
        <w:gridCol w:w="1050"/>
        <w:gridCol w:w="1388"/>
        <w:gridCol w:w="1517"/>
        <w:gridCol w:w="992"/>
      </w:tblGrid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Deprescribing of glyburide compared to usual care for Type 2 Diabetes</w:t>
            </w: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Patient or population: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2 Diabetes, &gt;65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Settings:</w:t>
            </w:r>
            <w:r>
              <w:rPr>
                <w:rFonts w:ascii="Arial" w:hAnsi="Arial" w:cs="Arial"/>
                <w:sz w:val="16"/>
                <w:szCs w:val="16"/>
              </w:rPr>
              <w:t xml:space="preserve"> Community dwelling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Deprescribing of Glyburide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Comparison: </w:t>
            </w: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</w:tr>
      <w:tr w:rsidR="0010247B" w:rsidTr="00A948DD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 effect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Participants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of the evidence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10247B" w:rsidTr="00A948DD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Deprescribing of Glyburide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Change in A1C </w:t>
            </w:r>
            <w:r>
              <w:rPr>
                <w:rFonts w:ascii="Arial" w:hAnsi="Arial" w:cs="Arial"/>
                <w:sz w:val="16"/>
                <w:szCs w:val="16"/>
              </w:rPr>
              <w:br/>
              <w:t>Follow-up: 3-9 months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Continuation of glyburide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mean change in A1C in the intervention groups was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0.02 lower</w:t>
            </w:r>
            <w:r>
              <w:rPr>
                <w:rFonts w:ascii="Arial" w:hAnsi="Arial" w:cs="Arial"/>
                <w:sz w:val="16"/>
                <w:szCs w:val="16"/>
              </w:rPr>
              <w:br/>
              <w:t>(0.16 lower to 0.12 higher)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  <w:r>
              <w:rPr>
                <w:rFonts w:ascii="Arial" w:hAnsi="Arial" w:cs="Arial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enlo Regular" w:hAnsi="Menlo Regular" w:cs="Menlo Regular"/>
                <w:sz w:val="16"/>
                <w:szCs w:val="16"/>
              </w:rPr>
              <w:t>⊕⊝⊝⊝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Hypoglycemia</w:t>
            </w:r>
            <w:r>
              <w:rPr>
                <w:rFonts w:ascii="Arial" w:hAnsi="Arial" w:cs="Arial"/>
                <w:sz w:val="16"/>
                <w:szCs w:val="16"/>
              </w:rPr>
              <w:br/>
              <w:t>ICD-9 Codes in health administrative databases and EMR</w:t>
            </w:r>
            <w:r>
              <w:rPr>
                <w:rFonts w:ascii="Arial" w:hAnsi="Arial" w:cs="Arial"/>
                <w:sz w:val="16"/>
                <w:szCs w:val="16"/>
              </w:rPr>
              <w:br/>
              <w:t>Follow-up: mean 9 months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per 1000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per 1000</w:t>
            </w:r>
            <w:r>
              <w:rPr>
                <w:rFonts w:ascii="Arial" w:hAnsi="Arial" w:cs="Arial"/>
                <w:sz w:val="16"/>
                <w:szCs w:val="16"/>
              </w:rPr>
              <w:br/>
              <w:t>(20 to 39)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RR 1.08 </w:t>
            </w:r>
            <w:r>
              <w:rPr>
                <w:rFonts w:ascii="Arial" w:hAnsi="Arial" w:cs="Arial"/>
                <w:sz w:val="16"/>
                <w:szCs w:val="16"/>
              </w:rPr>
              <w:br/>
              <w:t>(0.78 to 1.5)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6254</w:t>
            </w:r>
            <w:r>
              <w:rPr>
                <w:rFonts w:ascii="Arial" w:hAnsi="Arial" w:cs="Arial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enlo Regular" w:hAnsi="Menlo Regular" w:cs="Menlo Regular"/>
                <w:sz w:val="16"/>
                <w:szCs w:val="16"/>
              </w:rPr>
              <w:t>⊕⊝⊝⊝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1,5,6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Discontinuation rate</w:t>
            </w:r>
            <w:r>
              <w:rPr>
                <w:rFonts w:ascii="Arial" w:hAnsi="Arial" w:cs="Arial"/>
                <w:sz w:val="16"/>
                <w:szCs w:val="16"/>
              </w:rPr>
              <w:br/>
              <w:t>No new prescription for glyburide</w:t>
            </w:r>
            <w:r>
              <w:rPr>
                <w:rFonts w:ascii="Arial" w:hAnsi="Arial" w:cs="Arial"/>
                <w:sz w:val="16"/>
                <w:szCs w:val="16"/>
              </w:rPr>
              <w:br/>
              <w:t>Follow-up: mean 135 days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 per 1000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 per 1000</w:t>
            </w:r>
            <w:r>
              <w:rPr>
                <w:rFonts w:ascii="Arial" w:hAnsi="Arial" w:cs="Arial"/>
                <w:sz w:val="16"/>
                <w:szCs w:val="16"/>
              </w:rPr>
              <w:br/>
              <w:t>(684 to 745)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RR 1.28 </w:t>
            </w:r>
            <w:r>
              <w:rPr>
                <w:rFonts w:ascii="Arial" w:hAnsi="Arial" w:cs="Arial"/>
                <w:sz w:val="16"/>
                <w:szCs w:val="16"/>
              </w:rPr>
              <w:br/>
              <w:t>(1.22 to 1.33)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6254</w:t>
            </w:r>
            <w:r>
              <w:rPr>
                <w:rFonts w:ascii="Arial" w:hAnsi="Arial" w:cs="Arial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enlo Regular" w:hAnsi="Menlo Regular" w:cs="Menlo Regular"/>
                <w:sz w:val="16"/>
                <w:szCs w:val="16"/>
              </w:rPr>
              <w:t>⊕⊝⊝⊝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*The basis for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assumed risk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 the median control group risk across studies) is provided in footnotes.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corresponding risk</w:t>
            </w:r>
            <w:r>
              <w:rPr>
                <w:rFonts w:ascii="Arial" w:hAnsi="Arial" w:cs="Arial"/>
                <w:sz w:val="16"/>
                <w:szCs w:val="16"/>
              </w:rPr>
              <w:t xml:space="preserve"> (and its 95% confidence interval) is based on the assumed risk in the comparison group and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 effect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intervention (and its 95% CI).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CI:</w:t>
            </w:r>
            <w:r>
              <w:rPr>
                <w:rFonts w:ascii="Arial" w:hAnsi="Arial" w:cs="Arial"/>
                <w:sz w:val="16"/>
                <w:szCs w:val="16"/>
              </w:rPr>
              <w:t xml:space="preserve"> Confidence interval;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RR:</w:t>
            </w:r>
            <w:r>
              <w:rPr>
                <w:rFonts w:ascii="Arial" w:hAnsi="Arial" w:cs="Arial"/>
                <w:sz w:val="16"/>
                <w:szCs w:val="16"/>
              </w:rPr>
              <w:t xml:space="preserve"> Risk ratio; </w:t>
            </w: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Working Group grades of evidence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very unlikely to change our confidence in the estimate of effect.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Moderate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Low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We are very uncertain about the estimate.</w:t>
            </w: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Serious risk of bias due to contamination of intervention in control group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95% CI narrow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Mean difference very small at 0.02%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Usual care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95% CI around the estimate of effect includes both no effect and appreciable harm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number of events &lt;300</w:t>
            </w:r>
          </w:p>
        </w:tc>
      </w:tr>
    </w:tbl>
    <w:p w:rsidR="0010247B" w:rsidRDefault="0010247B">
      <w:pPr>
        <w:rPr>
          <w:rStyle w:val="normaltextrun"/>
          <w:rFonts w:ascii="Arial" w:hAnsi="Arial" w:cs="Arial"/>
          <w:color w:val="000000"/>
        </w:rPr>
      </w:pPr>
    </w:p>
    <w:p w:rsidR="0010247B" w:rsidRDefault="0010247B">
      <w:r>
        <w:br w:type="page"/>
      </w:r>
    </w:p>
    <w:p w:rsidR="0010247B" w:rsidRDefault="0010247B" w:rsidP="0010247B">
      <w:pPr>
        <w:rPr>
          <w:rFonts w:ascii="Times New Roman" w:hAnsi="Times New Roman" w:cs="Times New Roman"/>
          <w:b/>
        </w:rPr>
      </w:pPr>
      <w:proofErr w:type="gramStart"/>
      <w:r>
        <w:rPr>
          <w:rStyle w:val="apple-converted-space"/>
          <w:rFonts w:ascii="Times New Roman" w:hAnsi="Times New Roman"/>
          <w:b/>
        </w:rPr>
        <w:t>Appendix 5.</w:t>
      </w:r>
      <w:proofErr w:type="gramEnd"/>
      <w:r>
        <w:rPr>
          <w:rStyle w:val="apple-converted-space"/>
          <w:rFonts w:ascii="Times New Roman" w:hAnsi="Times New Roman"/>
          <w:b/>
        </w:rPr>
        <w:t xml:space="preserve"> </w:t>
      </w:r>
      <w:r>
        <w:rPr>
          <w:rStyle w:val="apple-converted-space"/>
          <w:rFonts w:ascii="Times New Roman" w:hAnsi="Times New Roman"/>
        </w:rPr>
        <w:t xml:space="preserve"> Summary of findings – </w:t>
      </w:r>
      <w:proofErr w:type="spellStart"/>
      <w:r>
        <w:rPr>
          <w:rStyle w:val="apple-converted-space"/>
          <w:rFonts w:ascii="Times New Roman" w:hAnsi="Times New Roman"/>
        </w:rPr>
        <w:t>Sjoblom</w:t>
      </w:r>
      <w:proofErr w:type="spellEnd"/>
      <w:r>
        <w:rPr>
          <w:rStyle w:val="apple-converted-space"/>
          <w:rFonts w:ascii="Times New Roman" w:hAnsi="Times New Roman"/>
        </w:rPr>
        <w:t xml:space="preserve"> et al., 2008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646"/>
        <w:gridCol w:w="3489"/>
        <w:gridCol w:w="1087"/>
        <w:gridCol w:w="1438"/>
        <w:gridCol w:w="1569"/>
        <w:gridCol w:w="1028"/>
      </w:tblGrid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Deprescribing versus continuation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antihyperglycemics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type 2 diabetes in the frail elderly</w:t>
            </w: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Patient or population: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2 diabetes, frail elderly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Settings:</w:t>
            </w:r>
            <w:r>
              <w:rPr>
                <w:rFonts w:ascii="Arial" w:hAnsi="Arial" w:cs="Arial"/>
                <w:sz w:val="16"/>
                <w:szCs w:val="16"/>
              </w:rPr>
              <w:t xml:space="preserve"> Nursing homes in Sweden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Deprescribing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antihyperglycemics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Comparison: </w:t>
            </w:r>
            <w:r>
              <w:rPr>
                <w:rFonts w:ascii="Arial" w:hAnsi="Arial" w:cs="Arial"/>
                <w:sz w:val="16"/>
                <w:szCs w:val="16"/>
              </w:rPr>
              <w:t xml:space="preserve">Continuation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antihyperglycemics</w:t>
            </w:r>
            <w:proofErr w:type="spellEnd"/>
          </w:p>
        </w:tc>
      </w:tr>
      <w:tr w:rsidR="0010247B" w:rsidTr="00A948DD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 effect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Participants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of the evidence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10247B" w:rsidTr="00A948DD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Continuation of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antihyperglycemics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Deprescribing of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antihyperglycemics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10247B" w:rsidRDefault="0010247B" w:rsidP="00A94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Change in A1C</w:t>
            </w:r>
            <w:r>
              <w:rPr>
                <w:rFonts w:ascii="Arial" w:hAnsi="Arial" w:cs="Arial"/>
                <w:sz w:val="16"/>
                <w:szCs w:val="16"/>
              </w:rPr>
              <w:br/>
              <w:t>Follow-up: median 6 months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mean change in A1C in the intervention groups was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1.1% higher</w:t>
            </w:r>
            <w:r>
              <w:rPr>
                <w:rFonts w:ascii="Arial" w:hAnsi="Arial" w:cs="Arial"/>
                <w:sz w:val="16"/>
                <w:szCs w:val="16"/>
              </w:rPr>
              <w:br/>
              <w:t>(0.56 lower to 1.64 higher)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enlo Regular" w:hAnsi="Menlo Regular" w:cs="Menlo Regular"/>
                <w:sz w:val="16"/>
                <w:szCs w:val="16"/>
              </w:rPr>
              <w:t>⊕⊝⊝⊝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All-cause mortality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 per 1000</w:t>
            </w:r>
            <w:r>
              <w:rPr>
                <w:rFonts w:ascii="Arial" w:hAnsi="Arial" w:cs="Arial"/>
                <w:sz w:val="16"/>
                <w:szCs w:val="16"/>
              </w:rPr>
              <w:br/>
              <w:t>(62 to 397)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RR 0.74 </w:t>
            </w:r>
            <w:r>
              <w:rPr>
                <w:rFonts w:ascii="Arial" w:hAnsi="Arial" w:cs="Arial"/>
                <w:sz w:val="16"/>
                <w:szCs w:val="16"/>
              </w:rPr>
              <w:br/>
              <w:t>(0.29 to 1.87)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enlo Regular" w:hAnsi="Menlo Regular" w:cs="Menlo Regular"/>
                <w:sz w:val="16"/>
                <w:szCs w:val="16"/>
              </w:rPr>
              <w:t>⊕⊝⊝⊝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*The basis for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assumed risk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 the median control group risk across studies) is provided in footnotes.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corresponding risk</w:t>
            </w:r>
            <w:r>
              <w:rPr>
                <w:rFonts w:ascii="Arial" w:hAnsi="Arial" w:cs="Arial"/>
                <w:sz w:val="16"/>
                <w:szCs w:val="16"/>
              </w:rPr>
              <w:t xml:space="preserve"> (and its 95% confidence interval) is based on the assumed risk in the comparison group and the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relative effect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intervention (and its 95% CI).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CI:</w:t>
            </w:r>
            <w:r>
              <w:rPr>
                <w:rFonts w:ascii="Arial" w:hAnsi="Arial" w:cs="Arial"/>
                <w:sz w:val="16"/>
                <w:szCs w:val="16"/>
              </w:rPr>
              <w:t xml:space="preserve"> Confidence interval;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RR:</w:t>
            </w:r>
            <w:r>
              <w:rPr>
                <w:rFonts w:ascii="Arial" w:hAnsi="Arial" w:cs="Arial"/>
                <w:sz w:val="16"/>
                <w:szCs w:val="16"/>
              </w:rPr>
              <w:t xml:space="preserve"> Risk ratio; </w:t>
            </w:r>
          </w:p>
        </w:tc>
      </w:tr>
      <w:tr w:rsidR="0010247B" w:rsidTr="00A948DD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Working Group grades of evidence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very unlikely to change our confidence in the estimate of effect.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Moderate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Low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low quality:</w:t>
            </w:r>
            <w:r>
              <w:rPr>
                <w:rFonts w:ascii="Arial" w:hAnsi="Arial" w:cs="Arial"/>
                <w:sz w:val="16"/>
                <w:szCs w:val="16"/>
              </w:rPr>
              <w:t xml:space="preserve"> We are very uncertain about the estimate.</w:t>
            </w:r>
          </w:p>
        </w:tc>
      </w:tr>
      <w:tr w:rsidR="0010247B" w:rsidTr="00F50296">
        <w:trPr>
          <w:trHeight w:val="603"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247B" w:rsidRDefault="0010247B" w:rsidP="00A94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Very serious risk of bias due to selection bias and potential confounding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95% CI wide, &lt;400 participants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95% CI wide, number of events &lt;300</w:t>
            </w:r>
            <w:bookmarkStart w:id="0" w:name="_GoBack"/>
            <w:bookmarkEnd w:id="0"/>
          </w:p>
        </w:tc>
      </w:tr>
    </w:tbl>
    <w:p w:rsidR="00B63646" w:rsidRDefault="00B63646" w:rsidP="00490277"/>
    <w:sectPr w:rsidR="00B63646" w:rsidSect="00102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7"/>
    <w:rsid w:val="0010247B"/>
    <w:rsid w:val="00490277"/>
    <w:rsid w:val="00B63646"/>
    <w:rsid w:val="00D22DEA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0277"/>
  </w:style>
  <w:style w:type="character" w:customStyle="1" w:styleId="apple-converted-space">
    <w:name w:val="apple-converted-space"/>
    <w:basedOn w:val="DefaultParagraphFont"/>
    <w:rsid w:val="00490277"/>
  </w:style>
  <w:style w:type="character" w:customStyle="1" w:styleId="eop">
    <w:name w:val="eop"/>
    <w:basedOn w:val="DefaultParagraphFont"/>
    <w:rsid w:val="00490277"/>
  </w:style>
  <w:style w:type="character" w:customStyle="1" w:styleId="spellingerror">
    <w:name w:val="spellingerror"/>
    <w:basedOn w:val="DefaultParagraphFont"/>
    <w:rsid w:val="00490277"/>
  </w:style>
  <w:style w:type="table" w:styleId="TableGrid">
    <w:name w:val="Table Grid"/>
    <w:basedOn w:val="TableNormal"/>
    <w:uiPriority w:val="59"/>
    <w:rsid w:val="001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247B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0277"/>
  </w:style>
  <w:style w:type="character" w:customStyle="1" w:styleId="apple-converted-space">
    <w:name w:val="apple-converted-space"/>
    <w:basedOn w:val="DefaultParagraphFont"/>
    <w:rsid w:val="00490277"/>
  </w:style>
  <w:style w:type="character" w:customStyle="1" w:styleId="eop">
    <w:name w:val="eop"/>
    <w:basedOn w:val="DefaultParagraphFont"/>
    <w:rsid w:val="00490277"/>
  </w:style>
  <w:style w:type="character" w:customStyle="1" w:styleId="spellingerror">
    <w:name w:val="spellingerror"/>
    <w:basedOn w:val="DefaultParagraphFont"/>
    <w:rsid w:val="00490277"/>
  </w:style>
  <w:style w:type="table" w:styleId="TableGrid">
    <w:name w:val="Table Grid"/>
    <w:basedOn w:val="TableNormal"/>
    <w:uiPriority w:val="59"/>
    <w:rsid w:val="001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247B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Black</dc:creator>
  <cp:lastModifiedBy>Cody Black</cp:lastModifiedBy>
  <cp:revision>2</cp:revision>
  <dcterms:created xsi:type="dcterms:W3CDTF">2016-11-23T15:20:00Z</dcterms:created>
  <dcterms:modified xsi:type="dcterms:W3CDTF">2016-11-23T15:20:00Z</dcterms:modified>
</cp:coreProperties>
</file>