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73" w:rsidRPr="00FC7007" w:rsidRDefault="00B94F73" w:rsidP="00B94F73">
      <w:pPr>
        <w:spacing w:after="0" w:line="360" w:lineRule="auto"/>
        <w:rPr>
          <w:rFonts w:ascii="Times New Roman" w:hAnsi="Times New Roman" w:cs="Times New Roman"/>
          <w:b/>
          <w:szCs w:val="24"/>
          <w:lang w:val="en-GB"/>
        </w:rPr>
      </w:pPr>
      <w:proofErr w:type="gramStart"/>
      <w:r w:rsidRPr="00FC7007">
        <w:rPr>
          <w:rFonts w:ascii="Times New Roman" w:eastAsia="Times New Roman" w:hAnsi="Times New Roman" w:cs="Times New Roman"/>
          <w:b/>
          <w:szCs w:val="24"/>
          <w:lang w:val="en-US"/>
        </w:rPr>
        <w:t>SUPPLEMENTARY MATERIAL</w:t>
      </w:r>
      <w:r w:rsidRPr="00FC7007">
        <w:rPr>
          <w:rFonts w:ascii="Times New Roman" w:eastAsia="Times New Roman" w:hAnsi="Times New Roman" w:cs="Times New Roman"/>
          <w:b/>
          <w:szCs w:val="24"/>
          <w:lang w:val="en-US"/>
        </w:rPr>
        <w:br/>
        <w:t>Supplemental Table S1</w:t>
      </w:r>
      <w:r w:rsidRPr="00FC7007">
        <w:rPr>
          <w:rFonts w:ascii="Times New Roman" w:eastAsia="Times New Roman" w:hAnsi="Times New Roman" w:cs="Times New Roman"/>
          <w:szCs w:val="24"/>
          <w:lang w:val="en-US"/>
        </w:rPr>
        <w:t>.</w:t>
      </w:r>
      <w:proofErr w:type="gramEnd"/>
      <w:r w:rsidRPr="00FC7007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FC7007">
        <w:rPr>
          <w:rFonts w:ascii="Times New Roman" w:hAnsi="Times New Roman" w:cs="Times New Roman"/>
          <w:szCs w:val="24"/>
          <w:lang w:val="en-GB"/>
        </w:rPr>
        <w:t xml:space="preserve">Association between </w:t>
      </w:r>
      <w:r w:rsidRPr="00FC7007">
        <w:rPr>
          <w:rFonts w:ascii="Times New Roman" w:eastAsia="Times New Roman" w:hAnsi="Times New Roman" w:cs="Times New Roman"/>
          <w:szCs w:val="24"/>
          <w:lang w:val="en-GB"/>
        </w:rPr>
        <w:t xml:space="preserve">different measures of glycemic exposure </w:t>
      </w:r>
      <w:r w:rsidRPr="00FC7007">
        <w:rPr>
          <w:rFonts w:ascii="Times New Roman" w:hAnsi="Times New Roman" w:cs="Times New Roman"/>
          <w:szCs w:val="24"/>
          <w:lang w:val="en-GB"/>
        </w:rPr>
        <w:t xml:space="preserve">and micro- and macrovascular complications adjusted for </w:t>
      </w:r>
      <w:proofErr w:type="spellStart"/>
      <w:r w:rsidRPr="00FC7007">
        <w:rPr>
          <w:rFonts w:ascii="Times New Roman" w:eastAsia="Times New Roman" w:hAnsi="Times New Roman" w:cs="Times New Roman"/>
          <w:szCs w:val="24"/>
          <w:lang w:val="en-GB"/>
        </w:rPr>
        <w:t>covariates</w:t>
      </w:r>
      <w:r w:rsidRPr="00FC7007">
        <w:rPr>
          <w:rFonts w:ascii="Times New Roman" w:eastAsia="Times New Roman" w:hAnsi="Times New Roman" w:cs="Times New Roman"/>
          <w:szCs w:val="24"/>
          <w:vertAlign w:val="superscript"/>
          <w:lang w:val="en-GB"/>
        </w:rPr>
        <w:t>a</w:t>
      </w:r>
      <w:proofErr w:type="spellEnd"/>
      <w:r w:rsidRPr="00FC7007">
        <w:rPr>
          <w:rFonts w:ascii="Times New Roman" w:hAnsi="Times New Roman" w:cs="Times New Roman"/>
          <w:b/>
          <w:szCs w:val="24"/>
          <w:lang w:val="en-GB"/>
        </w:rPr>
        <w:t xml:space="preserve"> </w:t>
      </w:r>
    </w:p>
    <w:tbl>
      <w:tblPr>
        <w:tblStyle w:val="LightList-Accent6"/>
        <w:tblW w:w="5254" w:type="pct"/>
        <w:tblBorders>
          <w:top w:val="single" w:sz="12" w:space="0" w:color="F39200"/>
          <w:left w:val="single" w:sz="12" w:space="0" w:color="F39200"/>
          <w:bottom w:val="single" w:sz="12" w:space="0" w:color="F39200"/>
          <w:right w:val="single" w:sz="12" w:space="0" w:color="F39200"/>
        </w:tblBorders>
        <w:tblLook w:val="01E0" w:firstRow="1" w:lastRow="1" w:firstColumn="1" w:lastColumn="1" w:noHBand="0" w:noVBand="0"/>
      </w:tblPr>
      <w:tblGrid>
        <w:gridCol w:w="2329"/>
        <w:gridCol w:w="1746"/>
        <w:gridCol w:w="1529"/>
        <w:gridCol w:w="1924"/>
        <w:gridCol w:w="1270"/>
        <w:gridCol w:w="1264"/>
      </w:tblGrid>
      <w:tr w:rsidR="00B94F73" w:rsidRPr="00FC7007" w:rsidTr="00987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4"/>
              </w:rPr>
              <w:t>Diabetic foot</w:t>
            </w:r>
          </w:p>
        </w:tc>
        <w:tc>
          <w:tcPr>
            <w:tcW w:w="760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Retinopathy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Renal complications</w:t>
            </w:r>
          </w:p>
        </w:tc>
        <w:tc>
          <w:tcPr>
            <w:tcW w:w="631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CAD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CER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4"/>
              </w:rPr>
              <w:t>HbA1c at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</w:p>
        </w:tc>
      </w:tr>
      <w:tr w:rsidR="00B94F73" w:rsidRPr="00FC7007" w:rsidTr="009878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&lt;53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 (ref.)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ref.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53-&lt;64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 xml:space="preserve">01 (0.94to 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09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 xml:space="preserve">05 (0.98 to 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13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1.02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 xml:space="preserve"> (0.97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08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1.09 (0.99 to 1.20)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1.02</w:t>
            </w: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 xml:space="preserve"> (0.91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14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)</w:t>
            </w:r>
          </w:p>
        </w:tc>
      </w:tr>
      <w:tr w:rsidR="00B94F73" w:rsidRPr="00FC7007" w:rsidTr="009878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≥64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08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(0.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99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19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05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(0.96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15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1.10 (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1.02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18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18 (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04 to 1.34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>1.00 (0.86 to 1.16)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4"/>
              </w:rPr>
              <w:t>Time-dependent HbA1c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</w:p>
        </w:tc>
      </w:tr>
      <w:tr w:rsidR="00B94F73" w:rsidRPr="00FC7007" w:rsidTr="009878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&lt;53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ref.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53-&lt;64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09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(1.00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19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19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10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30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 xml:space="preserve">04 (0.98 to 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11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1.07 (0.96 to 1.20)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en-GB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 xml:space="preserve">0.88 (0.77 to 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1.00)</w:t>
            </w:r>
          </w:p>
        </w:tc>
      </w:tr>
      <w:tr w:rsidR="00B94F73" w:rsidRPr="00FC7007" w:rsidTr="009878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≥64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36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21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52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55 (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40 to 1.73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1.20 (1.10 to 1.31)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14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(0.97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33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1.02 (0.</w:t>
            </w: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85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22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EMA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</w:p>
        </w:tc>
      </w:tr>
      <w:tr w:rsidR="00B94F73" w:rsidRPr="00FC7007" w:rsidTr="009878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&lt;53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ref.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53-&lt;64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1.05 (0.96 to 1.14)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1.29 (1.18 to 1.41)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1.00 (0.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94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07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 xml:space="preserve">02 (0.91 to 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14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1.06 (</w:t>
            </w: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 xml:space="preserve">0.93 to 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>21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)</w:t>
            </w:r>
          </w:p>
        </w:tc>
      </w:tr>
      <w:tr w:rsidR="00B94F73" w:rsidRPr="00FC7007" w:rsidTr="009878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≥64 mmol/mol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1.47 (1.32 to 1.64)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1.81 (1.63 to 2.02)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1.15 (1.06 to 1.26)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1.29 (1.10 to 1.50)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>1.15 (0.95 to 1.38)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4"/>
              </w:rPr>
              <w:t>GBYs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</w:p>
        </w:tc>
      </w:tr>
      <w:tr w:rsidR="00B94F73" w:rsidRPr="00FC7007" w:rsidTr="009878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No burden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ref.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ref.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0 &lt; GBY ≤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30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17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45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41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26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58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20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(1.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12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 xml:space="preserve"> to 1.</w:t>
            </w: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30</w:t>
            </w:r>
            <w:r w:rsidRPr="00FC7007">
              <w:rPr>
                <w:rFonts w:ascii="Times New Roman" w:hAnsi="Times New Roman" w:cs="Times New Roman"/>
                <w:szCs w:val="24"/>
                <w:lang w:val="en-GB"/>
              </w:rPr>
              <w:t>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1.15 (1.00 to 1.33)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4"/>
                <w:lang w:val="en-GB"/>
              </w:rPr>
            </w:pP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1.</w:t>
            </w: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20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 xml:space="preserve"> (1.02 to 1.</w:t>
            </w: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41</w:t>
            </w:r>
            <w:r w:rsidRPr="00FC7007">
              <w:rPr>
                <w:rFonts w:ascii="Times New Roman" w:hAnsi="Times New Roman" w:cs="Times New Roman"/>
                <w:b w:val="0"/>
                <w:szCs w:val="24"/>
                <w:lang w:val="en-GB"/>
              </w:rPr>
              <w:t>)</w:t>
            </w:r>
          </w:p>
        </w:tc>
      </w:tr>
      <w:tr w:rsidR="00B94F73" w:rsidRPr="00FC7007" w:rsidTr="0098789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1 &lt; GBY ≤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1.46 (1.25 to 1.69)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1.93 (1.67 to 2.24)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1.39 (1.25 to 1.55)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szCs w:val="24"/>
                <w:lang w:val="en-GB" w:eastAsia="nl-NL"/>
              </w:rPr>
              <w:t>1.20 (0.98 to 1.46)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  <w:t>1.39 (1.11 to 1.73)</w:t>
            </w:r>
          </w:p>
        </w:tc>
      </w:tr>
      <w:tr w:rsidR="00B94F73" w:rsidRPr="00FC7007" w:rsidTr="009878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</w:pPr>
            <w:r w:rsidRPr="00FC7007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4"/>
              </w:rPr>
              <w:tab/>
              <w:t>&gt; 3 GBYs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>2.15 (1.82 to 2.54)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>2.60 (2.19 to 3.07)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>1.61 (1.41 to 1.83)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>1.55 (1.23 to 1.95)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szCs w:val="24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szCs w:val="24"/>
                <w:lang w:val="en-GB" w:eastAsia="nl-NL"/>
              </w:rPr>
              <w:t>1.52 (1.16 to 1.98)</w:t>
            </w:r>
          </w:p>
        </w:tc>
      </w:tr>
    </w:tbl>
    <w:p w:rsidR="00B94F73" w:rsidRPr="00FC7007" w:rsidRDefault="00B94F73" w:rsidP="00B94F73">
      <w:pPr>
        <w:spacing w:after="0" w:line="360" w:lineRule="auto"/>
        <w:rPr>
          <w:rFonts w:ascii="Times New Roman" w:eastAsia="Times New Roman" w:hAnsi="Times New Roman" w:cs="Times New Roman"/>
          <w:szCs w:val="24"/>
          <w:lang w:val="en-GB"/>
        </w:rPr>
      </w:pPr>
      <w:r w:rsidRPr="00FC7007">
        <w:rPr>
          <w:rFonts w:ascii="Times New Roman" w:eastAsia="Times New Roman" w:hAnsi="Times New Roman" w:cs="Times New Roman"/>
          <w:szCs w:val="24"/>
          <w:lang w:val="en-GB"/>
        </w:rPr>
        <w:t>CAD=coronary artery disease; CER=cerebrovascular disease; CI=confidence interval; GBY=glycemic burden year; HR=hazard ratio.</w:t>
      </w:r>
    </w:p>
    <w:p w:rsidR="00B94F73" w:rsidRPr="00FC7007" w:rsidRDefault="00B94F73" w:rsidP="00B94F73">
      <w:pPr>
        <w:spacing w:after="0" w:line="360" w:lineRule="auto"/>
        <w:rPr>
          <w:rFonts w:ascii="Times New Roman" w:eastAsia="Times New Roman" w:hAnsi="Times New Roman" w:cs="Times New Roman"/>
          <w:szCs w:val="24"/>
          <w:lang w:val="en-GB"/>
        </w:rPr>
      </w:pPr>
      <w:proofErr w:type="spellStart"/>
      <w:proofErr w:type="gramStart"/>
      <w:r w:rsidRPr="00FC7007">
        <w:rPr>
          <w:rFonts w:ascii="Times New Roman" w:eastAsia="Times New Roman" w:hAnsi="Times New Roman" w:cs="Times New Roman"/>
          <w:szCs w:val="24"/>
          <w:vertAlign w:val="superscript"/>
          <w:lang w:val="en-GB"/>
        </w:rPr>
        <w:lastRenderedPageBreak/>
        <w:t>a</w:t>
      </w:r>
      <w:r w:rsidRPr="00FC7007">
        <w:rPr>
          <w:rFonts w:ascii="Times New Roman" w:eastAsia="Times New Roman" w:hAnsi="Times New Roman" w:cs="Times New Roman"/>
          <w:szCs w:val="24"/>
          <w:lang w:val="en-GB"/>
        </w:rPr>
        <w:t>Data</w:t>
      </w:r>
      <w:proofErr w:type="spellEnd"/>
      <w:proofErr w:type="gramEnd"/>
      <w:r w:rsidRPr="00FC7007">
        <w:rPr>
          <w:rFonts w:ascii="Times New Roman" w:eastAsia="Times New Roman" w:hAnsi="Times New Roman" w:cs="Times New Roman"/>
          <w:szCs w:val="24"/>
          <w:lang w:val="en-GB"/>
        </w:rPr>
        <w:t xml:space="preserve"> are HR (95% CI).</w:t>
      </w:r>
    </w:p>
    <w:p w:rsidR="00B94F73" w:rsidRPr="00FC7007" w:rsidRDefault="00B94F73" w:rsidP="00B94F73">
      <w:pPr>
        <w:rPr>
          <w:rFonts w:ascii="Times New Roman" w:eastAsia="Times New Roman" w:hAnsi="Times New Roman" w:cs="Times New Roman"/>
          <w:b/>
          <w:lang w:val="en-US"/>
        </w:rPr>
      </w:pPr>
      <w:r w:rsidRPr="00FC7007">
        <w:rPr>
          <w:rFonts w:ascii="Times New Roman" w:eastAsia="Times New Roman" w:hAnsi="Times New Roman" w:cs="Times New Roman"/>
          <w:b/>
          <w:lang w:val="en-US"/>
        </w:rPr>
        <w:br w:type="page"/>
      </w:r>
    </w:p>
    <w:p w:rsidR="00B94F73" w:rsidRPr="00FC7007" w:rsidRDefault="00B94F73" w:rsidP="00B94F73">
      <w:pPr>
        <w:spacing w:after="0" w:line="360" w:lineRule="auto"/>
        <w:rPr>
          <w:rFonts w:ascii="Times New Roman" w:eastAsia="Times New Roman" w:hAnsi="Times New Roman" w:cs="Times New Roman"/>
          <w:b/>
          <w:lang w:val="en-GB"/>
        </w:rPr>
      </w:pPr>
      <w:proofErr w:type="gramStart"/>
      <w:r w:rsidRPr="00FC7007">
        <w:rPr>
          <w:rFonts w:ascii="Times New Roman" w:eastAsia="Times New Roman" w:hAnsi="Times New Roman" w:cs="Times New Roman"/>
          <w:b/>
          <w:lang w:val="en-US"/>
        </w:rPr>
        <w:lastRenderedPageBreak/>
        <w:t xml:space="preserve">Supplemental </w:t>
      </w:r>
      <w:r w:rsidRPr="00FC7007">
        <w:rPr>
          <w:rFonts w:ascii="Times New Roman" w:eastAsia="Times New Roman" w:hAnsi="Times New Roman" w:cs="Times New Roman"/>
          <w:b/>
          <w:lang w:val="en-GB"/>
        </w:rPr>
        <w:t>Table S2</w:t>
      </w:r>
      <w:r w:rsidRPr="00FC7007">
        <w:rPr>
          <w:rFonts w:ascii="Times New Roman" w:eastAsia="Times New Roman" w:hAnsi="Times New Roman" w:cs="Times New Roman"/>
          <w:lang w:val="en-GB"/>
        </w:rPr>
        <w:t>.</w:t>
      </w:r>
      <w:proofErr w:type="gramEnd"/>
      <w:r w:rsidRPr="00FC7007">
        <w:rPr>
          <w:rFonts w:ascii="Times New Roman" w:eastAsia="Times New Roman" w:hAnsi="Times New Roman" w:cs="Times New Roman"/>
          <w:b/>
          <w:lang w:val="en-GB"/>
        </w:rPr>
        <w:t xml:space="preserve"> </w:t>
      </w:r>
      <w:r w:rsidRPr="00FC7007">
        <w:rPr>
          <w:rFonts w:ascii="Times New Roman" w:eastAsia="Times New Roman" w:hAnsi="Times New Roman" w:cs="Times New Roman"/>
          <w:lang w:val="en-GB"/>
        </w:rPr>
        <w:t>Association between covariates and micro- and macrovascular complications adjusted for different measures for glycemic exposure</w:t>
      </w:r>
      <w:r w:rsidRPr="00FC7007">
        <w:rPr>
          <w:rFonts w:ascii="Times New Roman" w:eastAsia="Times New Roman" w:hAnsi="Times New Roman" w:cs="Times New Roman"/>
          <w:b/>
          <w:lang w:val="en-GB"/>
        </w:rPr>
        <w:t xml:space="preserve"> </w:t>
      </w:r>
    </w:p>
    <w:tbl>
      <w:tblPr>
        <w:tblStyle w:val="LightList-Accent6"/>
        <w:tblW w:w="5000" w:type="pct"/>
        <w:tblBorders>
          <w:top w:val="single" w:sz="12" w:space="0" w:color="F39200"/>
          <w:left w:val="single" w:sz="12" w:space="0" w:color="F39200"/>
          <w:bottom w:val="single" w:sz="12" w:space="0" w:color="F39200"/>
          <w:right w:val="single" w:sz="12" w:space="0" w:color="F39200"/>
        </w:tblBorders>
        <w:tblLook w:val="01E0" w:firstRow="1" w:lastRow="1" w:firstColumn="1" w:lastColumn="1" w:noHBand="0" w:noVBand="0"/>
      </w:tblPr>
      <w:tblGrid>
        <w:gridCol w:w="2884"/>
        <w:gridCol w:w="1672"/>
        <w:gridCol w:w="1672"/>
        <w:gridCol w:w="1672"/>
        <w:gridCol w:w="1676"/>
      </w:tblGrid>
      <w:tr w:rsidR="00B94F73" w:rsidRPr="00FC7007" w:rsidTr="00987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HbA1c at</w:t>
            </w:r>
          </w:p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index</w:t>
            </w:r>
          </w:p>
        </w:tc>
        <w:tc>
          <w:tcPr>
            <w:tcW w:w="873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Time- dependent HbA</w:t>
            </w: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1c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single" w:sz="12" w:space="0" w:color="24256E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GBYs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HR (95% CI) diabetic foot adjusted for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Age,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1.00 (1.00 to 1.01)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1.03 (1.03 to 1.04)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1.03 (1.03 to 1.04)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1.03 (1.03 to 1.04)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Gender, 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1.05 (0.99 to 1.13)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1.02 (0.96 to 1.09)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1.02 (0.96 to 1.09)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1.02 (0.96 to 1.09)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Time since first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1.03 (1.00 to 1.05)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1.02 (0.99 to 1.05)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0.98 (0.95 to 1.01)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Time since last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0.99 (0.97 to 1.02)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0.99 (0.96 to 1.02)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1.02 (0.99 to 1.05)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Year of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1.49 (1.46 to 1.53)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(1.02 to 1.06)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1.03 (1.01 to 1.05)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1.03 (1.02 to 1.05)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HR (95% CI) retinopathy adjusted for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Age,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1.01 (1.00 to 1.01)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1.01 (1.01 to 1.02)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1.01 (1.01 to 1.02)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1.01 (1.01 to 1.02)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Gender, 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1.05 (0.99 to 1.12)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(0.97 to 1.11)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(0.97 to 1.11)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1.04 (0.97 to 1.11)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Time since first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1.13 (1.10 to 1.16)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1.11 (1.08 to 1.15)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1.05 (1.02 to 1.09)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Time since last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0.99 (0.96 to 1.02)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1.00 (0.97 to 1.03)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1.02 (0.99 to 1.06)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Year of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1.57 (1.54 to 1.61)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0.98 (0.96 to 1.00)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0.98 (0.96 to 1.00)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0.98 (0.96 to 1.00)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HR (95% CI) renal complications adjusted for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Age,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1.01 (1.01 to 1.01)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1.05 (1.05 to 1.06)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1.05 (1.05 to 1.06)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1.05 (1.05 to 1.06)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Gender, 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1.09 (1.04 to 1.15)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(0.99 to 1.09)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(0.99 to 1.09)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1.04 (0.99 to 1.09)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Time since first time above </w:t>
            </w: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lastRenderedPageBreak/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 xml:space="preserve">1.09 (1.07 to </w:t>
            </w: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lastRenderedPageBreak/>
              <w:t>1.12)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lastRenderedPageBreak/>
              <w:t xml:space="preserve">1.09 (1.07 to </w:t>
            </w: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lastRenderedPageBreak/>
              <w:t>1.12)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lastRenderedPageBreak/>
              <w:t xml:space="preserve">1.05 (1.03 to </w:t>
            </w: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lastRenderedPageBreak/>
              <w:t>1.08)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Time since last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1.06 (1.04 to 1.09)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1.05 (1.03 to 1.08)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1.09 (1.06 to 1.11)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Year of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1.50 (1.47 to 1.52)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0.98 (0.97 to 1.00)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0.98 (0.97 to 1.00)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0.98 (0.97 to 1.00)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HR (95% CI) CAD adjusted for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Age,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(1.03 to 1.04)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(1.03 to 1.04)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(1.03 to 1.04)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1.04 (1.03 to 1.04)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Gender, 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1.47 (1.35 to 1.61)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1.48 (1.35 to 1.62)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1.48 (1.35 to 1.62)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1.48 (1.35 to 1.61)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Time since first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(1.00 to 1.08)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1.03 (0.99 to 1.07)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1.01 (0.97 to 1.05)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Time since last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1.00 (0.96 to 1.05)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1.00 (0.96 to 1.04)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1.02 (0.98 to 1.06)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Year of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0.94 (0.92 to 0.97)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0.95 (0.92 to 0.97)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0.95 (0.92 to 0.97)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0.95 (0.92 to 0.97)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HR (95% CI) CER adjusted for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Age,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1.01 (1.00 to 1.01)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1.07 (1.06 to 1.07)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1.07 (1.06 to 1.07)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1.07 (1.06 to 1.07)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Gender, female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1.08 (0.98 to 1.20)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1.15 (1.04 to 1.27)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1.15 (1.04 to 1.27)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1.15 (1.04 to 1.27)</w:t>
            </w:r>
          </w:p>
        </w:tc>
      </w:tr>
      <w:tr w:rsidR="00B94F73" w:rsidRPr="00FC7007" w:rsidTr="00987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Time since first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1.04 (0.99 to 1.08)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1.03 (0.99 to 1.08)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1.00 (0.96 to 1.05)</w:t>
            </w:r>
          </w:p>
        </w:tc>
      </w:tr>
      <w:tr w:rsidR="00B94F73" w:rsidRPr="00FC7007" w:rsidTr="009878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ind w:left="180" w:hanging="18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Time since last time above threshold, 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0.99 (0.95 to 1.04)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Cs/>
                <w:lang w:val="en-GB" w:eastAsia="nl-NL"/>
              </w:rPr>
              <w:t>1.02 (0.97 to 1.06)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  <w:t>1.04 (1.00 to 1.09)</w:t>
            </w:r>
          </w:p>
        </w:tc>
      </w:tr>
      <w:tr w:rsidR="00B94F73" w:rsidRPr="00FC7007" w:rsidTr="009878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tcBorders>
              <w:top w:val="nil"/>
              <w:left w:val="nil"/>
              <w:bottom w:val="single" w:sz="12" w:space="0" w:color="24256E"/>
              <w:right w:val="nil"/>
            </w:tcBorders>
          </w:tcPr>
          <w:p w:rsidR="00B94F73" w:rsidRPr="00FC7007" w:rsidRDefault="00B94F73" w:rsidP="0098789E">
            <w:pPr>
              <w:pStyle w:val="Tabel"/>
              <w:tabs>
                <w:tab w:val="left" w:pos="170"/>
                <w:tab w:val="left" w:pos="340"/>
              </w:tabs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FC7007">
              <w:rPr>
                <w:rFonts w:ascii="Times New Roman" w:hAnsi="Times New Roman"/>
                <w:color w:val="auto"/>
                <w:sz w:val="22"/>
                <w:szCs w:val="22"/>
              </w:rPr>
              <w:t>Year of index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12" w:space="0" w:color="24256E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1.47 (1.42 to 1.52)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12" w:space="0" w:color="24256E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1.01 (0.98 to 1.04)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3" w:type="pct"/>
            <w:tcBorders>
              <w:top w:val="nil"/>
              <w:left w:val="nil"/>
              <w:bottom w:val="single" w:sz="12" w:space="0" w:color="24256E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1.00 (0.98 to 1.03)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tcBorders>
              <w:top w:val="nil"/>
              <w:left w:val="nil"/>
              <w:bottom w:val="single" w:sz="12" w:space="0" w:color="24256E"/>
              <w:right w:val="nil"/>
            </w:tcBorders>
            <w:vAlign w:val="center"/>
          </w:tcPr>
          <w:p w:rsidR="00B94F73" w:rsidRPr="00FC7007" w:rsidRDefault="00B94F73" w:rsidP="0098789E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bCs w:val="0"/>
                <w:lang w:val="en-GB" w:eastAsia="nl-NL"/>
              </w:rPr>
            </w:pPr>
            <w:r w:rsidRPr="00FC7007">
              <w:rPr>
                <w:rFonts w:ascii="Times New Roman" w:eastAsia="Times New Roman" w:hAnsi="Times New Roman" w:cs="Times New Roman"/>
                <w:b w:val="0"/>
                <w:lang w:val="en-GB" w:eastAsia="nl-NL"/>
              </w:rPr>
              <w:t>1.00 (0.98 to 1.03)</w:t>
            </w:r>
          </w:p>
        </w:tc>
      </w:tr>
    </w:tbl>
    <w:p w:rsidR="00B94F73" w:rsidRPr="002E40C2" w:rsidRDefault="00B94F73" w:rsidP="00B94F73">
      <w:pPr>
        <w:pStyle w:val="CommentText"/>
        <w:spacing w:after="0" w:line="360" w:lineRule="auto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C7007">
        <w:rPr>
          <w:rFonts w:ascii="Times New Roman" w:eastAsia="Times New Roman" w:hAnsi="Times New Roman" w:cs="Times New Roman"/>
          <w:sz w:val="22"/>
          <w:szCs w:val="22"/>
          <w:lang w:val="en-GB"/>
        </w:rPr>
        <w:t>CAD=coronary artery disease; CER=cerebrovascular disease; CI=confidence interval; EMA=exponential moving average; GBY=glycemic burden year; HR=hazard ratio.</w:t>
      </w:r>
    </w:p>
    <w:p w:rsidR="00D713B2" w:rsidRDefault="00D713B2">
      <w:bookmarkStart w:id="0" w:name="_GoBack"/>
      <w:bookmarkEnd w:id="0"/>
    </w:p>
    <w:sectPr w:rsidR="00D7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E4" w:rsidRDefault="00551AE4" w:rsidP="00551AE4">
      <w:pPr>
        <w:spacing w:after="0" w:line="240" w:lineRule="auto"/>
      </w:pPr>
      <w:r>
        <w:separator/>
      </w:r>
    </w:p>
  </w:endnote>
  <w:endnote w:type="continuationSeparator" w:id="0">
    <w:p w:rsidR="00551AE4" w:rsidRDefault="00551AE4" w:rsidP="0055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E4" w:rsidRDefault="00551AE4" w:rsidP="00551AE4">
      <w:pPr>
        <w:spacing w:after="0" w:line="240" w:lineRule="auto"/>
      </w:pPr>
      <w:r>
        <w:separator/>
      </w:r>
    </w:p>
  </w:footnote>
  <w:footnote w:type="continuationSeparator" w:id="0">
    <w:p w:rsidR="00551AE4" w:rsidRDefault="00551AE4" w:rsidP="00551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3"/>
    <w:rsid w:val="00551AE4"/>
    <w:rsid w:val="00B94F73"/>
    <w:rsid w:val="00D7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3"/>
    <w:rPr>
      <w:rFonts w:eastAsiaTheme="minorEastAsia"/>
      <w:lang w:val="nl-NL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94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F73"/>
    <w:rPr>
      <w:rFonts w:eastAsiaTheme="minorEastAsia"/>
      <w:sz w:val="20"/>
      <w:szCs w:val="20"/>
      <w:lang w:val="nl-NL" w:eastAsia="zh-TW"/>
    </w:rPr>
  </w:style>
  <w:style w:type="paragraph" w:customStyle="1" w:styleId="Tabel">
    <w:name w:val="Tabel"/>
    <w:basedOn w:val="Normal"/>
    <w:rsid w:val="00B94F73"/>
    <w:pPr>
      <w:spacing w:after="0" w:line="360" w:lineRule="auto"/>
    </w:pPr>
    <w:rPr>
      <w:rFonts w:ascii="Arial" w:eastAsia="Times New Roman" w:hAnsi="Arial" w:cs="Times New Roman"/>
      <w:color w:val="000080"/>
      <w:sz w:val="20"/>
      <w:szCs w:val="20"/>
      <w:lang w:val="en-GB" w:eastAsia="nl-NL"/>
    </w:rPr>
  </w:style>
  <w:style w:type="table" w:styleId="LightList-Accent6">
    <w:name w:val="Light List Accent 6"/>
    <w:basedOn w:val="TableNormal"/>
    <w:uiPriority w:val="61"/>
    <w:rsid w:val="00B94F73"/>
    <w:pPr>
      <w:spacing w:after="0" w:line="240" w:lineRule="auto"/>
    </w:pPr>
    <w:rPr>
      <w:rFonts w:eastAsiaTheme="minorEastAsia"/>
      <w:lang w:val="nl-NL" w:eastAsia="zh-TW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73"/>
    <w:rPr>
      <w:rFonts w:eastAsiaTheme="minorEastAsia"/>
      <w:lang w:val="nl-NL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94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F73"/>
    <w:rPr>
      <w:rFonts w:eastAsiaTheme="minorEastAsia"/>
      <w:sz w:val="20"/>
      <w:szCs w:val="20"/>
      <w:lang w:val="nl-NL" w:eastAsia="zh-TW"/>
    </w:rPr>
  </w:style>
  <w:style w:type="paragraph" w:customStyle="1" w:styleId="Tabel">
    <w:name w:val="Tabel"/>
    <w:basedOn w:val="Normal"/>
    <w:rsid w:val="00B94F73"/>
    <w:pPr>
      <w:spacing w:after="0" w:line="360" w:lineRule="auto"/>
    </w:pPr>
    <w:rPr>
      <w:rFonts w:ascii="Arial" w:eastAsia="Times New Roman" w:hAnsi="Arial" w:cs="Times New Roman"/>
      <w:color w:val="000080"/>
      <w:sz w:val="20"/>
      <w:szCs w:val="20"/>
      <w:lang w:val="en-GB" w:eastAsia="nl-NL"/>
    </w:rPr>
  </w:style>
  <w:style w:type="table" w:styleId="LightList-Accent6">
    <w:name w:val="Light List Accent 6"/>
    <w:basedOn w:val="TableNormal"/>
    <w:uiPriority w:val="61"/>
    <w:rsid w:val="00B94F73"/>
    <w:pPr>
      <w:spacing w:after="0" w:line="240" w:lineRule="auto"/>
    </w:pPr>
    <w:rPr>
      <w:rFonts w:eastAsiaTheme="minorEastAsia"/>
      <w:lang w:val="nl-NL" w:eastAsia="zh-TW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2017-09-01T14:46:00Z</dcterms:created>
  <dcterms:modified xsi:type="dcterms:W3CDTF">2017-09-01T14:46:00Z</dcterms:modified>
</cp:coreProperties>
</file>