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23E" w:rsidRPr="006938E1" w:rsidRDefault="0018523E" w:rsidP="0018523E">
      <w:pPr>
        <w:outlineLvl w:val="0"/>
        <w:rPr>
          <w:rFonts w:ascii="Helvetica Light" w:hAnsi="Helvetica Light" w:cs="Arial"/>
          <w:b/>
          <w:lang w:val="en-GB"/>
        </w:rPr>
      </w:pPr>
      <w:r w:rsidRPr="006938E1">
        <w:rPr>
          <w:rFonts w:ascii="Helvetica Light" w:hAnsi="Helvetica Light" w:cs="Arial"/>
          <w:b/>
          <w:lang w:val="en-GB"/>
        </w:rPr>
        <w:t>Supplements</w:t>
      </w:r>
    </w:p>
    <w:p w:rsidR="0018523E" w:rsidRPr="006938E1" w:rsidRDefault="0018523E" w:rsidP="0018523E">
      <w:pPr>
        <w:rPr>
          <w:rFonts w:ascii="Helvetica Light" w:hAnsi="Helvetica Light" w:cs="Arial"/>
          <w:lang w:val="en-GB"/>
        </w:rPr>
      </w:pPr>
    </w:p>
    <w:p w:rsidR="0018523E" w:rsidRPr="006938E1" w:rsidRDefault="0018523E" w:rsidP="0018523E">
      <w:pPr>
        <w:rPr>
          <w:rFonts w:ascii="Arial" w:hAnsi="Arial" w:cs="Arial"/>
          <w:sz w:val="20"/>
          <w:szCs w:val="20"/>
          <w:lang w:val="en-GB"/>
        </w:rPr>
      </w:pPr>
      <w:r w:rsidRPr="006938E1">
        <w:rPr>
          <w:rFonts w:ascii="Arial" w:hAnsi="Arial" w:cs="Arial"/>
          <w:noProof/>
          <w:sz w:val="20"/>
          <w:szCs w:val="20"/>
          <w:lang w:eastAsia="zh-CN"/>
        </w:rPr>
        <w:drawing>
          <wp:inline distT="0" distB="0" distL="0" distR="0" wp14:anchorId="035365A9" wp14:editId="316FAF8E">
            <wp:extent cx="3833726" cy="3055154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46907" cy="306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23E" w:rsidRPr="006938E1" w:rsidRDefault="0018523E" w:rsidP="0018523E">
      <w:pPr>
        <w:pStyle w:val="Caption"/>
        <w:rPr>
          <w:rFonts w:ascii="Arial" w:hAnsi="Arial" w:cs="Arial"/>
          <w:b/>
          <w:i w:val="0"/>
          <w:color w:val="auto"/>
          <w:sz w:val="20"/>
          <w:szCs w:val="20"/>
          <w:lang w:val="en-GB"/>
        </w:rPr>
      </w:pPr>
      <w:r w:rsidRPr="006938E1">
        <w:rPr>
          <w:rFonts w:ascii="Arial" w:hAnsi="Arial" w:cs="Arial"/>
          <w:b/>
          <w:i w:val="0"/>
          <w:color w:val="auto"/>
          <w:sz w:val="20"/>
          <w:szCs w:val="20"/>
        </w:rPr>
        <w:t xml:space="preserve">Supplementary Figure </w:t>
      </w:r>
      <w:r w:rsidRPr="006938E1">
        <w:rPr>
          <w:rFonts w:ascii="Arial" w:hAnsi="Arial" w:cs="Arial"/>
          <w:b/>
          <w:i w:val="0"/>
          <w:color w:val="auto"/>
          <w:sz w:val="20"/>
          <w:szCs w:val="20"/>
        </w:rPr>
        <w:fldChar w:fldCharType="begin"/>
      </w:r>
      <w:r w:rsidRPr="006938E1">
        <w:rPr>
          <w:rFonts w:ascii="Arial" w:hAnsi="Arial" w:cs="Arial"/>
          <w:b/>
          <w:i w:val="0"/>
          <w:color w:val="auto"/>
          <w:sz w:val="20"/>
          <w:szCs w:val="20"/>
        </w:rPr>
        <w:instrText xml:space="preserve"> SEQ Supplementary_Figure \* ARABIC </w:instrText>
      </w:r>
      <w:r w:rsidRPr="006938E1">
        <w:rPr>
          <w:rFonts w:ascii="Arial" w:hAnsi="Arial" w:cs="Arial"/>
          <w:b/>
          <w:i w:val="0"/>
          <w:color w:val="auto"/>
          <w:sz w:val="20"/>
          <w:szCs w:val="20"/>
        </w:rPr>
        <w:fldChar w:fldCharType="separate"/>
      </w:r>
      <w:r w:rsidRPr="006938E1">
        <w:rPr>
          <w:rFonts w:ascii="Arial" w:hAnsi="Arial" w:cs="Arial"/>
          <w:b/>
          <w:i w:val="0"/>
          <w:noProof/>
          <w:color w:val="auto"/>
          <w:sz w:val="20"/>
          <w:szCs w:val="20"/>
        </w:rPr>
        <w:t>1</w:t>
      </w:r>
      <w:r w:rsidRPr="006938E1">
        <w:rPr>
          <w:rFonts w:ascii="Arial" w:hAnsi="Arial" w:cs="Arial"/>
          <w:b/>
          <w:i w:val="0"/>
          <w:color w:val="auto"/>
          <w:sz w:val="20"/>
          <w:szCs w:val="20"/>
        </w:rPr>
        <w:fldChar w:fldCharType="end"/>
      </w:r>
      <w:r w:rsidRPr="006938E1">
        <w:rPr>
          <w:rFonts w:ascii="Arial" w:hAnsi="Arial" w:cs="Arial"/>
          <w:b/>
          <w:i w:val="0"/>
          <w:color w:val="auto"/>
          <w:sz w:val="20"/>
          <w:szCs w:val="20"/>
        </w:rPr>
        <w:t xml:space="preserve"> Insulin requirement. A)</w:t>
      </w:r>
      <w:r w:rsidRPr="006938E1">
        <w:rPr>
          <w:rFonts w:ascii="Arial" w:hAnsi="Arial" w:cs="Arial"/>
          <w:i w:val="0"/>
          <w:color w:val="auto"/>
          <w:sz w:val="20"/>
          <w:szCs w:val="20"/>
        </w:rPr>
        <w:t xml:space="preserve"> Daily basal insulin dose at baseline, 3 and 6 months after treatment switch. </w:t>
      </w:r>
      <w:r w:rsidRPr="006938E1">
        <w:rPr>
          <w:rFonts w:ascii="Arial" w:hAnsi="Arial" w:cs="Arial"/>
          <w:b/>
          <w:i w:val="0"/>
          <w:color w:val="auto"/>
          <w:sz w:val="20"/>
          <w:szCs w:val="20"/>
        </w:rPr>
        <w:t>B)</w:t>
      </w:r>
      <w:r w:rsidRPr="006938E1">
        <w:rPr>
          <w:rFonts w:ascii="Arial" w:hAnsi="Arial" w:cs="Arial"/>
          <w:i w:val="0"/>
          <w:color w:val="auto"/>
          <w:sz w:val="20"/>
          <w:szCs w:val="20"/>
        </w:rPr>
        <w:t xml:space="preserve"> Daily prandial insulin dose at baseline, 3 and 6 months after treatment switch.</w:t>
      </w:r>
      <w:r w:rsidRPr="006938E1">
        <w:rPr>
          <w:rFonts w:ascii="Arial" w:hAnsi="Arial" w:cs="Arial"/>
          <w:b/>
          <w:i w:val="0"/>
          <w:color w:val="auto"/>
          <w:sz w:val="20"/>
          <w:szCs w:val="20"/>
        </w:rPr>
        <w:t xml:space="preserve"> </w:t>
      </w:r>
      <w:r w:rsidRPr="006938E1">
        <w:rPr>
          <w:rFonts w:ascii="Arial" w:hAnsi="Arial" w:cs="Arial"/>
          <w:i w:val="0"/>
          <w:color w:val="auto"/>
          <w:sz w:val="20"/>
          <w:szCs w:val="20"/>
          <w:lang w:val="en-GB"/>
        </w:rPr>
        <w:t>Graphically represented are median values and interquartile range. CI = confidence interval, *** = p-value &lt; 0.005, **** = p-value &lt; 0.0001.</w:t>
      </w:r>
    </w:p>
    <w:p w:rsidR="0018523E" w:rsidRPr="006938E1" w:rsidRDefault="0018523E" w:rsidP="0018523E">
      <w:pPr>
        <w:pStyle w:val="Caption"/>
        <w:rPr>
          <w:rFonts w:ascii="Arial" w:hAnsi="Arial" w:cs="Arial"/>
          <w:b/>
          <w:i w:val="0"/>
          <w:iCs w:val="0"/>
          <w:color w:val="auto"/>
          <w:sz w:val="20"/>
          <w:szCs w:val="20"/>
          <w:highlight w:val="yellow"/>
          <w:lang w:val="en-GB"/>
        </w:rPr>
      </w:pPr>
    </w:p>
    <w:p w:rsidR="0018523E" w:rsidRPr="006938E1" w:rsidRDefault="0018523E" w:rsidP="0018523E">
      <w:pPr>
        <w:rPr>
          <w:rFonts w:ascii="Arial" w:hAnsi="Arial" w:cs="Arial"/>
          <w:sz w:val="20"/>
          <w:szCs w:val="20"/>
          <w:lang w:val="en-GB"/>
        </w:rPr>
      </w:pPr>
    </w:p>
    <w:p w:rsidR="0018523E" w:rsidRPr="006938E1" w:rsidRDefault="0018523E" w:rsidP="0018523E">
      <w:pPr>
        <w:rPr>
          <w:rFonts w:ascii="Arial" w:hAnsi="Arial" w:cs="Arial"/>
          <w:b/>
          <w:iCs/>
          <w:sz w:val="20"/>
          <w:szCs w:val="20"/>
          <w:lang w:val="en-GB"/>
        </w:rPr>
      </w:pPr>
      <w:bookmarkStart w:id="0" w:name="_Ref49079738"/>
      <w:r w:rsidRPr="006938E1">
        <w:rPr>
          <w:rFonts w:ascii="Arial" w:hAnsi="Arial" w:cs="Arial"/>
          <w:b/>
          <w:i/>
          <w:sz w:val="20"/>
          <w:szCs w:val="20"/>
          <w:lang w:val="en-GB"/>
        </w:rPr>
        <w:br w:type="page"/>
      </w:r>
    </w:p>
    <w:p w:rsidR="0018523E" w:rsidRPr="006938E1" w:rsidRDefault="0018523E" w:rsidP="0018523E">
      <w:pPr>
        <w:pStyle w:val="Caption"/>
        <w:rPr>
          <w:rFonts w:ascii="Arial" w:hAnsi="Arial" w:cs="Arial"/>
          <w:b/>
          <w:i w:val="0"/>
          <w:color w:val="auto"/>
          <w:sz w:val="20"/>
          <w:szCs w:val="20"/>
          <w:lang w:val="en-GB"/>
        </w:rPr>
      </w:pPr>
      <w:r w:rsidRPr="006938E1">
        <w:rPr>
          <w:rFonts w:ascii="Arial" w:hAnsi="Arial" w:cs="Arial"/>
          <w:b/>
          <w:i w:val="0"/>
          <w:color w:val="auto"/>
          <w:sz w:val="20"/>
          <w:szCs w:val="20"/>
          <w:lang w:val="en-GB"/>
        </w:rPr>
        <w:lastRenderedPageBreak/>
        <w:t xml:space="preserve">Supplementary Table </w:t>
      </w:r>
      <w:r w:rsidRPr="006938E1">
        <w:rPr>
          <w:rFonts w:ascii="Arial" w:hAnsi="Arial" w:cs="Arial"/>
          <w:b/>
          <w:i w:val="0"/>
          <w:color w:val="auto"/>
          <w:sz w:val="20"/>
          <w:szCs w:val="20"/>
          <w:lang w:val="en-GB"/>
        </w:rPr>
        <w:fldChar w:fldCharType="begin"/>
      </w:r>
      <w:r w:rsidRPr="006938E1">
        <w:rPr>
          <w:rFonts w:ascii="Arial" w:hAnsi="Arial" w:cs="Arial"/>
          <w:b/>
          <w:i w:val="0"/>
          <w:color w:val="auto"/>
          <w:sz w:val="20"/>
          <w:szCs w:val="20"/>
          <w:lang w:val="en-GB"/>
        </w:rPr>
        <w:instrText xml:space="preserve"> SEQ Supplementary_Table \* ARABIC </w:instrText>
      </w:r>
      <w:r w:rsidRPr="006938E1">
        <w:rPr>
          <w:rFonts w:ascii="Arial" w:hAnsi="Arial" w:cs="Arial"/>
          <w:b/>
          <w:i w:val="0"/>
          <w:color w:val="auto"/>
          <w:sz w:val="20"/>
          <w:szCs w:val="20"/>
          <w:lang w:val="en-GB"/>
        </w:rPr>
        <w:fldChar w:fldCharType="separate"/>
      </w:r>
      <w:r w:rsidRPr="006938E1">
        <w:rPr>
          <w:rFonts w:ascii="Arial" w:hAnsi="Arial" w:cs="Arial"/>
          <w:b/>
          <w:i w:val="0"/>
          <w:noProof/>
          <w:color w:val="auto"/>
          <w:sz w:val="20"/>
          <w:szCs w:val="20"/>
          <w:lang w:val="en-GB"/>
        </w:rPr>
        <w:t>1</w:t>
      </w:r>
      <w:r w:rsidRPr="006938E1">
        <w:rPr>
          <w:rFonts w:ascii="Arial" w:hAnsi="Arial" w:cs="Arial"/>
          <w:b/>
          <w:i w:val="0"/>
          <w:color w:val="auto"/>
          <w:sz w:val="20"/>
          <w:szCs w:val="20"/>
          <w:lang w:val="en-GB"/>
        </w:rPr>
        <w:fldChar w:fldCharType="end"/>
      </w:r>
      <w:bookmarkEnd w:id="0"/>
      <w:r w:rsidRPr="006938E1">
        <w:rPr>
          <w:rFonts w:ascii="Arial" w:hAnsi="Arial" w:cs="Arial"/>
          <w:b/>
          <w:i w:val="0"/>
          <w:color w:val="auto"/>
          <w:sz w:val="20"/>
          <w:szCs w:val="20"/>
          <w:lang w:val="en-GB"/>
        </w:rPr>
        <w:t xml:space="preserve"> Adverse events. </w:t>
      </w:r>
      <w:r w:rsidRPr="006938E1">
        <w:rPr>
          <w:rFonts w:ascii="Arial" w:eastAsia="Calibri" w:hAnsi="Arial" w:cs="Arial"/>
          <w:i w:val="0"/>
          <w:color w:val="auto"/>
          <w:sz w:val="20"/>
          <w:szCs w:val="20"/>
          <w:lang w:val="en-GB"/>
        </w:rPr>
        <w:t>Adverse</w:t>
      </w:r>
      <w:r w:rsidRPr="006938E1">
        <w:rPr>
          <w:rFonts w:ascii="Arial" w:hAnsi="Arial" w:cs="Arial"/>
          <w:i w:val="0"/>
          <w:color w:val="auto"/>
          <w:sz w:val="20"/>
          <w:szCs w:val="20"/>
          <w:lang w:val="en-GB"/>
        </w:rPr>
        <w:t xml:space="preserve"> events documented in the patient record forms and </w:t>
      </w:r>
      <w:r w:rsidRPr="006938E1">
        <w:rPr>
          <w:rFonts w:ascii="Arial" w:eastAsia="Calibri" w:hAnsi="Arial" w:cs="Arial"/>
          <w:i w:val="0"/>
          <w:color w:val="auto"/>
          <w:sz w:val="20"/>
          <w:szCs w:val="20"/>
          <w:lang w:val="en-GB"/>
        </w:rPr>
        <w:t>doctor</w:t>
      </w:r>
      <w:r w:rsidRPr="006938E1">
        <w:rPr>
          <w:rFonts w:ascii="Arial" w:hAnsi="Arial" w:cs="Arial"/>
          <w:i w:val="0"/>
          <w:color w:val="auto"/>
          <w:sz w:val="20"/>
          <w:szCs w:val="20"/>
          <w:lang w:val="en-GB"/>
        </w:rPr>
        <w:t xml:space="preserve"> letters during the observational period of six months after </w:t>
      </w:r>
      <w:r w:rsidRPr="006938E1">
        <w:rPr>
          <w:rFonts w:ascii="Arial" w:eastAsia="Calibri" w:hAnsi="Arial" w:cs="Arial"/>
          <w:i w:val="0"/>
          <w:color w:val="auto"/>
          <w:sz w:val="20"/>
          <w:szCs w:val="20"/>
          <w:lang w:val="en-GB"/>
        </w:rPr>
        <w:t>switching</w:t>
      </w:r>
      <w:r w:rsidRPr="006938E1">
        <w:rPr>
          <w:rFonts w:ascii="Arial" w:hAnsi="Arial" w:cs="Arial"/>
          <w:i w:val="0"/>
          <w:color w:val="auto"/>
          <w:sz w:val="20"/>
          <w:szCs w:val="20"/>
          <w:lang w:val="en-GB"/>
        </w:rPr>
        <w:t xml:space="preserve"> to semaglutide.</w:t>
      </w:r>
    </w:p>
    <w:tbl>
      <w:tblPr>
        <w:tblStyle w:val="PlainTable5"/>
        <w:tblW w:w="6792" w:type="dxa"/>
        <w:tblLook w:val="04A0" w:firstRow="1" w:lastRow="0" w:firstColumn="1" w:lastColumn="0" w:noHBand="0" w:noVBand="1"/>
      </w:tblPr>
      <w:tblGrid>
        <w:gridCol w:w="5602"/>
        <w:gridCol w:w="1190"/>
      </w:tblGrid>
      <w:tr w:rsidR="0018523E" w:rsidRPr="006938E1" w:rsidTr="00526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02" w:type="dxa"/>
            <w:tcBorders>
              <w:top w:val="single" w:sz="4" w:space="0" w:color="auto"/>
              <w:bottom w:val="single" w:sz="4" w:space="0" w:color="auto"/>
            </w:tcBorders>
          </w:tcPr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b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b/>
                <w:i w:val="0"/>
                <w:iCs w:val="0"/>
                <w:sz w:val="18"/>
                <w:szCs w:val="18"/>
                <w:lang w:val="en-GB"/>
              </w:rPr>
              <w:t>Adverse event</w:t>
            </w:r>
          </w:p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b/>
                <w:sz w:val="18"/>
                <w:szCs w:val="18"/>
                <w:lang w:val="en-GB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18523E" w:rsidRPr="006938E1" w:rsidRDefault="0018523E" w:rsidP="005266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b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b/>
                <w:i w:val="0"/>
                <w:iCs w:val="0"/>
                <w:sz w:val="18"/>
                <w:szCs w:val="18"/>
                <w:lang w:val="en-GB"/>
              </w:rPr>
              <w:t>n (%)</w:t>
            </w:r>
          </w:p>
        </w:tc>
      </w:tr>
      <w:tr w:rsidR="0018523E" w:rsidRPr="006938E1" w:rsidTr="00526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2" w:type="dxa"/>
            <w:tcBorders>
              <w:top w:val="single" w:sz="4" w:space="0" w:color="auto"/>
            </w:tcBorders>
          </w:tcPr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b/>
                <w:sz w:val="18"/>
                <w:szCs w:val="18"/>
                <w:lang w:val="en-GB"/>
              </w:rPr>
            </w:pPr>
          </w:p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b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b/>
                <w:i w:val="0"/>
                <w:iCs w:val="0"/>
                <w:sz w:val="18"/>
                <w:szCs w:val="18"/>
                <w:lang w:val="en-GB"/>
              </w:rPr>
              <w:t>Total patients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523E" w:rsidRPr="006938E1" w:rsidRDefault="0018523E" w:rsidP="0052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</w:p>
          <w:p w:rsidR="0018523E" w:rsidRPr="006938E1" w:rsidRDefault="0018523E" w:rsidP="00526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28 (36 %)</w:t>
            </w:r>
          </w:p>
        </w:tc>
      </w:tr>
      <w:tr w:rsidR="0018523E" w:rsidRPr="006938E1" w:rsidTr="0052660A">
        <w:trPr>
          <w:trHeight w:val="1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b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b/>
                <w:i w:val="0"/>
                <w:iCs w:val="0"/>
                <w:sz w:val="18"/>
                <w:szCs w:val="18"/>
                <w:lang w:val="en-GB"/>
              </w:rPr>
              <w:t>Deaths</w:t>
            </w:r>
          </w:p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b/>
                <w:sz w:val="12"/>
                <w:szCs w:val="12"/>
                <w:lang w:val="en-GB"/>
              </w:rPr>
            </w:pPr>
          </w:p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b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b/>
                <w:i w:val="0"/>
                <w:iCs w:val="0"/>
                <w:sz w:val="18"/>
                <w:szCs w:val="18"/>
                <w:lang w:val="en-GB"/>
              </w:rPr>
              <w:t>Hospitalization</w:t>
            </w:r>
          </w:p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b/>
                <w:i w:val="0"/>
                <w:iCs w:val="0"/>
                <w:sz w:val="18"/>
                <w:szCs w:val="18"/>
                <w:lang w:val="en-GB"/>
              </w:rPr>
              <w:t xml:space="preserve">     </w:t>
            </w:r>
            <w:r w:rsidRPr="006938E1">
              <w:rPr>
                <w:rFonts w:ascii="Helvetica Light" w:hAnsi="Helvetica Light"/>
                <w:i w:val="0"/>
                <w:iCs w:val="0"/>
                <w:sz w:val="18"/>
                <w:szCs w:val="18"/>
                <w:lang w:val="en-GB"/>
              </w:rPr>
              <w:t>gastrointestinal symptoms (1 gastritis, 1 biliary cholangitis)</w:t>
            </w:r>
          </w:p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i w:val="0"/>
                <w:iCs w:val="0"/>
                <w:sz w:val="18"/>
                <w:szCs w:val="18"/>
                <w:lang w:val="en-GB"/>
              </w:rPr>
              <w:t xml:space="preserve">     infections (1 pneumonia, 1 flu, 1 osteomyelitis, 1 ear infection)</w:t>
            </w:r>
          </w:p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i w:val="0"/>
                <w:iCs w:val="0"/>
                <w:sz w:val="18"/>
                <w:szCs w:val="18"/>
                <w:lang w:val="en-GB"/>
              </w:rPr>
              <w:t xml:space="preserve">     musculoskeletal (1 abdominal hernia, 2 traumatic accidents)</w:t>
            </w:r>
          </w:p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i w:val="0"/>
                <w:iCs w:val="0"/>
                <w:sz w:val="18"/>
                <w:szCs w:val="18"/>
                <w:lang w:val="en-GB"/>
              </w:rPr>
              <w:t xml:space="preserve">     psychiatric (1 depression)</w:t>
            </w:r>
          </w:p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b/>
                <w:sz w:val="18"/>
                <w:szCs w:val="18"/>
                <w:lang w:val="en-GB"/>
              </w:rPr>
            </w:pPr>
          </w:p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b/>
                <w:i w:val="0"/>
                <w:iCs w:val="0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b/>
                <w:i w:val="0"/>
                <w:sz w:val="18"/>
                <w:szCs w:val="18"/>
                <w:lang w:val="en-GB"/>
              </w:rPr>
              <w:t xml:space="preserve">Cardiovascular events </w:t>
            </w:r>
          </w:p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b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i w:val="0"/>
                <w:iCs w:val="0"/>
                <w:sz w:val="18"/>
                <w:szCs w:val="18"/>
                <w:lang w:val="en-GB"/>
              </w:rPr>
              <w:t xml:space="preserve">     1 myocardial infarction</w:t>
            </w:r>
          </w:p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b/>
                <w:sz w:val="18"/>
                <w:szCs w:val="18"/>
                <w:lang w:val="en-GB"/>
              </w:rPr>
            </w:pPr>
          </w:p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b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b/>
                <w:i w:val="0"/>
                <w:iCs w:val="0"/>
                <w:sz w:val="18"/>
                <w:szCs w:val="18"/>
                <w:lang w:val="en-GB"/>
              </w:rPr>
              <w:t>Discontinuation of semaglutide</w:t>
            </w:r>
          </w:p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dxa"/>
            <w:tcBorders>
              <w:left w:val="single" w:sz="4" w:space="0" w:color="auto"/>
            </w:tcBorders>
            <w:shd w:val="clear" w:color="auto" w:fill="auto"/>
          </w:tcPr>
          <w:p w:rsidR="0018523E" w:rsidRPr="006938E1" w:rsidRDefault="0018523E" w:rsidP="00526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0 (0 %)</w:t>
            </w:r>
          </w:p>
          <w:p w:rsidR="0018523E" w:rsidRPr="006938E1" w:rsidRDefault="0018523E" w:rsidP="00526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2"/>
                <w:szCs w:val="12"/>
                <w:lang w:val="en-GB"/>
              </w:rPr>
            </w:pPr>
          </w:p>
          <w:p w:rsidR="0018523E" w:rsidRPr="006938E1" w:rsidRDefault="0018523E" w:rsidP="00526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8"/>
                <w:szCs w:val="8"/>
                <w:lang w:val="en-GB"/>
              </w:rPr>
            </w:pPr>
          </w:p>
          <w:p w:rsidR="0018523E" w:rsidRPr="006938E1" w:rsidRDefault="0018523E" w:rsidP="0052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10 (12.3 %)</w:t>
            </w:r>
          </w:p>
          <w:p w:rsidR="0018523E" w:rsidRPr="006938E1" w:rsidRDefault="0018523E" w:rsidP="00526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2 (2.4 %)</w:t>
            </w:r>
          </w:p>
          <w:p w:rsidR="0018523E" w:rsidRPr="006938E1" w:rsidRDefault="0018523E" w:rsidP="00526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4 (4.9 %)</w:t>
            </w:r>
          </w:p>
          <w:p w:rsidR="0018523E" w:rsidRPr="006938E1" w:rsidRDefault="0018523E" w:rsidP="00526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3 (3.7 %)</w:t>
            </w:r>
          </w:p>
          <w:p w:rsidR="0018523E" w:rsidRPr="006938E1" w:rsidRDefault="0018523E" w:rsidP="00526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1 (1.2 %)</w:t>
            </w:r>
          </w:p>
          <w:p w:rsidR="0018523E" w:rsidRPr="006938E1" w:rsidRDefault="0018523E" w:rsidP="00526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</w:p>
          <w:p w:rsidR="0018523E" w:rsidRPr="006938E1" w:rsidRDefault="0018523E" w:rsidP="00526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1 (1.2 %)</w:t>
            </w:r>
          </w:p>
          <w:p w:rsidR="0018523E" w:rsidRPr="006938E1" w:rsidRDefault="0018523E" w:rsidP="00526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</w:p>
          <w:p w:rsidR="0018523E" w:rsidRPr="006938E1" w:rsidRDefault="0018523E" w:rsidP="00526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</w:p>
          <w:p w:rsidR="0018523E" w:rsidRPr="006938E1" w:rsidRDefault="0018523E" w:rsidP="00526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3 (3.7 %)</w:t>
            </w:r>
          </w:p>
        </w:tc>
      </w:tr>
      <w:tr w:rsidR="0018523E" w:rsidRPr="006938E1" w:rsidTr="00526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2" w:type="dxa"/>
          </w:tcPr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b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b/>
                <w:i w:val="0"/>
                <w:iCs w:val="0"/>
                <w:sz w:val="18"/>
                <w:szCs w:val="18"/>
                <w:lang w:val="en-GB"/>
              </w:rPr>
              <w:t>Hypoglycaemia</w:t>
            </w:r>
          </w:p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b/>
                <w:sz w:val="18"/>
                <w:szCs w:val="18"/>
                <w:lang w:val="en-GB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</w:tcPr>
          <w:p w:rsidR="0018523E" w:rsidRPr="006938E1" w:rsidRDefault="0018523E" w:rsidP="00526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3 (3.7 %)</w:t>
            </w:r>
          </w:p>
        </w:tc>
      </w:tr>
      <w:tr w:rsidR="0018523E" w:rsidRPr="006938E1" w:rsidTr="0052660A">
        <w:trPr>
          <w:trHeight w:val="1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b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b/>
                <w:i w:val="0"/>
                <w:iCs w:val="0"/>
                <w:sz w:val="18"/>
                <w:szCs w:val="18"/>
                <w:lang w:val="en-GB"/>
              </w:rPr>
              <w:t>Gastrointestinal symptoms</w:t>
            </w:r>
          </w:p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b/>
                <w:i w:val="0"/>
                <w:iCs w:val="0"/>
                <w:sz w:val="18"/>
                <w:szCs w:val="18"/>
                <w:lang w:val="en-GB"/>
              </w:rPr>
              <w:t xml:space="preserve">     </w:t>
            </w:r>
            <w:r w:rsidRPr="006938E1">
              <w:rPr>
                <w:rFonts w:ascii="Helvetica Light" w:hAnsi="Helvetica Light"/>
                <w:i w:val="0"/>
                <w:iCs w:val="0"/>
                <w:sz w:val="18"/>
                <w:szCs w:val="18"/>
                <w:lang w:val="en-GB"/>
              </w:rPr>
              <w:t>nausea</w:t>
            </w:r>
          </w:p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i w:val="0"/>
                <w:iCs w:val="0"/>
                <w:sz w:val="18"/>
                <w:szCs w:val="18"/>
                <w:lang w:val="en-GB"/>
              </w:rPr>
              <w:t xml:space="preserve">     vomitus</w:t>
            </w:r>
          </w:p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i w:val="0"/>
                <w:iCs w:val="0"/>
                <w:sz w:val="18"/>
                <w:szCs w:val="18"/>
                <w:lang w:val="en-GB"/>
              </w:rPr>
              <w:t xml:space="preserve">     reflux</w:t>
            </w:r>
          </w:p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i w:val="0"/>
                <w:iCs w:val="0"/>
                <w:sz w:val="18"/>
                <w:szCs w:val="18"/>
                <w:lang w:val="en-GB"/>
              </w:rPr>
              <w:t xml:space="preserve">     meteorism</w:t>
            </w:r>
          </w:p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i w:val="0"/>
                <w:iCs w:val="0"/>
                <w:sz w:val="18"/>
                <w:szCs w:val="18"/>
                <w:lang w:val="en-GB"/>
              </w:rPr>
              <w:t xml:space="preserve">     diarrhea</w:t>
            </w:r>
          </w:p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i w:val="0"/>
                <w:iCs w:val="0"/>
                <w:sz w:val="18"/>
                <w:szCs w:val="18"/>
                <w:lang w:val="en-GB"/>
              </w:rPr>
              <w:t xml:space="preserve">     obstipation</w:t>
            </w:r>
          </w:p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i w:val="0"/>
                <w:iCs w:val="0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i w:val="0"/>
                <w:iCs w:val="0"/>
                <w:sz w:val="18"/>
                <w:szCs w:val="18"/>
                <w:lang w:val="en-GB"/>
              </w:rPr>
              <w:t xml:space="preserve">     abdominalgia</w:t>
            </w:r>
          </w:p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sz w:val="18"/>
                <w:szCs w:val="18"/>
                <w:lang w:val="en-GB"/>
              </w:rPr>
            </w:pPr>
          </w:p>
        </w:tc>
        <w:tc>
          <w:tcPr>
            <w:tcW w:w="0" w:type="dxa"/>
            <w:tcBorders>
              <w:left w:val="single" w:sz="4" w:space="0" w:color="auto"/>
            </w:tcBorders>
            <w:shd w:val="clear" w:color="auto" w:fill="auto"/>
          </w:tcPr>
          <w:p w:rsidR="0018523E" w:rsidRPr="006938E1" w:rsidRDefault="0018523E" w:rsidP="00526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11 (14.2 %)</w:t>
            </w:r>
          </w:p>
          <w:p w:rsidR="0018523E" w:rsidRPr="006938E1" w:rsidRDefault="0018523E" w:rsidP="00526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5 (6.4%)</w:t>
            </w:r>
          </w:p>
          <w:p w:rsidR="0018523E" w:rsidRPr="006938E1" w:rsidRDefault="0018523E" w:rsidP="00526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4 (5.2 %)</w:t>
            </w:r>
          </w:p>
          <w:p w:rsidR="0018523E" w:rsidRPr="006938E1" w:rsidRDefault="0018523E" w:rsidP="00526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1 (1.2 %)</w:t>
            </w:r>
          </w:p>
          <w:p w:rsidR="0018523E" w:rsidRPr="006938E1" w:rsidRDefault="0018523E" w:rsidP="00526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1 (1.2 %)</w:t>
            </w:r>
          </w:p>
          <w:p w:rsidR="0018523E" w:rsidRPr="006938E1" w:rsidRDefault="0018523E" w:rsidP="00526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5 (6.4 %)</w:t>
            </w:r>
          </w:p>
          <w:p w:rsidR="0018523E" w:rsidRPr="006938E1" w:rsidRDefault="0018523E" w:rsidP="00526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2 (2.4 %)</w:t>
            </w:r>
          </w:p>
          <w:p w:rsidR="0018523E" w:rsidRPr="006938E1" w:rsidRDefault="0018523E" w:rsidP="00526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2 (2.4 %)</w:t>
            </w:r>
          </w:p>
        </w:tc>
      </w:tr>
      <w:tr w:rsidR="0018523E" w:rsidRPr="006938E1" w:rsidTr="00526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2" w:type="dxa"/>
          </w:tcPr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b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b/>
                <w:i w:val="0"/>
                <w:iCs w:val="0"/>
                <w:sz w:val="18"/>
                <w:szCs w:val="18"/>
                <w:lang w:val="en-GB"/>
              </w:rPr>
              <w:t>Other symptoms</w:t>
            </w:r>
          </w:p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i w:val="0"/>
                <w:iCs w:val="0"/>
                <w:sz w:val="18"/>
                <w:szCs w:val="18"/>
                <w:lang w:val="en-GB"/>
              </w:rPr>
              <w:t xml:space="preserve">      fatigue</w:t>
            </w:r>
          </w:p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i w:val="0"/>
                <w:iCs w:val="0"/>
                <w:sz w:val="18"/>
                <w:szCs w:val="18"/>
                <w:lang w:val="en-GB"/>
              </w:rPr>
              <w:t xml:space="preserve">      asymptomatic increase of lipase</w:t>
            </w:r>
          </w:p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i w:val="0"/>
                <w:iCs w:val="0"/>
                <w:sz w:val="18"/>
                <w:szCs w:val="18"/>
                <w:lang w:val="en-GB"/>
              </w:rPr>
              <w:t xml:space="preserve">      musculoskeletal problems</w:t>
            </w:r>
          </w:p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i w:val="0"/>
                <w:iCs w:val="0"/>
                <w:sz w:val="18"/>
                <w:szCs w:val="18"/>
                <w:lang w:val="en-GB"/>
              </w:rPr>
              <w:t xml:space="preserve">      urological problems</w:t>
            </w:r>
          </w:p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i w:val="0"/>
                <w:iCs w:val="0"/>
                <w:sz w:val="18"/>
                <w:szCs w:val="18"/>
                <w:lang w:val="en-GB"/>
              </w:rPr>
              <w:t xml:space="preserve">      dizziness</w:t>
            </w:r>
          </w:p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i w:val="0"/>
                <w:iCs w:val="0"/>
                <w:sz w:val="18"/>
                <w:szCs w:val="18"/>
                <w:lang w:val="en-GB"/>
              </w:rPr>
              <w:t xml:space="preserve">      other (hyposphagma, dysphonia, atheroma)</w:t>
            </w:r>
          </w:p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sz w:val="18"/>
                <w:szCs w:val="18"/>
                <w:lang w:val="en-GB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</w:tcPr>
          <w:p w:rsidR="0018523E" w:rsidRPr="006938E1" w:rsidRDefault="0018523E" w:rsidP="0052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17 (18.5 %)</w:t>
            </w:r>
          </w:p>
          <w:p w:rsidR="0018523E" w:rsidRPr="006938E1" w:rsidRDefault="0018523E" w:rsidP="00526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3 (3.7 %)</w:t>
            </w:r>
          </w:p>
          <w:p w:rsidR="0018523E" w:rsidRPr="006938E1" w:rsidRDefault="0018523E" w:rsidP="00526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1 (1.2 %)</w:t>
            </w:r>
          </w:p>
          <w:p w:rsidR="0018523E" w:rsidRPr="006938E1" w:rsidRDefault="0018523E" w:rsidP="00526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7 (8.6 %)</w:t>
            </w:r>
          </w:p>
          <w:p w:rsidR="0018523E" w:rsidRPr="006938E1" w:rsidRDefault="0018523E" w:rsidP="00526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2 (2.4 %)</w:t>
            </w:r>
          </w:p>
          <w:p w:rsidR="0018523E" w:rsidRPr="006938E1" w:rsidRDefault="0018523E" w:rsidP="00526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1 (1.2 %)</w:t>
            </w:r>
          </w:p>
          <w:p w:rsidR="0018523E" w:rsidRPr="006938E1" w:rsidRDefault="0018523E" w:rsidP="00526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3 (3.7 %)</w:t>
            </w:r>
          </w:p>
        </w:tc>
      </w:tr>
    </w:tbl>
    <w:p w:rsidR="0018523E" w:rsidRPr="006938E1" w:rsidRDefault="0018523E" w:rsidP="0018523E">
      <w:pPr>
        <w:rPr>
          <w:rFonts w:ascii="Helvetica Light" w:hAnsi="Helvetica Light" w:cs="Arial"/>
          <w:lang w:val="en-GB"/>
        </w:rPr>
      </w:pPr>
    </w:p>
    <w:p w:rsidR="0018523E" w:rsidRPr="006938E1" w:rsidRDefault="0018523E" w:rsidP="0018523E">
      <w:pPr>
        <w:rPr>
          <w:rFonts w:ascii="Helvetica Light" w:hAnsi="Helvetica Light" w:cs="Arial"/>
          <w:lang w:val="en-GB"/>
        </w:rPr>
      </w:pPr>
      <w:r w:rsidRPr="006938E1">
        <w:rPr>
          <w:rFonts w:ascii="Helvetica Light" w:hAnsi="Helvetica Light" w:cs="Arial"/>
          <w:lang w:val="en-GB"/>
        </w:rPr>
        <w:br w:type="page"/>
      </w:r>
    </w:p>
    <w:p w:rsidR="0018523E" w:rsidRPr="006938E1" w:rsidRDefault="0018523E" w:rsidP="0018523E">
      <w:pPr>
        <w:pStyle w:val="Caption"/>
        <w:rPr>
          <w:rFonts w:ascii="Arial" w:hAnsi="Arial" w:cs="Arial"/>
          <w:color w:val="auto"/>
          <w:sz w:val="20"/>
          <w:szCs w:val="20"/>
          <w:lang w:val="en-GB"/>
        </w:rPr>
      </w:pPr>
      <w:r w:rsidRPr="006938E1">
        <w:rPr>
          <w:rFonts w:ascii="Arial" w:hAnsi="Arial" w:cs="Arial"/>
          <w:b/>
          <w:i w:val="0"/>
          <w:color w:val="auto"/>
          <w:sz w:val="20"/>
          <w:szCs w:val="20"/>
        </w:rPr>
        <w:lastRenderedPageBreak/>
        <w:t xml:space="preserve">Supplementary table </w:t>
      </w:r>
      <w:r w:rsidRPr="006938E1">
        <w:rPr>
          <w:rFonts w:ascii="Arial" w:hAnsi="Arial" w:cs="Arial"/>
          <w:b/>
          <w:i w:val="0"/>
          <w:color w:val="auto"/>
          <w:sz w:val="20"/>
          <w:szCs w:val="20"/>
        </w:rPr>
        <w:fldChar w:fldCharType="begin"/>
      </w:r>
      <w:r w:rsidRPr="006938E1">
        <w:rPr>
          <w:rFonts w:ascii="Arial" w:hAnsi="Arial" w:cs="Arial"/>
          <w:b/>
          <w:i w:val="0"/>
          <w:color w:val="auto"/>
          <w:sz w:val="20"/>
          <w:szCs w:val="20"/>
        </w:rPr>
        <w:instrText xml:space="preserve"> SEQ Supplementary_table \* ARABIC </w:instrText>
      </w:r>
      <w:r w:rsidRPr="006938E1">
        <w:rPr>
          <w:rFonts w:ascii="Arial" w:hAnsi="Arial" w:cs="Arial"/>
          <w:b/>
          <w:i w:val="0"/>
          <w:color w:val="auto"/>
          <w:sz w:val="20"/>
          <w:szCs w:val="20"/>
        </w:rPr>
        <w:fldChar w:fldCharType="separate"/>
      </w:r>
      <w:r w:rsidRPr="006938E1">
        <w:rPr>
          <w:rFonts w:ascii="Arial" w:hAnsi="Arial" w:cs="Arial"/>
          <w:b/>
          <w:i w:val="0"/>
          <w:noProof/>
          <w:color w:val="auto"/>
          <w:sz w:val="20"/>
          <w:szCs w:val="20"/>
        </w:rPr>
        <w:t>2</w:t>
      </w:r>
      <w:r w:rsidRPr="006938E1">
        <w:rPr>
          <w:rFonts w:ascii="Arial" w:hAnsi="Arial" w:cs="Arial"/>
          <w:b/>
          <w:i w:val="0"/>
          <w:color w:val="auto"/>
          <w:sz w:val="20"/>
          <w:szCs w:val="20"/>
        </w:rPr>
        <w:fldChar w:fldCharType="end"/>
      </w:r>
      <w:r w:rsidRPr="006938E1">
        <w:rPr>
          <w:rFonts w:ascii="Arial" w:hAnsi="Arial" w:cs="Arial"/>
          <w:b/>
          <w:i w:val="0"/>
          <w:color w:val="auto"/>
          <w:sz w:val="20"/>
          <w:szCs w:val="20"/>
        </w:rPr>
        <w:t xml:space="preserve"> Subgroup analyses.</w:t>
      </w:r>
      <w:r w:rsidRPr="006938E1">
        <w:rPr>
          <w:rFonts w:ascii="Arial" w:hAnsi="Arial" w:cs="Arial"/>
          <w:i w:val="0"/>
          <w:color w:val="auto"/>
          <w:sz w:val="20"/>
          <w:szCs w:val="20"/>
        </w:rPr>
        <w:t xml:space="preserve"> Data were analyzed for sex, without concomitant SGLT2-inhibitor treatment, according to GLP-1 analogue treatment and without previous study participation or co-medication changes respectively. Data are presented as stated below apart for the exenatide-pre-treated (*) patients due to the low number of patients. Data of these patients are presented as median and interquartile range. </w:t>
      </w:r>
    </w:p>
    <w:p w:rsidR="0018523E" w:rsidRPr="006938E1" w:rsidRDefault="0018523E" w:rsidP="0018523E">
      <w:pPr>
        <w:rPr>
          <w:rFonts w:ascii="Helvetica Light" w:hAnsi="Helvetica Light" w:cs="Arial"/>
          <w:lang w:val="en-GB"/>
        </w:rPr>
      </w:pPr>
    </w:p>
    <w:tbl>
      <w:tblPr>
        <w:tblStyle w:val="PlainTable5"/>
        <w:tblW w:w="9108" w:type="dxa"/>
        <w:tblLook w:val="04A0" w:firstRow="1" w:lastRow="0" w:firstColumn="1" w:lastColumn="0" w:noHBand="0" w:noVBand="1"/>
      </w:tblPr>
      <w:tblGrid>
        <w:gridCol w:w="3122"/>
        <w:gridCol w:w="1559"/>
        <w:gridCol w:w="1701"/>
        <w:gridCol w:w="1701"/>
        <w:gridCol w:w="1025"/>
      </w:tblGrid>
      <w:tr w:rsidR="0018523E" w:rsidRPr="006938E1" w:rsidTr="00526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22" w:type="dxa"/>
            <w:tcBorders>
              <w:top w:val="single" w:sz="4" w:space="0" w:color="auto"/>
              <w:bottom w:val="single" w:sz="4" w:space="0" w:color="auto"/>
            </w:tcBorders>
          </w:tcPr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b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b/>
                <w:i w:val="0"/>
                <w:iCs w:val="0"/>
                <w:sz w:val="18"/>
                <w:szCs w:val="18"/>
                <w:lang w:val="en-GB"/>
              </w:rPr>
              <w:t xml:space="preserve">subgroup </w:t>
            </w:r>
          </w:p>
          <w:p w:rsidR="0018523E" w:rsidRPr="006938E1" w:rsidRDefault="0018523E" w:rsidP="0052660A">
            <w:pPr>
              <w:ind w:right="-250"/>
              <w:rPr>
                <w:rFonts w:ascii="Helvetica Light" w:hAnsi="Helvetica Light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523E" w:rsidRPr="006938E1" w:rsidRDefault="0018523E" w:rsidP="0052660A">
            <w:pPr>
              <w:ind w:right="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b/>
                <w:i w:val="0"/>
                <w:iCs w:val="0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b/>
                <w:i w:val="0"/>
                <w:iCs w:val="0"/>
                <w:sz w:val="18"/>
                <w:szCs w:val="18"/>
                <w:lang w:val="en-GB"/>
              </w:rPr>
              <w:t>age</w:t>
            </w:r>
          </w:p>
          <w:p w:rsidR="0018523E" w:rsidRPr="006938E1" w:rsidRDefault="0018523E" w:rsidP="0052660A">
            <w:pPr>
              <w:ind w:right="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i w:val="0"/>
                <w:iCs w:val="0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i w:val="0"/>
                <w:iCs w:val="0"/>
                <w:sz w:val="18"/>
                <w:szCs w:val="18"/>
                <w:lang w:val="en-GB"/>
              </w:rPr>
              <w:t>mean (95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523E" w:rsidRPr="006938E1" w:rsidRDefault="0018523E" w:rsidP="0052660A">
            <w:pPr>
              <w:ind w:right="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b/>
                <w:i w:val="0"/>
                <w:iCs w:val="0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b/>
                <w:i w:val="0"/>
                <w:iCs w:val="0"/>
                <w:sz w:val="18"/>
                <w:szCs w:val="18"/>
                <w:lang w:val="en-GB"/>
              </w:rPr>
              <w:t>baseline</w:t>
            </w:r>
          </w:p>
          <w:p w:rsidR="0018523E" w:rsidRPr="006938E1" w:rsidRDefault="0018523E" w:rsidP="0052660A">
            <w:pPr>
              <w:ind w:right="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i w:val="0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i w:val="0"/>
                <w:sz w:val="18"/>
                <w:szCs w:val="18"/>
                <w:lang w:val="en-GB"/>
              </w:rPr>
              <w:t>mean (95 %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523E" w:rsidRPr="006938E1" w:rsidRDefault="0018523E" w:rsidP="005266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b/>
                <w:i w:val="0"/>
                <w:iCs w:val="0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b/>
                <w:i w:val="0"/>
                <w:iCs w:val="0"/>
                <w:sz w:val="18"/>
                <w:szCs w:val="18"/>
                <w:lang w:val="en-GB"/>
              </w:rPr>
              <w:t>6 months</w:t>
            </w:r>
          </w:p>
          <w:p w:rsidR="0018523E" w:rsidRPr="006938E1" w:rsidRDefault="0018523E" w:rsidP="005266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i w:val="0"/>
                <w:iCs w:val="0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i w:val="0"/>
                <w:iCs w:val="0"/>
                <w:sz w:val="18"/>
                <w:szCs w:val="18"/>
                <w:lang w:val="en-GB"/>
              </w:rPr>
              <w:t>mean (95 % CI)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18523E" w:rsidRPr="006938E1" w:rsidRDefault="0018523E" w:rsidP="005266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b/>
                <w:i w:val="0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b/>
                <w:i w:val="0"/>
                <w:sz w:val="18"/>
                <w:szCs w:val="18"/>
                <w:lang w:val="en-GB"/>
              </w:rPr>
              <w:t>p-value</w:t>
            </w:r>
          </w:p>
        </w:tc>
      </w:tr>
      <w:tr w:rsidR="0018523E" w:rsidRPr="006938E1" w:rsidTr="00526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tcBorders>
              <w:top w:val="single" w:sz="4" w:space="0" w:color="auto"/>
            </w:tcBorders>
          </w:tcPr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b/>
                <w:sz w:val="18"/>
                <w:szCs w:val="18"/>
                <w:lang w:val="en-GB"/>
              </w:rPr>
            </w:pPr>
          </w:p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b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b/>
                <w:i w:val="0"/>
                <w:iCs w:val="0"/>
                <w:sz w:val="18"/>
                <w:szCs w:val="18"/>
                <w:lang w:val="en-GB"/>
              </w:rPr>
              <w:t>female (n=27)</w:t>
            </w:r>
          </w:p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i w:val="0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b/>
                <w:sz w:val="18"/>
                <w:szCs w:val="18"/>
                <w:lang w:val="en-GB"/>
              </w:rPr>
              <w:t xml:space="preserve">   </w:t>
            </w:r>
            <w:r w:rsidRPr="006938E1">
              <w:rPr>
                <w:rFonts w:ascii="Helvetica Light" w:hAnsi="Helvetica Light"/>
                <w:i w:val="0"/>
                <w:sz w:val="18"/>
                <w:szCs w:val="18"/>
                <w:lang w:val="en-GB"/>
              </w:rPr>
              <w:t>HbA1c (%)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23E" w:rsidRPr="006938E1" w:rsidRDefault="0018523E" w:rsidP="0052660A">
            <w:pPr>
              <w:ind w:righ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</w:p>
          <w:p w:rsidR="0018523E" w:rsidRPr="006938E1" w:rsidRDefault="0018523E" w:rsidP="0052660A">
            <w:pPr>
              <w:ind w:righ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62 (57-66)</w:t>
            </w:r>
          </w:p>
          <w:p w:rsidR="0018523E" w:rsidRPr="006938E1" w:rsidRDefault="0018523E" w:rsidP="0052660A">
            <w:pPr>
              <w:ind w:righ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23E" w:rsidRPr="006938E1" w:rsidRDefault="0018523E" w:rsidP="0052660A">
            <w:pPr>
              <w:ind w:righ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</w:p>
          <w:p w:rsidR="0018523E" w:rsidRPr="006938E1" w:rsidRDefault="0018523E" w:rsidP="0052660A">
            <w:pPr>
              <w:ind w:righ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</w:p>
          <w:p w:rsidR="0018523E" w:rsidRPr="006938E1" w:rsidRDefault="0018523E" w:rsidP="0052660A">
            <w:pPr>
              <w:ind w:righ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8.6 (8.1-9.2)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23E" w:rsidRPr="006938E1" w:rsidRDefault="0018523E" w:rsidP="00526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</w:p>
          <w:p w:rsidR="0018523E" w:rsidRPr="006938E1" w:rsidRDefault="0018523E" w:rsidP="00526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</w:p>
          <w:p w:rsidR="0018523E" w:rsidRPr="006938E1" w:rsidRDefault="0018523E" w:rsidP="00526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7.4 (7.0-7.9)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8523E" w:rsidRPr="006938E1" w:rsidRDefault="0018523E" w:rsidP="00526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</w:p>
          <w:p w:rsidR="0018523E" w:rsidRPr="006938E1" w:rsidRDefault="0018523E" w:rsidP="00526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</w:p>
          <w:p w:rsidR="0018523E" w:rsidRPr="006938E1" w:rsidRDefault="0018523E" w:rsidP="00526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&lt; 0.001</w:t>
            </w:r>
          </w:p>
        </w:tc>
      </w:tr>
      <w:tr w:rsidR="0018523E" w:rsidRPr="006938E1" w:rsidTr="0052660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</w:tcPr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i w:val="0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b/>
                <w:sz w:val="18"/>
                <w:szCs w:val="18"/>
                <w:lang w:val="en-GB"/>
              </w:rPr>
              <w:t xml:space="preserve">   </w:t>
            </w:r>
            <w:r w:rsidRPr="006938E1">
              <w:rPr>
                <w:rFonts w:ascii="Helvetica Light" w:hAnsi="Helvetica Light"/>
                <w:i w:val="0"/>
                <w:sz w:val="18"/>
                <w:szCs w:val="18"/>
                <w:lang w:val="en-GB"/>
              </w:rPr>
              <w:t>weight (kg)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8523E" w:rsidRPr="006938E1" w:rsidRDefault="0018523E" w:rsidP="0052660A">
            <w:pPr>
              <w:ind w:righ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23E" w:rsidRPr="006938E1" w:rsidRDefault="0018523E" w:rsidP="0052660A">
            <w:pPr>
              <w:ind w:righ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88 (82-93)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8523E" w:rsidRPr="006938E1" w:rsidRDefault="0018523E" w:rsidP="00526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85 (79-90)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8523E" w:rsidRPr="006938E1" w:rsidRDefault="0018523E" w:rsidP="00526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0.039</w:t>
            </w:r>
          </w:p>
        </w:tc>
      </w:tr>
      <w:tr w:rsidR="0018523E" w:rsidRPr="006938E1" w:rsidTr="00526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</w:tcPr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b/>
                <w:i w:val="0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b/>
                <w:i w:val="0"/>
                <w:sz w:val="18"/>
                <w:szCs w:val="18"/>
                <w:lang w:val="en-GB"/>
              </w:rPr>
              <w:t>male (n=50)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8523E" w:rsidRPr="006938E1" w:rsidRDefault="0018523E" w:rsidP="0052660A">
            <w:pPr>
              <w:ind w:righ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64 (61-67)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23E" w:rsidRPr="006938E1" w:rsidRDefault="0018523E" w:rsidP="0052660A">
            <w:pPr>
              <w:ind w:righ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8523E" w:rsidRPr="006938E1" w:rsidRDefault="0018523E" w:rsidP="00526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8523E" w:rsidRPr="006938E1" w:rsidRDefault="0018523E" w:rsidP="00526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</w:p>
        </w:tc>
      </w:tr>
      <w:tr w:rsidR="0018523E" w:rsidRPr="006938E1" w:rsidTr="0052660A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</w:tcPr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i w:val="0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i w:val="0"/>
                <w:sz w:val="18"/>
                <w:szCs w:val="18"/>
                <w:lang w:val="en-GB"/>
              </w:rPr>
              <w:t xml:space="preserve">   HbA1c (%)</w:t>
            </w:r>
          </w:p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i w:val="0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i w:val="0"/>
                <w:sz w:val="18"/>
                <w:szCs w:val="18"/>
                <w:lang w:val="en-GB"/>
              </w:rPr>
              <w:t xml:space="preserve">   weight (kg)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8523E" w:rsidRPr="006938E1" w:rsidRDefault="0018523E" w:rsidP="0052660A">
            <w:pPr>
              <w:ind w:righ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23E" w:rsidRPr="006938E1" w:rsidRDefault="0018523E" w:rsidP="0052660A">
            <w:pPr>
              <w:ind w:righ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8.4 (8.0-8.7)</w:t>
            </w:r>
          </w:p>
          <w:p w:rsidR="0018523E" w:rsidRPr="006938E1" w:rsidRDefault="0018523E" w:rsidP="0052660A">
            <w:pPr>
              <w:ind w:righ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108 (101-115)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8523E" w:rsidRPr="006938E1" w:rsidRDefault="0018523E" w:rsidP="00526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7.5 (7.1-7.9)</w:t>
            </w:r>
          </w:p>
          <w:p w:rsidR="0018523E" w:rsidRPr="006938E1" w:rsidRDefault="0018523E" w:rsidP="00526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105 (98-113)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8523E" w:rsidRPr="006938E1" w:rsidRDefault="0018523E" w:rsidP="00526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&lt; 0.001</w:t>
            </w:r>
          </w:p>
          <w:p w:rsidR="0018523E" w:rsidRPr="006938E1" w:rsidRDefault="0018523E" w:rsidP="00526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&lt; 0.001</w:t>
            </w:r>
          </w:p>
        </w:tc>
      </w:tr>
      <w:tr w:rsidR="0018523E" w:rsidRPr="006938E1" w:rsidTr="00526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</w:tcPr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b/>
                <w:i w:val="0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b/>
                <w:i w:val="0"/>
                <w:sz w:val="18"/>
                <w:szCs w:val="18"/>
                <w:lang w:val="en-GB"/>
              </w:rPr>
              <w:t xml:space="preserve">without SGLT2 inhibitor treatment (n=69)  </w:t>
            </w:r>
          </w:p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i w:val="0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i w:val="0"/>
                <w:sz w:val="18"/>
                <w:szCs w:val="18"/>
                <w:lang w:val="en-GB"/>
              </w:rPr>
              <w:t xml:space="preserve">   HbA1c (%)</w:t>
            </w:r>
          </w:p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b/>
                <w:i w:val="0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i w:val="0"/>
                <w:sz w:val="18"/>
                <w:szCs w:val="18"/>
                <w:lang w:val="en-GB"/>
              </w:rPr>
              <w:t xml:space="preserve">   weight (kg) </w:t>
            </w:r>
            <w:r w:rsidRPr="006938E1">
              <w:rPr>
                <w:rFonts w:ascii="Helvetica Light" w:hAnsi="Helvetica Light"/>
                <w:b/>
                <w:i w:val="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8523E" w:rsidRPr="006938E1" w:rsidRDefault="0018523E" w:rsidP="0052660A">
            <w:pPr>
              <w:ind w:righ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63 (61-69)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23E" w:rsidRPr="006938E1" w:rsidRDefault="0018523E" w:rsidP="0052660A">
            <w:pPr>
              <w:ind w:righ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</w:p>
          <w:p w:rsidR="0018523E" w:rsidRPr="006938E1" w:rsidRDefault="0018523E" w:rsidP="0052660A">
            <w:pPr>
              <w:ind w:righ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8.6 (8.3-8.9)</w:t>
            </w:r>
          </w:p>
          <w:p w:rsidR="0018523E" w:rsidRPr="006938E1" w:rsidRDefault="0018523E" w:rsidP="0052660A">
            <w:pPr>
              <w:ind w:righ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98 (93-103)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8523E" w:rsidRPr="006938E1" w:rsidRDefault="0018523E" w:rsidP="00526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</w:p>
          <w:p w:rsidR="0018523E" w:rsidRPr="006938E1" w:rsidRDefault="0018523E" w:rsidP="00526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7.5 (7.2-7.8)</w:t>
            </w:r>
          </w:p>
          <w:p w:rsidR="0018523E" w:rsidRPr="006938E1" w:rsidRDefault="0018523E" w:rsidP="00526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95 (90-101)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8523E" w:rsidRPr="006938E1" w:rsidRDefault="0018523E" w:rsidP="00526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</w:p>
          <w:p w:rsidR="0018523E" w:rsidRPr="006938E1" w:rsidRDefault="0018523E" w:rsidP="00526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&lt; 0.001</w:t>
            </w:r>
          </w:p>
          <w:p w:rsidR="0018523E" w:rsidRPr="006938E1" w:rsidRDefault="0018523E" w:rsidP="00526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&lt; 0.001</w:t>
            </w:r>
          </w:p>
        </w:tc>
      </w:tr>
      <w:tr w:rsidR="0018523E" w:rsidRPr="006938E1" w:rsidTr="0052660A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</w:tcPr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8523E" w:rsidRPr="006938E1" w:rsidRDefault="0018523E" w:rsidP="0052660A">
            <w:pPr>
              <w:ind w:righ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23E" w:rsidRPr="006938E1" w:rsidRDefault="0018523E" w:rsidP="0052660A">
            <w:pPr>
              <w:ind w:righ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8523E" w:rsidRPr="006938E1" w:rsidRDefault="0018523E" w:rsidP="00526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8523E" w:rsidRPr="006938E1" w:rsidRDefault="0018523E" w:rsidP="00526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</w:p>
        </w:tc>
      </w:tr>
      <w:tr w:rsidR="0018523E" w:rsidRPr="006938E1" w:rsidTr="00526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</w:tcPr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b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b/>
                <w:i w:val="0"/>
                <w:sz w:val="18"/>
                <w:szCs w:val="18"/>
                <w:lang w:val="en-GB"/>
              </w:rPr>
              <w:t>liraglutide-pre-treated (n=61)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8523E" w:rsidRPr="006938E1" w:rsidRDefault="0018523E" w:rsidP="0052660A">
            <w:pPr>
              <w:ind w:righ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64 (62-67)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23E" w:rsidRPr="006938E1" w:rsidRDefault="0018523E" w:rsidP="0052660A">
            <w:pPr>
              <w:ind w:righ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8523E" w:rsidRPr="006938E1" w:rsidRDefault="0018523E" w:rsidP="00526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8523E" w:rsidRPr="006938E1" w:rsidRDefault="0018523E" w:rsidP="00526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</w:p>
        </w:tc>
      </w:tr>
      <w:tr w:rsidR="0018523E" w:rsidRPr="006938E1" w:rsidTr="0052660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</w:tcPr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i w:val="0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i w:val="0"/>
                <w:sz w:val="18"/>
                <w:szCs w:val="18"/>
                <w:lang w:val="en-GB"/>
              </w:rPr>
              <w:t xml:space="preserve">   HbA1c (%)</w:t>
            </w:r>
          </w:p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i w:val="0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i w:val="0"/>
                <w:sz w:val="18"/>
                <w:szCs w:val="18"/>
                <w:lang w:val="en-GB"/>
              </w:rPr>
              <w:t xml:space="preserve">   weight (kg)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8523E" w:rsidRPr="006938E1" w:rsidRDefault="0018523E" w:rsidP="0052660A">
            <w:pPr>
              <w:ind w:righ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23E" w:rsidRPr="006938E1" w:rsidRDefault="0018523E" w:rsidP="0052660A">
            <w:pPr>
              <w:ind w:righ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8.6 (8.3-8.9)</w:t>
            </w:r>
          </w:p>
          <w:p w:rsidR="0018523E" w:rsidRPr="006938E1" w:rsidRDefault="0018523E" w:rsidP="0052660A">
            <w:pPr>
              <w:ind w:righ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104 (97-110)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8523E" w:rsidRPr="006938E1" w:rsidRDefault="0018523E" w:rsidP="00526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7.6 (7.3-7.9)</w:t>
            </w:r>
          </w:p>
          <w:p w:rsidR="0018523E" w:rsidRPr="006938E1" w:rsidRDefault="0018523E" w:rsidP="00526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101 (94-108)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8523E" w:rsidRPr="006938E1" w:rsidRDefault="0018523E" w:rsidP="00526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&lt; 0.001</w:t>
            </w:r>
          </w:p>
          <w:p w:rsidR="0018523E" w:rsidRPr="006938E1" w:rsidRDefault="0018523E" w:rsidP="00526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&lt; 0.001</w:t>
            </w:r>
          </w:p>
        </w:tc>
      </w:tr>
      <w:tr w:rsidR="0018523E" w:rsidRPr="006938E1" w:rsidTr="00526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</w:tcPr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8523E" w:rsidRPr="006938E1" w:rsidRDefault="0018523E" w:rsidP="0052660A">
            <w:pPr>
              <w:ind w:righ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23E" w:rsidRPr="006938E1" w:rsidRDefault="0018523E" w:rsidP="0052660A">
            <w:pPr>
              <w:ind w:righ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8523E" w:rsidRPr="006938E1" w:rsidRDefault="0018523E" w:rsidP="00526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8523E" w:rsidRPr="006938E1" w:rsidRDefault="0018523E" w:rsidP="00526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</w:p>
        </w:tc>
      </w:tr>
      <w:tr w:rsidR="0018523E" w:rsidRPr="006938E1" w:rsidTr="0052660A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</w:tcPr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b/>
                <w:i w:val="0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b/>
                <w:i w:val="0"/>
                <w:sz w:val="18"/>
                <w:szCs w:val="18"/>
                <w:lang w:val="en-GB"/>
              </w:rPr>
              <w:t>dulaglutide-pre-treated (n=11)</w:t>
            </w:r>
          </w:p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i w:val="0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i w:val="0"/>
                <w:sz w:val="18"/>
                <w:szCs w:val="18"/>
                <w:lang w:val="en-GB"/>
              </w:rPr>
              <w:t xml:space="preserve">   HbA1c (%)</w:t>
            </w:r>
          </w:p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i w:val="0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i w:val="0"/>
                <w:sz w:val="18"/>
                <w:szCs w:val="18"/>
                <w:lang w:val="en-GB"/>
              </w:rPr>
              <w:t xml:space="preserve">   weight (kg)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8523E" w:rsidRPr="006938E1" w:rsidRDefault="0018523E" w:rsidP="0052660A">
            <w:pPr>
              <w:ind w:righ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63 (57-70)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23E" w:rsidRPr="006938E1" w:rsidRDefault="0018523E" w:rsidP="0052660A">
            <w:pPr>
              <w:ind w:righ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</w:p>
          <w:p w:rsidR="0018523E" w:rsidRPr="006938E1" w:rsidRDefault="0018523E" w:rsidP="0052660A">
            <w:pPr>
              <w:ind w:righ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8.1 (7.4-8.7)</w:t>
            </w:r>
          </w:p>
          <w:p w:rsidR="0018523E" w:rsidRPr="006938E1" w:rsidRDefault="0018523E" w:rsidP="0052660A">
            <w:pPr>
              <w:ind w:righ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91 (85-98)</w:t>
            </w:r>
          </w:p>
          <w:p w:rsidR="0018523E" w:rsidRPr="006938E1" w:rsidRDefault="0018523E" w:rsidP="0052660A">
            <w:pPr>
              <w:ind w:righ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8523E" w:rsidRPr="006938E1" w:rsidRDefault="0018523E" w:rsidP="00526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</w:p>
          <w:p w:rsidR="0018523E" w:rsidRPr="006938E1" w:rsidRDefault="0018523E" w:rsidP="00526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7.1 (6.5-7.7)</w:t>
            </w:r>
          </w:p>
          <w:p w:rsidR="0018523E" w:rsidRPr="006938E1" w:rsidRDefault="0018523E" w:rsidP="00526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90 (82-97)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8523E" w:rsidRPr="006938E1" w:rsidRDefault="0018523E" w:rsidP="00526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</w:p>
          <w:p w:rsidR="0018523E" w:rsidRPr="006938E1" w:rsidRDefault="0018523E" w:rsidP="00526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0.027</w:t>
            </w:r>
          </w:p>
          <w:p w:rsidR="0018523E" w:rsidRPr="006938E1" w:rsidRDefault="0018523E" w:rsidP="00526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0.001</w:t>
            </w:r>
          </w:p>
        </w:tc>
      </w:tr>
      <w:tr w:rsidR="0018523E" w:rsidRPr="006938E1" w:rsidTr="00526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</w:tcPr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b/>
                <w:i w:val="0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b/>
                <w:i w:val="0"/>
                <w:sz w:val="18"/>
                <w:szCs w:val="18"/>
                <w:lang w:val="en-GB"/>
              </w:rPr>
              <w:t>exenatide-pre-treated (n=3)</w:t>
            </w:r>
          </w:p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i w:val="0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i w:val="0"/>
                <w:sz w:val="18"/>
                <w:szCs w:val="18"/>
                <w:lang w:val="en-GB"/>
              </w:rPr>
              <w:t xml:space="preserve">   HbA1c (%)</w:t>
            </w:r>
          </w:p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i w:val="0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i w:val="0"/>
                <w:sz w:val="18"/>
                <w:szCs w:val="18"/>
                <w:lang w:val="en-GB"/>
              </w:rPr>
              <w:t xml:space="preserve">   weight (kg)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8523E" w:rsidRPr="006938E1" w:rsidRDefault="0018523E" w:rsidP="0052660A">
            <w:pPr>
              <w:ind w:righ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41 (32-67)*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23E" w:rsidRPr="006938E1" w:rsidRDefault="0018523E" w:rsidP="0052660A">
            <w:pPr>
              <w:ind w:righ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</w:p>
          <w:p w:rsidR="0018523E" w:rsidRPr="006938E1" w:rsidRDefault="0018523E" w:rsidP="0052660A">
            <w:pPr>
              <w:ind w:righ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9.0 (7.4-9.3)*</w:t>
            </w:r>
          </w:p>
          <w:p w:rsidR="0018523E" w:rsidRPr="006938E1" w:rsidRDefault="0018523E" w:rsidP="0052660A">
            <w:pPr>
              <w:ind w:righ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100 (87-105)*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8523E" w:rsidRPr="006938E1" w:rsidRDefault="0018523E" w:rsidP="00526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</w:p>
          <w:p w:rsidR="0018523E" w:rsidRPr="006938E1" w:rsidRDefault="0018523E" w:rsidP="00526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6.5 (6.3-7.3)*</w:t>
            </w:r>
          </w:p>
          <w:p w:rsidR="0018523E" w:rsidRPr="006938E1" w:rsidRDefault="0018523E" w:rsidP="00526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87 (79-94)*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8523E" w:rsidRPr="006938E1" w:rsidRDefault="0018523E" w:rsidP="00526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</w:p>
          <w:p w:rsidR="0018523E" w:rsidRPr="006938E1" w:rsidRDefault="0018523E" w:rsidP="00526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0.25</w:t>
            </w:r>
          </w:p>
          <w:p w:rsidR="0018523E" w:rsidRPr="006938E1" w:rsidRDefault="0018523E" w:rsidP="00526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0.25</w:t>
            </w:r>
          </w:p>
        </w:tc>
      </w:tr>
      <w:tr w:rsidR="0018523E" w:rsidRPr="006938E1" w:rsidTr="0052660A">
        <w:trPr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</w:tcPr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b/>
                <w:i w:val="0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b/>
                <w:i w:val="0"/>
                <w:sz w:val="18"/>
                <w:szCs w:val="18"/>
                <w:lang w:val="en-GB"/>
              </w:rPr>
              <w:t>without co-medication changes, SGLT2 inhibitor and previous study participation (n=64)</w:t>
            </w:r>
          </w:p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i w:val="0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i w:val="0"/>
                <w:sz w:val="18"/>
                <w:szCs w:val="18"/>
                <w:lang w:val="en-GB"/>
              </w:rPr>
              <w:t xml:space="preserve">   HbA1c (%)</w:t>
            </w:r>
          </w:p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i w:val="0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i w:val="0"/>
                <w:sz w:val="18"/>
                <w:szCs w:val="18"/>
                <w:lang w:val="en-GB"/>
              </w:rPr>
              <w:t xml:space="preserve">   weight (kg)</w:t>
            </w:r>
          </w:p>
          <w:p w:rsidR="0018523E" w:rsidRPr="006938E1" w:rsidRDefault="0018523E" w:rsidP="0052660A">
            <w:pPr>
              <w:ind w:right="-250"/>
              <w:jc w:val="left"/>
              <w:rPr>
                <w:rFonts w:ascii="Helvetica Light" w:hAnsi="Helvetica Light"/>
                <w:i w:val="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8523E" w:rsidRPr="006938E1" w:rsidRDefault="0018523E" w:rsidP="0052660A">
            <w:pPr>
              <w:ind w:righ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</w:p>
          <w:p w:rsidR="0018523E" w:rsidRPr="006938E1" w:rsidRDefault="0018523E" w:rsidP="0052660A">
            <w:pPr>
              <w:ind w:righ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63 (60-65)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23E" w:rsidRPr="006938E1" w:rsidRDefault="0018523E" w:rsidP="0052660A">
            <w:pPr>
              <w:ind w:righ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</w:p>
          <w:p w:rsidR="0018523E" w:rsidRPr="006938E1" w:rsidRDefault="0018523E" w:rsidP="0052660A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</w:p>
          <w:p w:rsidR="0018523E" w:rsidRPr="006938E1" w:rsidRDefault="0018523E" w:rsidP="0052660A">
            <w:pPr>
              <w:ind w:righ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8.5 (8.2-8.9)</w:t>
            </w:r>
          </w:p>
          <w:p w:rsidR="0018523E" w:rsidRPr="006938E1" w:rsidRDefault="0018523E" w:rsidP="0052660A">
            <w:pPr>
              <w:ind w:righ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100 (95-105)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8523E" w:rsidRPr="006938E1" w:rsidRDefault="0018523E" w:rsidP="00526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</w:p>
          <w:p w:rsidR="0018523E" w:rsidRPr="006938E1" w:rsidRDefault="0018523E" w:rsidP="00526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</w:p>
          <w:p w:rsidR="0018523E" w:rsidRPr="006938E1" w:rsidRDefault="0018523E" w:rsidP="00526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7.5 (7.2-7.9)</w:t>
            </w:r>
          </w:p>
          <w:p w:rsidR="0018523E" w:rsidRPr="006938E1" w:rsidRDefault="0018523E" w:rsidP="00526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97 (93-101)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8523E" w:rsidRPr="006938E1" w:rsidRDefault="0018523E" w:rsidP="0052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en-GB"/>
              </w:rPr>
            </w:pPr>
          </w:p>
          <w:p w:rsidR="0018523E" w:rsidRPr="006938E1" w:rsidRDefault="0018523E" w:rsidP="0052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</w:p>
          <w:p w:rsidR="0018523E" w:rsidRPr="006938E1" w:rsidRDefault="0018523E" w:rsidP="00526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&lt; 0.001</w:t>
            </w:r>
          </w:p>
          <w:p w:rsidR="0018523E" w:rsidRPr="006938E1" w:rsidRDefault="0018523E" w:rsidP="00526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en-GB"/>
              </w:rPr>
            </w:pPr>
            <w:r w:rsidRPr="006938E1">
              <w:rPr>
                <w:rFonts w:ascii="Helvetica Light" w:hAnsi="Helvetica Light"/>
                <w:sz w:val="18"/>
                <w:szCs w:val="18"/>
                <w:lang w:val="en-GB"/>
              </w:rPr>
              <w:t>&lt; 0.001</w:t>
            </w:r>
          </w:p>
        </w:tc>
      </w:tr>
    </w:tbl>
    <w:p w:rsidR="0018523E" w:rsidRPr="006938E1" w:rsidRDefault="0018523E" w:rsidP="0018523E">
      <w:pPr>
        <w:pStyle w:val="Caption"/>
        <w:rPr>
          <w:rFonts w:ascii="Helvetica Light" w:hAnsi="Helvetica Light" w:cs="Arial"/>
          <w:i w:val="0"/>
          <w:color w:val="auto"/>
          <w:lang w:val="en-GB"/>
        </w:rPr>
      </w:pPr>
    </w:p>
    <w:p w:rsidR="00E95A88" w:rsidRDefault="00E95A88">
      <w:bookmarkStart w:id="1" w:name="_GoBack"/>
      <w:bookmarkEnd w:id="1"/>
    </w:p>
    <w:sectPr w:rsidR="00E95A88" w:rsidSect="006938E1">
      <w:pgSz w:w="11900" w:h="16840"/>
      <w:pgMar w:top="1417" w:right="1417" w:bottom="7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Light">
    <w:altName w:val="Malgun Gothic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3E"/>
    <w:rsid w:val="0018523E"/>
    <w:rsid w:val="00E9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E9ACD-4B67-41EF-B042-FD1B47C0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23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18523E"/>
    <w:pPr>
      <w:spacing w:after="0" w:line="240" w:lineRule="auto"/>
    </w:pPr>
    <w:rPr>
      <w:rFonts w:eastAsiaTheme="minorHAnsi"/>
      <w:sz w:val="24"/>
      <w:szCs w:val="24"/>
      <w:lang w:val="de-DE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8523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Charley Lai</dc:creator>
  <cp:keywords/>
  <dc:description/>
  <cp:lastModifiedBy>Charley Lai</cp:lastModifiedBy>
  <cp:revision>1</cp:revision>
  <dcterms:created xsi:type="dcterms:W3CDTF">2021-01-28T13:24:00Z</dcterms:created>
  <dcterms:modified xsi:type="dcterms:W3CDTF">2021-01-28T13:25:00Z</dcterms:modified>
</cp:coreProperties>
</file>