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E39B" w14:textId="77777777" w:rsidR="00606CB2" w:rsidRDefault="00606CB2"/>
    <w:p w14:paraId="0667BEB4" w14:textId="77777777" w:rsidR="000C3DE9" w:rsidRDefault="000C3DE9"/>
    <w:tbl>
      <w:tblPr>
        <w:tblStyle w:val="Grigliatabella"/>
        <w:tblW w:w="13042" w:type="dxa"/>
        <w:tblInd w:w="-714" w:type="dxa"/>
        <w:tblLayout w:type="fixed"/>
        <w:tblLook w:val="04A0" w:firstRow="1" w:lastRow="0" w:firstColumn="1" w:lastColumn="0" w:noHBand="0" w:noVBand="1"/>
      </w:tblPr>
      <w:tblGrid>
        <w:gridCol w:w="1540"/>
        <w:gridCol w:w="1721"/>
        <w:gridCol w:w="425"/>
        <w:gridCol w:w="2268"/>
        <w:gridCol w:w="992"/>
        <w:gridCol w:w="1134"/>
        <w:gridCol w:w="1276"/>
        <w:gridCol w:w="851"/>
        <w:gridCol w:w="850"/>
        <w:gridCol w:w="567"/>
        <w:gridCol w:w="567"/>
        <w:gridCol w:w="851"/>
      </w:tblGrid>
      <w:tr w:rsidR="00F73FEE" w:rsidRPr="005508A4" w14:paraId="11809928" w14:textId="77777777" w:rsidTr="008A22E6">
        <w:trPr>
          <w:trHeight w:val="193"/>
        </w:trPr>
        <w:tc>
          <w:tcPr>
            <w:tcW w:w="1540" w:type="dxa"/>
            <w:vMerge w:val="restart"/>
            <w:shd w:val="clear" w:color="auto" w:fill="D9D9D9" w:themeFill="background1" w:themeFillShade="D9"/>
            <w:vAlign w:val="center"/>
          </w:tcPr>
          <w:p w14:paraId="550BA993" w14:textId="77777777" w:rsidR="00F73FEE" w:rsidRPr="005508A4" w:rsidRDefault="00F73FEE" w:rsidP="009E7F4D">
            <w:pPr>
              <w:jc w:val="center"/>
              <w:rPr>
                <w:rFonts w:ascii="Calibri" w:hAnsi="Calibri" w:cs="Calibri"/>
                <w:b/>
                <w:sz w:val="20"/>
                <w:szCs w:val="20"/>
              </w:rPr>
            </w:pPr>
          </w:p>
        </w:tc>
        <w:tc>
          <w:tcPr>
            <w:tcW w:w="1721" w:type="dxa"/>
            <w:vMerge w:val="restart"/>
            <w:shd w:val="clear" w:color="auto" w:fill="D9D9D9" w:themeFill="background1" w:themeFillShade="D9"/>
            <w:vAlign w:val="center"/>
          </w:tcPr>
          <w:p w14:paraId="3B75505B"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Tim</w:t>
            </w:r>
            <w:r w:rsidR="00402A5D">
              <w:rPr>
                <w:rFonts w:ascii="Calibri" w:hAnsi="Calibri" w:cs="Calibri"/>
                <w:b/>
                <w:sz w:val="20"/>
                <w:szCs w:val="20"/>
              </w:rPr>
              <w:t>e of ONSD performance</w:t>
            </w:r>
          </w:p>
        </w:tc>
        <w:tc>
          <w:tcPr>
            <w:tcW w:w="425" w:type="dxa"/>
            <w:vMerge w:val="restart"/>
            <w:shd w:val="clear" w:color="auto" w:fill="D9D9D9" w:themeFill="background1" w:themeFillShade="D9"/>
            <w:vAlign w:val="center"/>
          </w:tcPr>
          <w:p w14:paraId="1E9898BD"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N</w:t>
            </w:r>
          </w:p>
        </w:tc>
        <w:tc>
          <w:tcPr>
            <w:tcW w:w="2268" w:type="dxa"/>
            <w:vMerge w:val="restart"/>
            <w:shd w:val="clear" w:color="auto" w:fill="D9D9D9" w:themeFill="background1" w:themeFillShade="D9"/>
            <w:vAlign w:val="center"/>
          </w:tcPr>
          <w:p w14:paraId="5F2850CB" w14:textId="77777777" w:rsidR="00F73FEE" w:rsidRPr="005508A4" w:rsidRDefault="00402A5D" w:rsidP="009E7F4D">
            <w:pPr>
              <w:jc w:val="center"/>
              <w:rPr>
                <w:rFonts w:ascii="Calibri" w:hAnsi="Calibri" w:cs="Calibri"/>
                <w:b/>
                <w:sz w:val="20"/>
                <w:szCs w:val="20"/>
              </w:rPr>
            </w:pPr>
            <w:r>
              <w:rPr>
                <w:rFonts w:ascii="Calibri" w:hAnsi="Calibri" w:cs="Calibri"/>
                <w:b/>
                <w:sz w:val="20"/>
                <w:szCs w:val="20"/>
              </w:rPr>
              <w:t>Measured</w:t>
            </w:r>
            <w:r w:rsidR="006F4CA3">
              <w:rPr>
                <w:rFonts w:ascii="Calibri" w:hAnsi="Calibri" w:cs="Calibri"/>
                <w:b/>
                <w:sz w:val="20"/>
                <w:szCs w:val="20"/>
              </w:rPr>
              <w:t xml:space="preserve"> Outcome</w:t>
            </w:r>
          </w:p>
        </w:tc>
        <w:tc>
          <w:tcPr>
            <w:tcW w:w="4253" w:type="dxa"/>
            <w:gridSpan w:val="4"/>
            <w:vMerge w:val="restart"/>
            <w:shd w:val="clear" w:color="auto" w:fill="D9D9D9" w:themeFill="background1" w:themeFillShade="D9"/>
            <w:vAlign w:val="center"/>
          </w:tcPr>
          <w:p w14:paraId="28B05630" w14:textId="77777777" w:rsidR="00F73FEE" w:rsidRPr="005508A4" w:rsidRDefault="00402A5D" w:rsidP="009E7F4D">
            <w:pPr>
              <w:jc w:val="center"/>
              <w:rPr>
                <w:rFonts w:ascii="Calibri" w:hAnsi="Calibri" w:cs="Calibri"/>
                <w:b/>
                <w:sz w:val="20"/>
                <w:szCs w:val="20"/>
              </w:rPr>
            </w:pPr>
            <w:r>
              <w:rPr>
                <w:rFonts w:ascii="Calibri" w:hAnsi="Calibri" w:cs="Calibri"/>
                <w:b/>
                <w:sz w:val="20"/>
                <w:szCs w:val="20"/>
              </w:rPr>
              <w:t xml:space="preserve">ONSD </w:t>
            </w:r>
            <w:r w:rsidR="00F73FEE" w:rsidRPr="005508A4">
              <w:rPr>
                <w:rFonts w:ascii="Calibri" w:hAnsi="Calibri" w:cs="Calibri"/>
                <w:b/>
                <w:sz w:val="20"/>
                <w:szCs w:val="20"/>
              </w:rPr>
              <w:t xml:space="preserve">Measurements </w:t>
            </w:r>
            <w:r w:rsidR="00967A12" w:rsidRPr="005508A4">
              <w:rPr>
                <w:rFonts w:ascii="Calibri" w:hAnsi="Calibri" w:cs="Calibri"/>
                <w:b/>
                <w:sz w:val="20"/>
                <w:szCs w:val="20"/>
              </w:rPr>
              <w:t xml:space="preserve">- </w:t>
            </w:r>
            <w:r w:rsidR="00F73FEE" w:rsidRPr="005508A4">
              <w:rPr>
                <w:rFonts w:ascii="Calibri" w:hAnsi="Calibri" w:cs="Calibri"/>
                <w:b/>
                <w:sz w:val="20"/>
                <w:szCs w:val="20"/>
              </w:rPr>
              <w:t>mm</w:t>
            </w:r>
          </w:p>
          <w:p w14:paraId="0FE72C22"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(IQR or SD)</w:t>
            </w:r>
          </w:p>
        </w:tc>
        <w:tc>
          <w:tcPr>
            <w:tcW w:w="2835" w:type="dxa"/>
            <w:gridSpan w:val="4"/>
            <w:shd w:val="clear" w:color="auto" w:fill="D9D9D9" w:themeFill="background1" w:themeFillShade="D9"/>
            <w:vAlign w:val="center"/>
          </w:tcPr>
          <w:p w14:paraId="3294CCC6"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Prognostic performance</w:t>
            </w:r>
          </w:p>
        </w:tc>
      </w:tr>
      <w:tr w:rsidR="008A22E6" w:rsidRPr="005508A4" w14:paraId="1FD1E27D" w14:textId="77777777" w:rsidTr="008A22E6">
        <w:trPr>
          <w:trHeight w:val="193"/>
        </w:trPr>
        <w:tc>
          <w:tcPr>
            <w:tcW w:w="1540" w:type="dxa"/>
            <w:vMerge/>
            <w:shd w:val="clear" w:color="auto" w:fill="D9D9D9" w:themeFill="background1" w:themeFillShade="D9"/>
            <w:vAlign w:val="center"/>
          </w:tcPr>
          <w:p w14:paraId="0D80431D" w14:textId="77777777" w:rsidR="00F73FEE" w:rsidRPr="005508A4" w:rsidRDefault="00F73FEE" w:rsidP="009E7F4D">
            <w:pPr>
              <w:jc w:val="center"/>
              <w:rPr>
                <w:rFonts w:ascii="Calibri" w:hAnsi="Calibri" w:cs="Calibri"/>
                <w:b/>
                <w:sz w:val="20"/>
                <w:szCs w:val="20"/>
              </w:rPr>
            </w:pPr>
          </w:p>
        </w:tc>
        <w:tc>
          <w:tcPr>
            <w:tcW w:w="1721" w:type="dxa"/>
            <w:vMerge/>
            <w:shd w:val="clear" w:color="auto" w:fill="D9D9D9" w:themeFill="background1" w:themeFillShade="D9"/>
            <w:vAlign w:val="center"/>
          </w:tcPr>
          <w:p w14:paraId="0C9B7020" w14:textId="77777777" w:rsidR="00F73FEE" w:rsidRPr="005508A4" w:rsidRDefault="00F73FEE" w:rsidP="009E7F4D">
            <w:pPr>
              <w:jc w:val="center"/>
              <w:rPr>
                <w:rFonts w:ascii="Calibri" w:hAnsi="Calibri" w:cs="Calibri"/>
                <w:b/>
                <w:sz w:val="20"/>
                <w:szCs w:val="20"/>
              </w:rPr>
            </w:pPr>
          </w:p>
        </w:tc>
        <w:tc>
          <w:tcPr>
            <w:tcW w:w="425" w:type="dxa"/>
            <w:vMerge/>
            <w:shd w:val="clear" w:color="auto" w:fill="D9D9D9" w:themeFill="background1" w:themeFillShade="D9"/>
            <w:vAlign w:val="center"/>
          </w:tcPr>
          <w:p w14:paraId="42294521" w14:textId="77777777" w:rsidR="00F73FEE" w:rsidRPr="005508A4" w:rsidRDefault="00F73FEE" w:rsidP="009E7F4D">
            <w:pPr>
              <w:jc w:val="center"/>
              <w:rPr>
                <w:rFonts w:ascii="Calibri" w:hAnsi="Calibri" w:cs="Calibri"/>
                <w:b/>
                <w:sz w:val="20"/>
                <w:szCs w:val="20"/>
              </w:rPr>
            </w:pPr>
          </w:p>
        </w:tc>
        <w:tc>
          <w:tcPr>
            <w:tcW w:w="2268" w:type="dxa"/>
            <w:vMerge/>
            <w:shd w:val="clear" w:color="auto" w:fill="D9D9D9" w:themeFill="background1" w:themeFillShade="D9"/>
            <w:vAlign w:val="center"/>
          </w:tcPr>
          <w:p w14:paraId="444DE418" w14:textId="77777777" w:rsidR="00F73FEE" w:rsidRPr="005508A4" w:rsidRDefault="00F73FEE" w:rsidP="009E7F4D">
            <w:pPr>
              <w:jc w:val="center"/>
              <w:rPr>
                <w:rFonts w:ascii="Calibri" w:hAnsi="Calibri" w:cs="Calibri"/>
                <w:b/>
                <w:sz w:val="20"/>
                <w:szCs w:val="20"/>
              </w:rPr>
            </w:pPr>
          </w:p>
        </w:tc>
        <w:tc>
          <w:tcPr>
            <w:tcW w:w="4253" w:type="dxa"/>
            <w:gridSpan w:val="4"/>
            <w:vMerge/>
            <w:tcBorders>
              <w:bottom w:val="single" w:sz="4" w:space="0" w:color="auto"/>
            </w:tcBorders>
            <w:shd w:val="clear" w:color="auto" w:fill="D9D9D9" w:themeFill="background1" w:themeFillShade="D9"/>
            <w:vAlign w:val="center"/>
          </w:tcPr>
          <w:p w14:paraId="7B345624" w14:textId="77777777" w:rsidR="00F73FEE" w:rsidRPr="005508A4" w:rsidRDefault="00F73FEE" w:rsidP="009E7F4D">
            <w:pPr>
              <w:jc w:val="center"/>
              <w:rPr>
                <w:rFonts w:ascii="Calibri" w:hAnsi="Calibri" w:cs="Calibri"/>
                <w:b/>
                <w:sz w:val="20"/>
                <w:szCs w:val="20"/>
              </w:rPr>
            </w:pPr>
          </w:p>
        </w:tc>
        <w:tc>
          <w:tcPr>
            <w:tcW w:w="850" w:type="dxa"/>
            <w:tcBorders>
              <w:bottom w:val="single" w:sz="4" w:space="0" w:color="auto"/>
            </w:tcBorders>
            <w:shd w:val="clear" w:color="auto" w:fill="D9D9D9" w:themeFill="background1" w:themeFillShade="D9"/>
            <w:vAlign w:val="center"/>
          </w:tcPr>
          <w:p w14:paraId="21D992B9"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Cut-off (mm)</w:t>
            </w:r>
          </w:p>
        </w:tc>
        <w:tc>
          <w:tcPr>
            <w:tcW w:w="567" w:type="dxa"/>
            <w:tcBorders>
              <w:bottom w:val="single" w:sz="4" w:space="0" w:color="auto"/>
            </w:tcBorders>
            <w:shd w:val="clear" w:color="auto" w:fill="D9D9D9" w:themeFill="background1" w:themeFillShade="D9"/>
            <w:vAlign w:val="center"/>
          </w:tcPr>
          <w:p w14:paraId="32DE8F8F"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Se</w:t>
            </w:r>
          </w:p>
          <w:p w14:paraId="1F363E50"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w:t>
            </w:r>
          </w:p>
        </w:tc>
        <w:tc>
          <w:tcPr>
            <w:tcW w:w="567" w:type="dxa"/>
            <w:tcBorders>
              <w:bottom w:val="single" w:sz="4" w:space="0" w:color="auto"/>
            </w:tcBorders>
            <w:shd w:val="clear" w:color="auto" w:fill="D9D9D9" w:themeFill="background1" w:themeFillShade="D9"/>
            <w:vAlign w:val="center"/>
          </w:tcPr>
          <w:p w14:paraId="7F0142F9" w14:textId="77777777" w:rsidR="00F73FEE" w:rsidRPr="005508A4" w:rsidRDefault="00F73FEE" w:rsidP="009E7F4D">
            <w:pPr>
              <w:jc w:val="center"/>
              <w:rPr>
                <w:rFonts w:ascii="Calibri" w:hAnsi="Calibri" w:cs="Calibri"/>
                <w:b/>
                <w:sz w:val="20"/>
                <w:szCs w:val="20"/>
              </w:rPr>
            </w:pPr>
            <w:proofErr w:type="spellStart"/>
            <w:r w:rsidRPr="005508A4">
              <w:rPr>
                <w:rFonts w:ascii="Calibri" w:hAnsi="Calibri" w:cs="Calibri"/>
                <w:b/>
                <w:sz w:val="20"/>
                <w:szCs w:val="20"/>
              </w:rPr>
              <w:t>Sp</w:t>
            </w:r>
            <w:proofErr w:type="spellEnd"/>
          </w:p>
          <w:p w14:paraId="6E734856"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w:t>
            </w:r>
          </w:p>
        </w:tc>
        <w:tc>
          <w:tcPr>
            <w:tcW w:w="851" w:type="dxa"/>
            <w:tcBorders>
              <w:bottom w:val="single" w:sz="4" w:space="0" w:color="auto"/>
            </w:tcBorders>
            <w:shd w:val="clear" w:color="auto" w:fill="D9D9D9" w:themeFill="background1" w:themeFillShade="D9"/>
            <w:vAlign w:val="center"/>
          </w:tcPr>
          <w:p w14:paraId="57AAEB13"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AUC</w:t>
            </w:r>
          </w:p>
          <w:p w14:paraId="53091E07" w14:textId="77777777" w:rsidR="00F73FEE" w:rsidRPr="005508A4" w:rsidRDefault="00F73FEE" w:rsidP="009E7F4D">
            <w:pPr>
              <w:jc w:val="center"/>
              <w:rPr>
                <w:rFonts w:ascii="Calibri" w:hAnsi="Calibri" w:cs="Calibri"/>
                <w:b/>
                <w:sz w:val="20"/>
                <w:szCs w:val="20"/>
              </w:rPr>
            </w:pPr>
            <w:r w:rsidRPr="005508A4">
              <w:rPr>
                <w:rFonts w:ascii="Calibri" w:hAnsi="Calibri" w:cs="Calibri"/>
                <w:b/>
                <w:sz w:val="20"/>
                <w:szCs w:val="20"/>
              </w:rPr>
              <w:t>(95%CI)</w:t>
            </w:r>
          </w:p>
        </w:tc>
      </w:tr>
      <w:tr w:rsidR="001F6304" w:rsidRPr="005508A4" w14:paraId="4DF045B7" w14:textId="77777777" w:rsidTr="008A22E6">
        <w:trPr>
          <w:trHeight w:val="319"/>
        </w:trPr>
        <w:tc>
          <w:tcPr>
            <w:tcW w:w="1540" w:type="dxa"/>
            <w:vMerge w:val="restart"/>
          </w:tcPr>
          <w:p w14:paraId="51EA971F" w14:textId="1C5CAC16" w:rsidR="00F73FEE" w:rsidRPr="005508A4" w:rsidRDefault="00670A28" w:rsidP="00670A28">
            <w:pPr>
              <w:rPr>
                <w:rFonts w:ascii="Calibri" w:hAnsi="Calibri" w:cs="Calibri"/>
                <w:sz w:val="18"/>
                <w:szCs w:val="18"/>
              </w:rPr>
            </w:pPr>
            <w:r>
              <w:rPr>
                <w:rFonts w:ascii="Calibri" w:hAnsi="Calibri" w:cs="Calibri"/>
                <w:sz w:val="18"/>
                <w:szCs w:val="18"/>
              </w:rPr>
              <w:t xml:space="preserve">You Y et al., 2018 </w:t>
            </w:r>
            <w:r w:rsidRPr="00670A28">
              <w:rPr>
                <w:rFonts w:ascii="Calibri" w:hAnsi="Calibri" w:cs="Calibri"/>
                <w:sz w:val="18"/>
                <w:szCs w:val="18"/>
              </w:rPr>
              <w:fldChar w:fldCharType="begin" w:fldLock="1"/>
            </w:r>
            <w:r>
              <w:rPr>
                <w:rFonts w:ascii="Calibri" w:hAnsi="Calibri" w:cs="Calibri"/>
                <w:sz w:val="18"/>
                <w:szCs w:val="18"/>
              </w:rPr>
              <w:instrText>ADDIN CSL_CITATION {"citationItems":[{"id":"ITEM-1","itemData":{"DOI":"10.1016/j.resuscitation.2018.08.003","ISBN":"0300-9572","ISSN":"18731570","PMID":"2001012036","abstract":"Aim: The optimal time to measure serum albumin concentration (SAC) to predict prognosis in cardiac arrest (CA) survivors has not been elucidated. We aimed to compare the relationships between time-related SAC, optic nerve sheath diameter (ONSD), intracranial pressure (ICP), and neurological prognosis in CA survivors. Methods: We undertook a retrospective study examining CA patients treated with target temperature management (TTM). ICP was measured using cerebrospinal fluid (CSF) pressure and ONSD was obtained before TTM. SAC was measured repeatedly at 4–6 h intervals from the hospital arrival time. We analysed CSF pressure, ONSD, and minimum SAC (MSAC) separately, or in combination, to predict poor neurological outcome. Results: Of 83 patients enrolled, the good outcome group comprised 25 (34%) patients. MSAC at 24 h (MSAC24) had a higher area under the receiver operating characteristic curve (AUC) (0.687; 95% confidence interval (CI), 0.668–0.926) than other time points. CSF pressure showed a higher AUC (0.973; 95% CI, 0.911–0.996) than MSAC24 and ONSD (0.677; 95% CI, 0.565–0.776). In contrast to using MSAC24 and ONSD separately, the combination of both modalities resulted in a better AUC, thus improving the prediction of the neurological outcome (0.734; 95% CI, 0.626–0.825) and ICP (0.758; 95% CI, 0.651–0.845) after return of spontaneous circulation (ROSC) from CA. Conclusion: A higher ICP was strongly associated with and seemed predictive of poor outcome. Furthermore, the MSAC24/ONSD combination may be a useful predictor of high ICP and poor neurological outcome. Prospective studies should be conducted to confirm these results.","author":[{"dropping-particle":"","family":"You","given":"Yeonho","non-dropping-particle":"","parse-names":false,"suffix":""},{"dropping-particle":"","family":"Park","given":"Jungsoo","non-dropping-particle":"","parse-names":false,"suffix":""},{"dropping-particle":"","family":"Min","given":"Jinhong","non-dropping-particle":"","parse-names":false,"suffix":""},{"dropping-particle":"","family":"Yoo","given":"Insool","non-dropping-particle":"","parse-names":false,"suffix":""},{"dropping-particle":"","family":"Jeong","given":"Wonjoon","non-dropping-particle":"","parse-names":false,"suffix":""},{"dropping-particle":"","family":"Cho","given":"Yongchul","non-dropping-particle":"","parse-names":false,"suffix":""},{"dropping-particle":"","family":"Ryu","given":"Seung","non-dropping-particle":"","parse-names":false,"suffix":""},{"dropping-particle":"","family":"Lee","given":"Jinwoong","non-dropping-particle":"","parse-names":false,"suffix":""},{"dropping-particle":"","family":"Kim","given":"Seungwhan","non-dropping-particle":"","parse-names":false,"suffix":""},{"dropping-particle":"","family":"Cho","given":"Sunguk","non-dropping-particle":"","parse-names":false,"suffix":""},{"dropping-particle":"","family":"Oh","given":"Sekwang","non-dropping-particle":"","parse-names":false,"suffix":""},{"dropping-particle":"","family":"Lee","given":"Junwan","non-dropping-particle":"","parse-names":false,"suffix":""},{"dropping-particle":"","family":"Ahn","given":"Hongjoon","non-dropping-particle":"","parse-names":false,"suffix":""},{"dropping-particle":"","family":"Lee","given":"Byungkook","non-dropping-particle":"","parse-names":false,"suffix":""},{"dropping-particle":"","family":"Lee","given":"Donghun","non-dropping-particle":"","parse-names":false,"suffix":""},{"dropping-particle":"","family":"Na","given":"Kiryang","non-dropping-particle":"","parse-names":false,"suffix":""},{"dropping-particle":"","family":"In","given":"Yongnam","non-dropping-particle":"","parse-names":false,"suffix":""},{"dropping-particle":"","family":"Kwack","given":"Chihwan","non-dropping-particle":"","parse-names":false,"suffix":""},{"dropping-particle":"","family":"Lee","given":"Jaein","non-dropping-particle":"","parse-names":false,"suffix":""}],"container-title":"Resuscitation","id":"ITEM-1","issued":{"date-parts":[["2018"]]},"page":"42-47","title":"Relationship between time related serum albumin concentration, optic nerve sheath diameter, cerebrospinal fluid pressure, and neurological prognosis in cardiac arrest survivors","type":"article-journal","volume":"131"},"uris":["http://www.mendeley.com/documents/?uuid=d5ecafcd-c483-4c10-be60-368552af484a"]}],"mendeley":{"formattedCitation":"[1]","plainTextFormattedCitation":"[1]","previouslyFormattedCitation":"[1]"},"properties":{"noteIndex":0},"schema":"https://github.com/citation-style-language/schema/raw/master/csl-citation.json"}</w:instrText>
            </w:r>
            <w:r w:rsidRPr="00670A28">
              <w:rPr>
                <w:rFonts w:ascii="Calibri" w:hAnsi="Calibri" w:cs="Calibri"/>
                <w:sz w:val="18"/>
                <w:szCs w:val="18"/>
              </w:rPr>
              <w:fldChar w:fldCharType="separate"/>
            </w:r>
            <w:r w:rsidRPr="00670A28">
              <w:rPr>
                <w:rFonts w:ascii="Calibri" w:hAnsi="Calibri" w:cs="Calibri"/>
                <w:noProof/>
                <w:sz w:val="18"/>
                <w:szCs w:val="18"/>
              </w:rPr>
              <w:t>[1]</w:t>
            </w:r>
            <w:r w:rsidRPr="00670A28">
              <w:rPr>
                <w:rFonts w:ascii="Calibri" w:hAnsi="Calibri" w:cs="Calibri"/>
                <w:sz w:val="18"/>
                <w:szCs w:val="18"/>
              </w:rPr>
              <w:fldChar w:fldCharType="end"/>
            </w:r>
          </w:p>
        </w:tc>
        <w:tc>
          <w:tcPr>
            <w:tcW w:w="1721" w:type="dxa"/>
            <w:vMerge w:val="restart"/>
          </w:tcPr>
          <w:p w14:paraId="2FB46591" w14:textId="77777777" w:rsidR="00F73FEE" w:rsidRPr="005508A4" w:rsidRDefault="00F73FEE" w:rsidP="00B86494">
            <w:pPr>
              <w:rPr>
                <w:rFonts w:ascii="Calibri" w:hAnsi="Calibri" w:cs="Calibri"/>
                <w:sz w:val="18"/>
                <w:szCs w:val="18"/>
              </w:rPr>
            </w:pPr>
            <w:r w:rsidRPr="005508A4">
              <w:rPr>
                <w:rFonts w:ascii="Calibri" w:hAnsi="Calibri" w:cs="Calibri"/>
                <w:sz w:val="18"/>
                <w:szCs w:val="18"/>
              </w:rPr>
              <w:t>Before initiation of TTM</w:t>
            </w:r>
          </w:p>
        </w:tc>
        <w:tc>
          <w:tcPr>
            <w:tcW w:w="425" w:type="dxa"/>
            <w:vMerge w:val="restart"/>
          </w:tcPr>
          <w:p w14:paraId="36A93555" w14:textId="77777777" w:rsidR="00F73FEE" w:rsidRPr="005508A4" w:rsidRDefault="00F73FEE" w:rsidP="00BF5F3F">
            <w:pPr>
              <w:jc w:val="center"/>
              <w:rPr>
                <w:rFonts w:ascii="Calibri" w:hAnsi="Calibri" w:cs="Calibri"/>
                <w:sz w:val="18"/>
                <w:szCs w:val="18"/>
              </w:rPr>
            </w:pPr>
            <w:r w:rsidRPr="005508A4">
              <w:rPr>
                <w:rFonts w:ascii="Calibri" w:hAnsi="Calibri" w:cs="Calibri"/>
                <w:sz w:val="18"/>
                <w:szCs w:val="18"/>
              </w:rPr>
              <w:t>83</w:t>
            </w:r>
          </w:p>
        </w:tc>
        <w:tc>
          <w:tcPr>
            <w:tcW w:w="2268" w:type="dxa"/>
            <w:vMerge w:val="restart"/>
          </w:tcPr>
          <w:p w14:paraId="146FC690" w14:textId="77777777" w:rsidR="00F73FEE" w:rsidRPr="005508A4" w:rsidRDefault="00F73FEE" w:rsidP="00B86494">
            <w:pPr>
              <w:rPr>
                <w:rFonts w:ascii="Calibri" w:hAnsi="Calibri" w:cs="Calibri"/>
                <w:sz w:val="18"/>
                <w:szCs w:val="18"/>
              </w:rPr>
            </w:pPr>
            <w:r w:rsidRPr="005508A4">
              <w:rPr>
                <w:rFonts w:ascii="Calibri" w:hAnsi="Calibri" w:cs="Calibri"/>
                <w:sz w:val="18"/>
                <w:szCs w:val="18"/>
              </w:rPr>
              <w:t xml:space="preserve">CPC at 3 months </w:t>
            </w:r>
          </w:p>
          <w:p w14:paraId="1F213D22" w14:textId="77777777" w:rsidR="007A57DE" w:rsidRPr="005508A4" w:rsidRDefault="007A57DE" w:rsidP="007A57DE">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CPC 1-2 (good): 28</w:t>
            </w:r>
            <w:r w:rsidR="00396D57" w:rsidRPr="005508A4">
              <w:rPr>
                <w:rFonts w:ascii="Calibri" w:hAnsi="Calibri" w:cs="Calibri"/>
                <w:sz w:val="18"/>
                <w:szCs w:val="18"/>
              </w:rPr>
              <w:t xml:space="preserve"> (34%)</w:t>
            </w:r>
          </w:p>
          <w:p w14:paraId="59330B61" w14:textId="77777777" w:rsidR="007A57DE" w:rsidRPr="005508A4" w:rsidRDefault="007A57DE" w:rsidP="007A57DE">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CPC 3-5 (poor): 55</w:t>
            </w:r>
            <w:r w:rsidR="00396D57" w:rsidRPr="005508A4">
              <w:rPr>
                <w:rFonts w:ascii="Calibri" w:hAnsi="Calibri" w:cs="Calibri"/>
                <w:sz w:val="18"/>
                <w:szCs w:val="18"/>
              </w:rPr>
              <w:t xml:space="preserve"> (66%)</w:t>
            </w:r>
          </w:p>
        </w:tc>
        <w:tc>
          <w:tcPr>
            <w:tcW w:w="992" w:type="dxa"/>
            <w:tcBorders>
              <w:tr2bl w:val="nil"/>
            </w:tcBorders>
            <w:shd w:val="clear" w:color="auto" w:fill="F2F2F2" w:themeFill="background1" w:themeFillShade="F2"/>
            <w:vAlign w:val="center"/>
          </w:tcPr>
          <w:p w14:paraId="164873C3" w14:textId="77777777" w:rsidR="00F73FEE" w:rsidRPr="005508A4" w:rsidRDefault="0075060F" w:rsidP="00F73FEE">
            <w:pPr>
              <w:jc w:val="center"/>
              <w:rPr>
                <w:rFonts w:ascii="Calibri" w:hAnsi="Calibri" w:cs="Calibri"/>
                <w:b/>
                <w:i/>
                <w:sz w:val="18"/>
                <w:szCs w:val="18"/>
              </w:rPr>
            </w:pPr>
            <w:r>
              <w:rPr>
                <w:rFonts w:ascii="Calibri" w:hAnsi="Calibri" w:cs="Calibri"/>
                <w:b/>
                <w:i/>
                <w:sz w:val="18"/>
                <w:szCs w:val="18"/>
              </w:rPr>
              <w:t>Time (</w:t>
            </w:r>
            <w:r w:rsidR="00402A5D">
              <w:rPr>
                <w:rFonts w:ascii="Calibri" w:hAnsi="Calibri" w:cs="Calibri"/>
                <w:b/>
                <w:i/>
                <w:sz w:val="18"/>
                <w:szCs w:val="18"/>
              </w:rPr>
              <w:t>N</w:t>
            </w:r>
            <w:r>
              <w:rPr>
                <w:rFonts w:ascii="Calibri" w:hAnsi="Calibri" w:cs="Calibri"/>
                <w:b/>
                <w:i/>
                <w:sz w:val="18"/>
                <w:szCs w:val="18"/>
              </w:rPr>
              <w:t>)</w:t>
            </w:r>
          </w:p>
        </w:tc>
        <w:tc>
          <w:tcPr>
            <w:tcW w:w="1134" w:type="dxa"/>
            <w:tcBorders>
              <w:tr2bl w:val="nil"/>
            </w:tcBorders>
            <w:shd w:val="clear" w:color="auto" w:fill="F2F2F2" w:themeFill="background1" w:themeFillShade="F2"/>
            <w:vAlign w:val="center"/>
          </w:tcPr>
          <w:p w14:paraId="748DCC6A" w14:textId="77777777" w:rsidR="00F73FEE" w:rsidRPr="005508A4" w:rsidRDefault="00F73FEE" w:rsidP="00F73FEE">
            <w:pPr>
              <w:jc w:val="center"/>
              <w:rPr>
                <w:rFonts w:ascii="Calibri" w:hAnsi="Calibri" w:cs="Calibri"/>
                <w:b/>
                <w:i/>
                <w:sz w:val="18"/>
                <w:szCs w:val="18"/>
              </w:rPr>
            </w:pPr>
            <w:r w:rsidRPr="005508A4">
              <w:rPr>
                <w:rFonts w:ascii="Calibri" w:hAnsi="Calibri" w:cs="Calibri"/>
                <w:b/>
                <w:i/>
                <w:sz w:val="18"/>
                <w:szCs w:val="18"/>
              </w:rPr>
              <w:t>Good outcome</w:t>
            </w:r>
          </w:p>
        </w:tc>
        <w:tc>
          <w:tcPr>
            <w:tcW w:w="1276" w:type="dxa"/>
            <w:tcBorders>
              <w:tr2bl w:val="nil"/>
            </w:tcBorders>
            <w:shd w:val="clear" w:color="auto" w:fill="F2F2F2" w:themeFill="background1" w:themeFillShade="F2"/>
            <w:vAlign w:val="center"/>
          </w:tcPr>
          <w:p w14:paraId="7EE7F0C5" w14:textId="77777777" w:rsidR="00F73FEE" w:rsidRPr="005508A4" w:rsidRDefault="00F73FEE" w:rsidP="00F73FEE">
            <w:pPr>
              <w:jc w:val="center"/>
              <w:rPr>
                <w:rFonts w:ascii="Calibri" w:hAnsi="Calibri" w:cs="Calibri"/>
                <w:b/>
                <w:i/>
                <w:sz w:val="18"/>
                <w:szCs w:val="18"/>
              </w:rPr>
            </w:pPr>
            <w:r w:rsidRPr="005508A4">
              <w:rPr>
                <w:rFonts w:ascii="Calibri" w:hAnsi="Calibri" w:cs="Calibri"/>
                <w:b/>
                <w:i/>
                <w:sz w:val="18"/>
                <w:szCs w:val="18"/>
              </w:rPr>
              <w:t>Poor outcome</w:t>
            </w:r>
          </w:p>
        </w:tc>
        <w:tc>
          <w:tcPr>
            <w:tcW w:w="851" w:type="dxa"/>
            <w:tcBorders>
              <w:tr2bl w:val="nil"/>
            </w:tcBorders>
            <w:shd w:val="clear" w:color="auto" w:fill="F2F2F2" w:themeFill="background1" w:themeFillShade="F2"/>
            <w:vAlign w:val="center"/>
          </w:tcPr>
          <w:p w14:paraId="230CB5EC" w14:textId="77777777" w:rsidR="00F73FEE" w:rsidRPr="005508A4" w:rsidRDefault="00F73FEE" w:rsidP="00F73FEE">
            <w:pPr>
              <w:jc w:val="center"/>
              <w:rPr>
                <w:rFonts w:ascii="Calibri" w:hAnsi="Calibri" w:cs="Calibri"/>
                <w:sz w:val="18"/>
                <w:szCs w:val="18"/>
              </w:rPr>
            </w:pPr>
          </w:p>
        </w:tc>
        <w:tc>
          <w:tcPr>
            <w:tcW w:w="850" w:type="dxa"/>
            <w:tcBorders>
              <w:tr2bl w:val="nil"/>
            </w:tcBorders>
            <w:shd w:val="clear" w:color="auto" w:fill="F2F2F2" w:themeFill="background1" w:themeFillShade="F2"/>
            <w:vAlign w:val="center"/>
          </w:tcPr>
          <w:p w14:paraId="39ABD80E" w14:textId="77777777" w:rsidR="00F73FEE" w:rsidRPr="005508A4" w:rsidRDefault="00F73FEE" w:rsidP="00F73FEE">
            <w:pPr>
              <w:jc w:val="center"/>
              <w:rPr>
                <w:rFonts w:ascii="Calibri" w:hAnsi="Calibri" w:cs="Calibri"/>
                <w:sz w:val="18"/>
                <w:szCs w:val="18"/>
              </w:rPr>
            </w:pPr>
          </w:p>
        </w:tc>
        <w:tc>
          <w:tcPr>
            <w:tcW w:w="567" w:type="dxa"/>
            <w:tcBorders>
              <w:tr2bl w:val="nil"/>
            </w:tcBorders>
            <w:shd w:val="clear" w:color="auto" w:fill="F2F2F2" w:themeFill="background1" w:themeFillShade="F2"/>
            <w:vAlign w:val="center"/>
          </w:tcPr>
          <w:p w14:paraId="108C6934" w14:textId="77777777" w:rsidR="00F73FEE" w:rsidRPr="005508A4" w:rsidRDefault="00F73FEE" w:rsidP="00F73FEE">
            <w:pPr>
              <w:jc w:val="center"/>
              <w:rPr>
                <w:rFonts w:ascii="Calibri" w:hAnsi="Calibri" w:cs="Calibri"/>
                <w:sz w:val="18"/>
                <w:szCs w:val="18"/>
              </w:rPr>
            </w:pPr>
          </w:p>
        </w:tc>
        <w:tc>
          <w:tcPr>
            <w:tcW w:w="567" w:type="dxa"/>
            <w:tcBorders>
              <w:tr2bl w:val="nil"/>
            </w:tcBorders>
            <w:shd w:val="clear" w:color="auto" w:fill="F2F2F2" w:themeFill="background1" w:themeFillShade="F2"/>
            <w:vAlign w:val="center"/>
          </w:tcPr>
          <w:p w14:paraId="75ACBABE" w14:textId="77777777" w:rsidR="00F73FEE" w:rsidRPr="005508A4" w:rsidRDefault="00F73FEE" w:rsidP="00F73FEE">
            <w:pPr>
              <w:jc w:val="center"/>
              <w:rPr>
                <w:rFonts w:ascii="Calibri" w:hAnsi="Calibri" w:cs="Calibri"/>
                <w:sz w:val="18"/>
                <w:szCs w:val="18"/>
              </w:rPr>
            </w:pPr>
          </w:p>
        </w:tc>
        <w:tc>
          <w:tcPr>
            <w:tcW w:w="851" w:type="dxa"/>
            <w:tcBorders>
              <w:tr2bl w:val="nil"/>
            </w:tcBorders>
            <w:shd w:val="clear" w:color="auto" w:fill="F2F2F2" w:themeFill="background1" w:themeFillShade="F2"/>
            <w:vAlign w:val="center"/>
          </w:tcPr>
          <w:p w14:paraId="7E84F678" w14:textId="77777777" w:rsidR="00F73FEE" w:rsidRPr="005508A4" w:rsidRDefault="00F73FEE" w:rsidP="00F73FEE">
            <w:pPr>
              <w:jc w:val="center"/>
              <w:rPr>
                <w:rFonts w:ascii="Calibri" w:hAnsi="Calibri" w:cs="Calibri"/>
                <w:sz w:val="18"/>
                <w:szCs w:val="18"/>
              </w:rPr>
            </w:pPr>
          </w:p>
        </w:tc>
      </w:tr>
      <w:tr w:rsidR="008A22E6" w:rsidRPr="005508A4" w14:paraId="56041636" w14:textId="77777777" w:rsidTr="008A22E6">
        <w:trPr>
          <w:trHeight w:val="318"/>
        </w:trPr>
        <w:tc>
          <w:tcPr>
            <w:tcW w:w="1540" w:type="dxa"/>
            <w:vMerge/>
          </w:tcPr>
          <w:p w14:paraId="15AF5B85" w14:textId="77777777" w:rsidR="00F73FEE" w:rsidRPr="005508A4" w:rsidRDefault="00F73FEE" w:rsidP="00B86494">
            <w:pPr>
              <w:rPr>
                <w:rFonts w:ascii="Calibri" w:hAnsi="Calibri" w:cs="Calibri"/>
                <w:sz w:val="18"/>
                <w:szCs w:val="18"/>
              </w:rPr>
            </w:pPr>
          </w:p>
        </w:tc>
        <w:tc>
          <w:tcPr>
            <w:tcW w:w="1721" w:type="dxa"/>
            <w:vMerge/>
          </w:tcPr>
          <w:p w14:paraId="0356AF39" w14:textId="77777777" w:rsidR="00F73FEE" w:rsidRPr="005508A4" w:rsidRDefault="00F73FEE" w:rsidP="00B86494">
            <w:pPr>
              <w:rPr>
                <w:rFonts w:ascii="Calibri" w:hAnsi="Calibri" w:cs="Calibri"/>
                <w:sz w:val="18"/>
                <w:szCs w:val="18"/>
              </w:rPr>
            </w:pPr>
          </w:p>
        </w:tc>
        <w:tc>
          <w:tcPr>
            <w:tcW w:w="425" w:type="dxa"/>
            <w:vMerge/>
          </w:tcPr>
          <w:p w14:paraId="2F8CD023" w14:textId="77777777" w:rsidR="00F73FEE" w:rsidRPr="005508A4" w:rsidRDefault="00F73FEE" w:rsidP="00BF5F3F">
            <w:pPr>
              <w:jc w:val="center"/>
              <w:rPr>
                <w:rFonts w:ascii="Calibri" w:hAnsi="Calibri" w:cs="Calibri"/>
                <w:sz w:val="18"/>
                <w:szCs w:val="18"/>
              </w:rPr>
            </w:pPr>
          </w:p>
        </w:tc>
        <w:tc>
          <w:tcPr>
            <w:tcW w:w="2268" w:type="dxa"/>
            <w:vMerge/>
          </w:tcPr>
          <w:p w14:paraId="48198B8E" w14:textId="77777777" w:rsidR="00F73FEE" w:rsidRPr="005508A4" w:rsidRDefault="00F73FEE" w:rsidP="00B86494">
            <w:pPr>
              <w:rPr>
                <w:rFonts w:ascii="Calibri" w:hAnsi="Calibri" w:cs="Calibri"/>
                <w:sz w:val="18"/>
                <w:szCs w:val="18"/>
              </w:rPr>
            </w:pPr>
          </w:p>
        </w:tc>
        <w:tc>
          <w:tcPr>
            <w:tcW w:w="992" w:type="dxa"/>
            <w:vAlign w:val="center"/>
          </w:tcPr>
          <w:p w14:paraId="170BB34F" w14:textId="77777777" w:rsidR="00F73FEE" w:rsidRPr="005508A4" w:rsidRDefault="004451C0" w:rsidP="00F73FEE">
            <w:pPr>
              <w:jc w:val="center"/>
              <w:rPr>
                <w:rFonts w:ascii="Calibri" w:hAnsi="Calibri" w:cs="Calibri"/>
                <w:sz w:val="18"/>
                <w:szCs w:val="18"/>
              </w:rPr>
            </w:pPr>
            <w:r w:rsidRPr="005508A4">
              <w:rPr>
                <w:rFonts w:ascii="Calibri" w:hAnsi="Calibri" w:cs="Calibri"/>
                <w:sz w:val="18"/>
                <w:szCs w:val="18"/>
              </w:rPr>
              <w:t>d1</w:t>
            </w:r>
          </w:p>
        </w:tc>
        <w:tc>
          <w:tcPr>
            <w:tcW w:w="1134" w:type="dxa"/>
            <w:shd w:val="clear" w:color="auto" w:fill="C5E0B3" w:themeFill="accent6" w:themeFillTint="66"/>
            <w:vAlign w:val="center"/>
          </w:tcPr>
          <w:p w14:paraId="36EAA6AE"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4.48</w:t>
            </w:r>
          </w:p>
          <w:p w14:paraId="630937E7"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(4.27-5.09)</w:t>
            </w:r>
          </w:p>
        </w:tc>
        <w:tc>
          <w:tcPr>
            <w:tcW w:w="1276" w:type="dxa"/>
            <w:shd w:val="clear" w:color="auto" w:fill="FBE4D5" w:themeFill="accent2" w:themeFillTint="33"/>
            <w:vAlign w:val="center"/>
          </w:tcPr>
          <w:p w14:paraId="73B278D3"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5.29</w:t>
            </w:r>
          </w:p>
          <w:p w14:paraId="20D223AD"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(4.5-5.76)</w:t>
            </w:r>
          </w:p>
        </w:tc>
        <w:tc>
          <w:tcPr>
            <w:tcW w:w="851" w:type="dxa"/>
            <w:vAlign w:val="center"/>
          </w:tcPr>
          <w:p w14:paraId="38AF626A" w14:textId="77777777" w:rsidR="00F73FEE" w:rsidRPr="005508A4" w:rsidRDefault="007A57DE" w:rsidP="00F73FEE">
            <w:pPr>
              <w:jc w:val="center"/>
              <w:rPr>
                <w:rFonts w:ascii="Calibri" w:hAnsi="Calibri" w:cs="Calibri"/>
                <w:sz w:val="18"/>
                <w:szCs w:val="18"/>
              </w:rPr>
            </w:pPr>
            <w:r w:rsidRPr="005508A4">
              <w:rPr>
                <w:rFonts w:ascii="Calibri" w:hAnsi="Calibri" w:cs="Calibri"/>
                <w:sz w:val="18"/>
                <w:szCs w:val="18"/>
              </w:rPr>
              <w:t>.008</w:t>
            </w:r>
          </w:p>
        </w:tc>
        <w:tc>
          <w:tcPr>
            <w:tcW w:w="850" w:type="dxa"/>
            <w:vAlign w:val="center"/>
          </w:tcPr>
          <w:p w14:paraId="3B5F49AF" w14:textId="77777777" w:rsidR="00F73FEE" w:rsidRPr="005508A4" w:rsidRDefault="000C29F6" w:rsidP="00F73FEE">
            <w:pPr>
              <w:jc w:val="center"/>
              <w:rPr>
                <w:rFonts w:ascii="Calibri" w:hAnsi="Calibri" w:cs="Calibri"/>
                <w:sz w:val="18"/>
                <w:szCs w:val="18"/>
              </w:rPr>
            </w:pPr>
            <w:r w:rsidRPr="005508A4">
              <w:rPr>
                <w:rFonts w:ascii="Calibri" w:hAnsi="Calibri" w:cs="Calibri"/>
                <w:sz w:val="18"/>
                <w:szCs w:val="18"/>
              </w:rPr>
              <w:t>5.11</w:t>
            </w:r>
          </w:p>
        </w:tc>
        <w:tc>
          <w:tcPr>
            <w:tcW w:w="567" w:type="dxa"/>
            <w:vAlign w:val="center"/>
          </w:tcPr>
          <w:p w14:paraId="519A9BDC" w14:textId="77777777" w:rsidR="00F73FEE" w:rsidRPr="005508A4" w:rsidRDefault="000C29F6" w:rsidP="00F73FEE">
            <w:pPr>
              <w:jc w:val="center"/>
              <w:rPr>
                <w:rFonts w:ascii="Calibri" w:hAnsi="Calibri" w:cs="Calibri"/>
                <w:sz w:val="18"/>
                <w:szCs w:val="18"/>
              </w:rPr>
            </w:pPr>
            <w:r w:rsidRPr="005508A4">
              <w:rPr>
                <w:rFonts w:ascii="Calibri" w:hAnsi="Calibri" w:cs="Calibri"/>
                <w:sz w:val="18"/>
                <w:szCs w:val="18"/>
              </w:rPr>
              <w:t>56.4</w:t>
            </w:r>
          </w:p>
        </w:tc>
        <w:tc>
          <w:tcPr>
            <w:tcW w:w="567" w:type="dxa"/>
            <w:vAlign w:val="center"/>
          </w:tcPr>
          <w:p w14:paraId="335A263B" w14:textId="77777777" w:rsidR="00F73FEE" w:rsidRPr="005508A4" w:rsidRDefault="000C29F6" w:rsidP="00F73FEE">
            <w:pPr>
              <w:jc w:val="center"/>
              <w:rPr>
                <w:rFonts w:ascii="Calibri" w:hAnsi="Calibri" w:cs="Calibri"/>
                <w:sz w:val="18"/>
                <w:szCs w:val="18"/>
              </w:rPr>
            </w:pPr>
            <w:r w:rsidRPr="005508A4">
              <w:rPr>
                <w:rFonts w:ascii="Calibri" w:hAnsi="Calibri" w:cs="Calibri"/>
                <w:sz w:val="18"/>
                <w:szCs w:val="18"/>
              </w:rPr>
              <w:t>78.6</w:t>
            </w:r>
          </w:p>
        </w:tc>
        <w:tc>
          <w:tcPr>
            <w:tcW w:w="851" w:type="dxa"/>
            <w:vAlign w:val="center"/>
          </w:tcPr>
          <w:p w14:paraId="24798113" w14:textId="77777777" w:rsidR="000C29F6" w:rsidRPr="005508A4" w:rsidRDefault="000C29F6" w:rsidP="000C29F6">
            <w:pPr>
              <w:jc w:val="center"/>
              <w:rPr>
                <w:rFonts w:ascii="Calibri" w:hAnsi="Calibri" w:cs="Calibri"/>
                <w:sz w:val="18"/>
                <w:szCs w:val="18"/>
              </w:rPr>
            </w:pPr>
            <w:r w:rsidRPr="005508A4">
              <w:rPr>
                <w:rFonts w:ascii="Calibri" w:hAnsi="Calibri" w:cs="Calibri"/>
                <w:sz w:val="18"/>
                <w:szCs w:val="18"/>
              </w:rPr>
              <w:t>.677</w:t>
            </w:r>
          </w:p>
          <w:p w14:paraId="64596EFF" w14:textId="77777777" w:rsidR="00F73FEE" w:rsidRPr="005508A4" w:rsidRDefault="000C29F6" w:rsidP="000C29F6">
            <w:pPr>
              <w:jc w:val="center"/>
              <w:rPr>
                <w:rFonts w:ascii="Calibri" w:hAnsi="Calibri" w:cs="Calibri"/>
                <w:sz w:val="18"/>
                <w:szCs w:val="18"/>
              </w:rPr>
            </w:pPr>
            <w:r w:rsidRPr="005508A4">
              <w:rPr>
                <w:rFonts w:ascii="Calibri" w:hAnsi="Calibri" w:cs="Calibri"/>
                <w:sz w:val="18"/>
                <w:szCs w:val="18"/>
              </w:rPr>
              <w:t>(.56-.78)</w:t>
            </w:r>
          </w:p>
        </w:tc>
      </w:tr>
      <w:tr w:rsidR="001F6304" w:rsidRPr="005508A4" w14:paraId="5ABC9A86" w14:textId="77777777" w:rsidTr="008A22E6">
        <w:trPr>
          <w:trHeight w:val="318"/>
        </w:trPr>
        <w:tc>
          <w:tcPr>
            <w:tcW w:w="1540" w:type="dxa"/>
          </w:tcPr>
          <w:p w14:paraId="75D4ECD5" w14:textId="69A54FF4" w:rsidR="00F73FEE" w:rsidRPr="005508A4" w:rsidRDefault="00F73FEE" w:rsidP="00670A28">
            <w:pPr>
              <w:rPr>
                <w:rFonts w:ascii="Calibri" w:hAnsi="Calibri" w:cs="Calibri"/>
                <w:sz w:val="18"/>
                <w:szCs w:val="18"/>
              </w:rPr>
            </w:pPr>
            <w:r w:rsidRPr="005508A4">
              <w:rPr>
                <w:rFonts w:ascii="Calibri" w:hAnsi="Calibri" w:cs="Calibri"/>
                <w:sz w:val="18"/>
                <w:szCs w:val="18"/>
              </w:rPr>
              <w:t xml:space="preserve">Ueda T et al., 2015 </w:t>
            </w:r>
            <w:r w:rsidR="00670A28">
              <w:rPr>
                <w:rFonts w:ascii="Calibri" w:hAnsi="Calibri" w:cs="Calibri"/>
                <w:sz w:val="18"/>
                <w:szCs w:val="18"/>
              </w:rPr>
              <w:fldChar w:fldCharType="begin" w:fldLock="1"/>
            </w:r>
            <w:r w:rsidR="00670A28">
              <w:rPr>
                <w:rFonts w:ascii="Calibri" w:hAnsi="Calibri" w:cs="Calibri"/>
                <w:sz w:val="18"/>
                <w:szCs w:val="18"/>
              </w:rPr>
              <w:instrText>ADDIN CSL_CITATION {"citationItems":[{"id":"ITEM-1","itemData":{"DOI":"10.1111/jon.12246","ISBN":"1051-2284","ISSN":"15526569","PMID":"25890995","abstract":"BACKGROUND AND PURPOSE: The early prediction of hypoxic encephalopathy after cardiac arrest is challenging. Measurement of the optic nerve sheath diameter (ONSD) by using sonography is a straightforward, noninvasive technique to detect an increased intracranial pressure, which can even be conducted at the bedside. However, it remains unknown whether or not sonographic ONSD measurement is valuable as a prognostic indicator of hypoxic encephalopathy. METHODS: Seventeen patients after cardiac arrest were retrospectively enrolled in this study. ONSD measurements 3 mm behind the papilla were recorded. A Glasgow Outcome Scale score of 4 or above was considered to indicate a favorable prognosis. RESULTS: The mean ONSD associated with a favorable prognosis was 5.0 mm (4.4-6.1 mm). The ONSD associated with a poor prognosis was 6.1 mm (5.4-7.2 mm). ONSD less than or equal to 5.4 mm was an indicator of a favorable prognosis, with a sensitivity of 83%, specificity of 73%, positive likelihood ratio of 3.1, and negative likelihood ratio of .23. CONCLUSIONS: Sonographic ONSD measurement is a simple, rapid technique to assess the neurological prognosis after cardiac arrest.","author":[{"dropping-particle":"","family":"Ueda","given":"Takeshi","non-dropping-particle":"","parse-names":false,"suffix":""},{"dropping-particle":"","family":"Ishida","given":"Eri","non-dropping-particle":"","parse-names":false,"suffix":""},{"dropping-particle":"","family":"Kojima","given":"Yusuke","non-dropping-particle":"","parse-names":false,"suffix":""},{"dropping-particle":"","family":"Yoshikawa","given":"Satoshi","non-dropping-particle":"","parse-names":false,"suffix":""},{"dropping-particle":"","family":"Yonemoto","given":"Hitoshi","non-dropping-particle":"","parse-names":false,"suffix":""}],"container-title":"Journal of Neuroimaging","id":"ITEM-1","issue":"6","issued":{"date-parts":[["2015"]]},"page":"927-930","title":"Sonographic Optic Nerve Sheath Diameter: A Simple and Rapid Tool to Assess the Neurologic Prognosis After Cardiac Arrest","type":"article-journal","volume":"25"},"uris":["http://www.mendeley.com/documents/?uuid=03e2f8ff-7c3d-4a88-9eda-43fca52c6964"]}],"mendeley":{"formattedCitation":"[2]","plainTextFormattedCitation":"[2]","previouslyFormattedCitation":"[2]"},"properties":{"noteIndex":0},"schema":"https://github.com/citation-style-language/schema/raw/master/csl-citation.json"}</w:instrText>
            </w:r>
            <w:r w:rsidR="00670A28">
              <w:rPr>
                <w:rFonts w:ascii="Calibri" w:hAnsi="Calibri" w:cs="Calibri"/>
                <w:sz w:val="18"/>
                <w:szCs w:val="18"/>
              </w:rPr>
              <w:fldChar w:fldCharType="separate"/>
            </w:r>
            <w:r w:rsidR="00670A28" w:rsidRPr="00670A28">
              <w:rPr>
                <w:rFonts w:ascii="Calibri" w:hAnsi="Calibri" w:cs="Calibri"/>
                <w:noProof/>
                <w:sz w:val="18"/>
                <w:szCs w:val="18"/>
              </w:rPr>
              <w:t>[2]</w:t>
            </w:r>
            <w:r w:rsidR="00670A28">
              <w:rPr>
                <w:rFonts w:ascii="Calibri" w:hAnsi="Calibri" w:cs="Calibri"/>
                <w:sz w:val="18"/>
                <w:szCs w:val="18"/>
              </w:rPr>
              <w:fldChar w:fldCharType="end"/>
            </w:r>
          </w:p>
        </w:tc>
        <w:tc>
          <w:tcPr>
            <w:tcW w:w="1721" w:type="dxa"/>
          </w:tcPr>
          <w:p w14:paraId="048E91B5" w14:textId="77777777" w:rsidR="00F73FEE" w:rsidRDefault="00F73FEE" w:rsidP="00B86494">
            <w:pPr>
              <w:rPr>
                <w:rFonts w:ascii="Calibri" w:hAnsi="Calibri" w:cs="Calibri"/>
                <w:sz w:val="18"/>
                <w:szCs w:val="18"/>
              </w:rPr>
            </w:pPr>
            <w:r w:rsidRPr="005508A4">
              <w:rPr>
                <w:rFonts w:ascii="Calibri" w:hAnsi="Calibri" w:cs="Calibri"/>
                <w:sz w:val="18"/>
                <w:szCs w:val="18"/>
              </w:rPr>
              <w:t xml:space="preserve">12-72 </w:t>
            </w:r>
            <w:proofErr w:type="spellStart"/>
            <w:r w:rsidRPr="005508A4">
              <w:rPr>
                <w:rFonts w:ascii="Calibri" w:hAnsi="Calibri" w:cs="Calibri"/>
                <w:sz w:val="18"/>
                <w:szCs w:val="18"/>
              </w:rPr>
              <w:t>hrs</w:t>
            </w:r>
            <w:proofErr w:type="spellEnd"/>
            <w:r w:rsidRPr="005508A4">
              <w:rPr>
                <w:rFonts w:ascii="Calibri" w:hAnsi="Calibri" w:cs="Calibri"/>
                <w:sz w:val="18"/>
                <w:szCs w:val="18"/>
              </w:rPr>
              <w:t xml:space="preserve"> post CA</w:t>
            </w:r>
          </w:p>
          <w:p w14:paraId="6C7876A3" w14:textId="77777777" w:rsidR="00141F20" w:rsidRPr="005508A4" w:rsidRDefault="00141F20" w:rsidP="00141F20">
            <w:pPr>
              <w:jc w:val="center"/>
              <w:rPr>
                <w:rFonts w:ascii="Calibri" w:hAnsi="Calibri" w:cs="Calibri"/>
                <w:sz w:val="18"/>
                <w:szCs w:val="18"/>
              </w:rPr>
            </w:pPr>
            <w:r>
              <w:rPr>
                <w:rFonts w:ascii="Calibri" w:hAnsi="Calibri" w:cs="Calibri"/>
                <w:sz w:val="18"/>
                <w:szCs w:val="18"/>
              </w:rPr>
              <w:t>(retrospective)</w:t>
            </w:r>
          </w:p>
        </w:tc>
        <w:tc>
          <w:tcPr>
            <w:tcW w:w="425" w:type="dxa"/>
          </w:tcPr>
          <w:p w14:paraId="646C39A8" w14:textId="77777777" w:rsidR="00F73FEE" w:rsidRPr="005508A4" w:rsidRDefault="00F73FEE" w:rsidP="00BF5F3F">
            <w:pPr>
              <w:jc w:val="center"/>
              <w:rPr>
                <w:rFonts w:ascii="Calibri" w:hAnsi="Calibri" w:cs="Calibri"/>
                <w:sz w:val="18"/>
                <w:szCs w:val="18"/>
              </w:rPr>
            </w:pPr>
            <w:r w:rsidRPr="005508A4">
              <w:rPr>
                <w:rFonts w:ascii="Calibri" w:hAnsi="Calibri" w:cs="Calibri"/>
                <w:sz w:val="18"/>
                <w:szCs w:val="18"/>
              </w:rPr>
              <w:t>17</w:t>
            </w:r>
          </w:p>
        </w:tc>
        <w:tc>
          <w:tcPr>
            <w:tcW w:w="2268" w:type="dxa"/>
          </w:tcPr>
          <w:p w14:paraId="26ECD858" w14:textId="77777777" w:rsidR="00F73FEE" w:rsidRPr="005508A4" w:rsidRDefault="00F73FEE" w:rsidP="00F73FEE">
            <w:pPr>
              <w:rPr>
                <w:rFonts w:ascii="Calibri" w:hAnsi="Calibri" w:cs="Calibri"/>
                <w:sz w:val="18"/>
                <w:szCs w:val="18"/>
              </w:rPr>
            </w:pPr>
            <w:r w:rsidRPr="005508A4">
              <w:rPr>
                <w:rFonts w:ascii="Calibri" w:hAnsi="Calibri" w:cs="Calibri"/>
                <w:sz w:val="18"/>
                <w:szCs w:val="18"/>
              </w:rPr>
              <w:t>GOS at 28 days</w:t>
            </w:r>
          </w:p>
          <w:p w14:paraId="67347A8A" w14:textId="77777777" w:rsidR="00F73FEE" w:rsidRPr="005508A4" w:rsidRDefault="00F73FEE" w:rsidP="00F73FEE">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GOS 4-5 (good): 6</w:t>
            </w:r>
            <w:r w:rsidR="00396D57" w:rsidRPr="005508A4">
              <w:rPr>
                <w:rFonts w:ascii="Calibri" w:hAnsi="Calibri" w:cs="Calibri"/>
                <w:sz w:val="18"/>
                <w:szCs w:val="18"/>
              </w:rPr>
              <w:t xml:space="preserve"> (35%)</w:t>
            </w:r>
          </w:p>
          <w:p w14:paraId="634DE06A" w14:textId="77777777" w:rsidR="00F73FEE" w:rsidRPr="005508A4" w:rsidRDefault="00F73FEE" w:rsidP="00F73FEE">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GOS 1-3 (poor): 11</w:t>
            </w:r>
            <w:r w:rsidR="00396D57" w:rsidRPr="005508A4">
              <w:rPr>
                <w:rFonts w:ascii="Calibri" w:hAnsi="Calibri" w:cs="Calibri"/>
                <w:sz w:val="18"/>
                <w:szCs w:val="18"/>
              </w:rPr>
              <w:t xml:space="preserve"> (65%)</w:t>
            </w:r>
          </w:p>
        </w:tc>
        <w:tc>
          <w:tcPr>
            <w:tcW w:w="992" w:type="dxa"/>
            <w:tcBorders>
              <w:bottom w:val="single" w:sz="4" w:space="0" w:color="auto"/>
            </w:tcBorders>
            <w:vAlign w:val="center"/>
          </w:tcPr>
          <w:p w14:paraId="3DA72C02" w14:textId="77777777" w:rsidR="00F73FEE" w:rsidRPr="005508A4" w:rsidRDefault="004451C0" w:rsidP="00F73FEE">
            <w:pPr>
              <w:jc w:val="center"/>
              <w:rPr>
                <w:rFonts w:ascii="Calibri" w:hAnsi="Calibri" w:cs="Calibri"/>
                <w:sz w:val="18"/>
                <w:szCs w:val="18"/>
              </w:rPr>
            </w:pPr>
            <w:r w:rsidRPr="005508A4">
              <w:rPr>
                <w:rFonts w:ascii="Calibri" w:hAnsi="Calibri" w:cs="Calibri"/>
                <w:sz w:val="18"/>
                <w:szCs w:val="18"/>
              </w:rPr>
              <w:t>d1-3</w:t>
            </w:r>
          </w:p>
        </w:tc>
        <w:tc>
          <w:tcPr>
            <w:tcW w:w="1134" w:type="dxa"/>
            <w:tcBorders>
              <w:bottom w:val="single" w:sz="4" w:space="0" w:color="auto"/>
            </w:tcBorders>
            <w:shd w:val="clear" w:color="auto" w:fill="C5E0B3" w:themeFill="accent6" w:themeFillTint="66"/>
            <w:vAlign w:val="center"/>
          </w:tcPr>
          <w:p w14:paraId="515018F9"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5.00</w:t>
            </w:r>
          </w:p>
          <w:p w14:paraId="08DAF6E8"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(4.4-6.1)</w:t>
            </w:r>
          </w:p>
        </w:tc>
        <w:tc>
          <w:tcPr>
            <w:tcW w:w="1276" w:type="dxa"/>
            <w:tcBorders>
              <w:bottom w:val="single" w:sz="4" w:space="0" w:color="auto"/>
            </w:tcBorders>
            <w:shd w:val="clear" w:color="auto" w:fill="FBE4D5" w:themeFill="accent2" w:themeFillTint="33"/>
            <w:vAlign w:val="center"/>
          </w:tcPr>
          <w:p w14:paraId="533ECBB7"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6.1</w:t>
            </w:r>
          </w:p>
          <w:p w14:paraId="2B1A167B"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(5.4-7.2)</w:t>
            </w:r>
          </w:p>
        </w:tc>
        <w:tc>
          <w:tcPr>
            <w:tcW w:w="851" w:type="dxa"/>
            <w:tcBorders>
              <w:bottom w:val="single" w:sz="4" w:space="0" w:color="auto"/>
            </w:tcBorders>
            <w:vAlign w:val="center"/>
          </w:tcPr>
          <w:p w14:paraId="22DD2ED9" w14:textId="77777777" w:rsidR="00F73FEE" w:rsidRPr="005508A4" w:rsidRDefault="00F73FEE" w:rsidP="00F73FEE">
            <w:pPr>
              <w:jc w:val="center"/>
              <w:rPr>
                <w:rFonts w:ascii="Calibri" w:hAnsi="Calibri" w:cs="Calibri"/>
                <w:sz w:val="18"/>
                <w:szCs w:val="18"/>
              </w:rPr>
            </w:pPr>
          </w:p>
        </w:tc>
        <w:tc>
          <w:tcPr>
            <w:tcW w:w="850" w:type="dxa"/>
            <w:tcBorders>
              <w:bottom w:val="single" w:sz="4" w:space="0" w:color="auto"/>
            </w:tcBorders>
            <w:vAlign w:val="center"/>
          </w:tcPr>
          <w:p w14:paraId="1A5AFD39"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5.4</w:t>
            </w:r>
          </w:p>
        </w:tc>
        <w:tc>
          <w:tcPr>
            <w:tcW w:w="567" w:type="dxa"/>
            <w:tcBorders>
              <w:bottom w:val="single" w:sz="4" w:space="0" w:color="auto"/>
            </w:tcBorders>
            <w:vAlign w:val="center"/>
          </w:tcPr>
          <w:p w14:paraId="2FB124A3"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83</w:t>
            </w:r>
          </w:p>
        </w:tc>
        <w:tc>
          <w:tcPr>
            <w:tcW w:w="567" w:type="dxa"/>
            <w:tcBorders>
              <w:bottom w:val="single" w:sz="4" w:space="0" w:color="auto"/>
            </w:tcBorders>
            <w:vAlign w:val="center"/>
          </w:tcPr>
          <w:p w14:paraId="39D74C25"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73</w:t>
            </w:r>
          </w:p>
        </w:tc>
        <w:tc>
          <w:tcPr>
            <w:tcW w:w="851" w:type="dxa"/>
            <w:tcBorders>
              <w:bottom w:val="single" w:sz="4" w:space="0" w:color="auto"/>
            </w:tcBorders>
            <w:vAlign w:val="center"/>
          </w:tcPr>
          <w:p w14:paraId="1390F37F"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.88</w:t>
            </w:r>
          </w:p>
          <w:p w14:paraId="3ADA10A0"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(.69-1)</w:t>
            </w:r>
          </w:p>
        </w:tc>
      </w:tr>
      <w:tr w:rsidR="001F6304" w:rsidRPr="005508A4" w14:paraId="4BAE56A6" w14:textId="77777777" w:rsidTr="008A22E6">
        <w:trPr>
          <w:trHeight w:val="125"/>
        </w:trPr>
        <w:tc>
          <w:tcPr>
            <w:tcW w:w="1540" w:type="dxa"/>
            <w:vMerge w:val="restart"/>
          </w:tcPr>
          <w:p w14:paraId="1080DCB3" w14:textId="1D2A6B30" w:rsidR="00F73FEE" w:rsidRPr="005508A4" w:rsidRDefault="00F73FEE" w:rsidP="00670A28">
            <w:pPr>
              <w:rPr>
                <w:rFonts w:ascii="Calibri" w:hAnsi="Calibri" w:cs="Calibri"/>
                <w:sz w:val="18"/>
                <w:szCs w:val="18"/>
              </w:rPr>
            </w:pPr>
            <w:proofErr w:type="spellStart"/>
            <w:r w:rsidRPr="005508A4">
              <w:rPr>
                <w:rFonts w:ascii="Calibri" w:hAnsi="Calibri" w:cs="Calibri"/>
                <w:sz w:val="18"/>
                <w:szCs w:val="18"/>
              </w:rPr>
              <w:t>Ertl</w:t>
            </w:r>
            <w:proofErr w:type="spellEnd"/>
            <w:r w:rsidRPr="005508A4">
              <w:rPr>
                <w:rFonts w:ascii="Calibri" w:hAnsi="Calibri" w:cs="Calibri"/>
                <w:sz w:val="18"/>
                <w:szCs w:val="18"/>
              </w:rPr>
              <w:t xml:space="preserve"> M et al., 2018</w:t>
            </w:r>
            <w:r w:rsidR="00670A28">
              <w:rPr>
                <w:rFonts w:ascii="Calibri" w:hAnsi="Calibri" w:cs="Calibri"/>
                <w:sz w:val="18"/>
                <w:szCs w:val="18"/>
              </w:rPr>
              <w:t xml:space="preserve"> </w:t>
            </w:r>
            <w:r w:rsidR="00670A28">
              <w:rPr>
                <w:rFonts w:ascii="Calibri" w:hAnsi="Calibri" w:cs="Calibri"/>
                <w:sz w:val="18"/>
                <w:szCs w:val="18"/>
              </w:rPr>
              <w:fldChar w:fldCharType="begin" w:fldLock="1"/>
            </w:r>
            <w:r w:rsidR="00670A28">
              <w:rPr>
                <w:rFonts w:ascii="Calibri" w:hAnsi="Calibri" w:cs="Calibri"/>
                <w:sz w:val="18"/>
                <w:szCs w:val="18"/>
              </w:rPr>
              <w:instrText>ADDIN CSL_CITATION {"citationItems":[{"id":"ITEM-1","itemData":{"DOI":"10.1111/jon.12528","ISBN":"1552-6569\r1051-2284","ISSN":"15526569","PMID":"29883008","abstract":"BACKGROUND AND PURPOSE: Early prognostication of the outcome in resuscitated post cardiac arrest (CA) patients remains challenging especially if treated with therapeutic hypothermia. Brain edema caused by hypoxic-ischemic encephalopathy (HIE) can indirectly be estimated by transorbital sonography (TOS) taking in account the optic nerve sheath diameter (ONSD). The prognostic value of this easy, safe, and reproducible technique was investigated in this study. METHODS: A total of 49 patients, initially unconscious (Glasgow Coma Scale ≤6) after successful resuscitation, were enrolled into this prospective observational study. Sonographic ONSD measurements were performed twice on day of admission (day 0) and once on days 1 and 2 after CA. Beyond ONSD, established prognostic parameters like neuron specific enolase and gray-white matter ratios were assessed. Cerebral Performance Category (CPC) score served as outcome parameter. RESULTS: A total of 15 (31.3%) patients had a good outcome (CPC-score 1–2), 8 patients (14.6%) had severe disability (CPC-score 3–4), and 26 (54.2%) had a fatal outcome (CPC-score 5). Already in the first measurement on day 0, nonsurvivors showed significantly higher ONSD values (P &lt;.001). For predicting mortality, a threshold of 5.75 mm was calculated with a specificity of 100%. ONSD did not differ significantly depending on hypothermia (P =.7009). CONCLUSION: Early and reliable prognostication of outcomes in patients with HIE can be simplified by ONSD values gathered with the use of TOS. Main advantages compared to other established markers are prognostication within the first 24 hours and independence from therapy with hypothermia. A higher level of accuracy can be reached by combining computed tomography (gray-to-white matter ratio values) and ONSD values.","author":[{"dropping-particle":"","family":"Ertl","given":"Michael","non-dropping-particle":"","parse-names":false,"suffix":""},{"dropping-particle":"","family":"Weber","given":"Sarah","non-dropping-particle":"","parse-names":false,"suffix":""},{"dropping-particle":"","family":"Hammel","given":"Gertrud","non-dropping-particle":"","parse-names":false,"suffix":""},{"dropping-particle":"","family":"Schroeder","given":"Christoph","non-dropping-particle":"","parse-names":false,"suffix":""},{"dropping-particle":"","family":"Krogias","given":"Christos","non-dropping-particle":"","parse-names":false,"suffix":""}],"container-title":"Journal of Neuroimaging","id":"ITEM-1","issue":"5","issued":{"date-parts":[["2018"]]},"page":"542-548","title":"Transorbital Sonography for Early Prognostication of Hypoxic-Ischemic Encephalopathy After Cardiac Arrest","type":"article-journal","volume":"28"},"uris":["http://www.mendeley.com/documents/?uuid=169fd526-983f-463c-9bb5-c23053491d70"]}],"mendeley":{"formattedCitation":"[3]","plainTextFormattedCitation":"[3]","previouslyFormattedCitation":"[3]"},"properties":{"noteIndex":0},"schema":"https://github.com/citation-style-language/schema/raw/master/csl-citation.json"}</w:instrText>
            </w:r>
            <w:r w:rsidR="00670A28">
              <w:rPr>
                <w:rFonts w:ascii="Calibri" w:hAnsi="Calibri" w:cs="Calibri"/>
                <w:sz w:val="18"/>
                <w:szCs w:val="18"/>
              </w:rPr>
              <w:fldChar w:fldCharType="separate"/>
            </w:r>
            <w:r w:rsidR="00670A28" w:rsidRPr="00670A28">
              <w:rPr>
                <w:rFonts w:ascii="Calibri" w:hAnsi="Calibri" w:cs="Calibri"/>
                <w:noProof/>
                <w:sz w:val="18"/>
                <w:szCs w:val="18"/>
              </w:rPr>
              <w:t>[3]</w:t>
            </w:r>
            <w:r w:rsidR="00670A28">
              <w:rPr>
                <w:rFonts w:ascii="Calibri" w:hAnsi="Calibri" w:cs="Calibri"/>
                <w:sz w:val="18"/>
                <w:szCs w:val="18"/>
              </w:rPr>
              <w:fldChar w:fldCharType="end"/>
            </w:r>
          </w:p>
        </w:tc>
        <w:tc>
          <w:tcPr>
            <w:tcW w:w="1721" w:type="dxa"/>
            <w:vMerge w:val="restart"/>
          </w:tcPr>
          <w:p w14:paraId="3A9F8696" w14:textId="77777777" w:rsidR="00F73FEE" w:rsidRPr="005508A4" w:rsidRDefault="00F73FEE" w:rsidP="00B86494">
            <w:pPr>
              <w:rPr>
                <w:rFonts w:ascii="Calibri" w:hAnsi="Calibri" w:cs="Calibri"/>
                <w:sz w:val="18"/>
                <w:szCs w:val="18"/>
              </w:rPr>
            </w:pPr>
            <w:r w:rsidRPr="005508A4">
              <w:rPr>
                <w:rFonts w:ascii="Calibri" w:hAnsi="Calibri" w:cs="Calibri"/>
                <w:sz w:val="18"/>
                <w:szCs w:val="18"/>
              </w:rPr>
              <w:t>4 measurements</w:t>
            </w:r>
            <w:r w:rsidR="00396D57" w:rsidRPr="005508A4">
              <w:rPr>
                <w:rFonts w:ascii="Calibri" w:hAnsi="Calibri" w:cs="Calibri"/>
                <w:sz w:val="18"/>
                <w:szCs w:val="18"/>
              </w:rPr>
              <w:t xml:space="preserve"> </w:t>
            </w:r>
            <w:r w:rsidRPr="005508A4">
              <w:rPr>
                <w:rFonts w:ascii="Calibri" w:hAnsi="Calibri" w:cs="Calibri"/>
                <w:sz w:val="18"/>
                <w:szCs w:val="18"/>
              </w:rPr>
              <w:t>(admission day x 2, day 2 and day 3)</w:t>
            </w:r>
          </w:p>
        </w:tc>
        <w:tc>
          <w:tcPr>
            <w:tcW w:w="425" w:type="dxa"/>
            <w:vMerge w:val="restart"/>
          </w:tcPr>
          <w:p w14:paraId="14FAEDE1" w14:textId="77777777" w:rsidR="00F73FEE" w:rsidRPr="005508A4" w:rsidRDefault="00F73FEE" w:rsidP="00BF5F3F">
            <w:pPr>
              <w:jc w:val="center"/>
              <w:rPr>
                <w:rFonts w:ascii="Calibri" w:hAnsi="Calibri" w:cs="Calibri"/>
                <w:sz w:val="18"/>
                <w:szCs w:val="18"/>
              </w:rPr>
            </w:pPr>
            <w:r w:rsidRPr="005508A4">
              <w:rPr>
                <w:rFonts w:ascii="Calibri" w:hAnsi="Calibri" w:cs="Calibri"/>
                <w:sz w:val="18"/>
                <w:szCs w:val="18"/>
              </w:rPr>
              <w:t>49</w:t>
            </w:r>
          </w:p>
        </w:tc>
        <w:tc>
          <w:tcPr>
            <w:tcW w:w="2268" w:type="dxa"/>
            <w:vMerge w:val="restart"/>
          </w:tcPr>
          <w:p w14:paraId="79848BDB" w14:textId="77777777" w:rsidR="00F73FEE" w:rsidRPr="005508A4" w:rsidRDefault="00F73FEE" w:rsidP="00B86494">
            <w:pPr>
              <w:rPr>
                <w:rFonts w:ascii="Calibri" w:hAnsi="Calibri" w:cs="Calibri"/>
                <w:sz w:val="18"/>
                <w:szCs w:val="18"/>
              </w:rPr>
            </w:pPr>
            <w:r w:rsidRPr="005508A4">
              <w:rPr>
                <w:rFonts w:ascii="Calibri" w:hAnsi="Calibri" w:cs="Calibri"/>
                <w:sz w:val="18"/>
                <w:szCs w:val="18"/>
              </w:rPr>
              <w:t>Survival</w:t>
            </w:r>
            <w:r w:rsidR="00396D57" w:rsidRPr="005508A4">
              <w:rPr>
                <w:rFonts w:ascii="Calibri" w:hAnsi="Calibri" w:cs="Calibri"/>
                <w:sz w:val="18"/>
                <w:szCs w:val="18"/>
              </w:rPr>
              <w:t>: S 46%/NS 54%</w:t>
            </w:r>
          </w:p>
          <w:p w14:paraId="6CF63675" w14:textId="77777777" w:rsidR="00BA1E42" w:rsidRPr="005508A4" w:rsidRDefault="00BA1E42" w:rsidP="00BA1E42">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CPC 1-2 (good): 15 (31%)</w:t>
            </w:r>
          </w:p>
          <w:p w14:paraId="3C9427E8" w14:textId="77777777" w:rsidR="00BA1E42" w:rsidRPr="005508A4" w:rsidRDefault="00BA1E42" w:rsidP="00BA1E42">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CPC 3-4 (poor): 8 (15%)</w:t>
            </w:r>
          </w:p>
          <w:p w14:paraId="1ACBBD6F" w14:textId="77777777" w:rsidR="00BA1E42" w:rsidRPr="005508A4" w:rsidRDefault="00BA1E42" w:rsidP="00BA1E42">
            <w:pPr>
              <w:pStyle w:val="Paragrafoelenco"/>
              <w:numPr>
                <w:ilvl w:val="0"/>
                <w:numId w:val="3"/>
              </w:numPr>
              <w:tabs>
                <w:tab w:val="left" w:pos="119"/>
              </w:tabs>
              <w:ind w:left="119" w:hanging="119"/>
              <w:rPr>
                <w:rFonts w:ascii="Calibri" w:hAnsi="Calibri" w:cs="Calibri"/>
                <w:sz w:val="18"/>
                <w:szCs w:val="18"/>
              </w:rPr>
            </w:pPr>
            <w:r w:rsidRPr="005508A4">
              <w:rPr>
                <w:rFonts w:ascii="Calibri" w:hAnsi="Calibri" w:cs="Calibri"/>
                <w:sz w:val="18"/>
                <w:szCs w:val="18"/>
              </w:rPr>
              <w:t>CPC 5 (death): 26 (54%)</w:t>
            </w:r>
          </w:p>
        </w:tc>
        <w:tc>
          <w:tcPr>
            <w:tcW w:w="992" w:type="dxa"/>
            <w:tcBorders>
              <w:tr2bl w:val="nil"/>
            </w:tcBorders>
            <w:shd w:val="clear" w:color="auto" w:fill="F2F2F2" w:themeFill="background1" w:themeFillShade="F2"/>
            <w:vAlign w:val="center"/>
          </w:tcPr>
          <w:p w14:paraId="152F101D" w14:textId="77777777" w:rsidR="00F73FEE" w:rsidRPr="005508A4" w:rsidRDefault="00F73FEE" w:rsidP="00F73FEE">
            <w:pPr>
              <w:jc w:val="center"/>
              <w:rPr>
                <w:rFonts w:ascii="Calibri" w:hAnsi="Calibri" w:cs="Calibri"/>
                <w:b/>
                <w:i/>
                <w:sz w:val="18"/>
                <w:szCs w:val="18"/>
              </w:rPr>
            </w:pPr>
          </w:p>
        </w:tc>
        <w:tc>
          <w:tcPr>
            <w:tcW w:w="1134" w:type="dxa"/>
            <w:tcBorders>
              <w:tr2bl w:val="nil"/>
            </w:tcBorders>
            <w:shd w:val="clear" w:color="auto" w:fill="F2F2F2" w:themeFill="background1" w:themeFillShade="F2"/>
            <w:vAlign w:val="center"/>
          </w:tcPr>
          <w:p w14:paraId="4989D245" w14:textId="77777777" w:rsidR="00F73FEE" w:rsidRPr="005508A4" w:rsidRDefault="00F73FEE" w:rsidP="00F73FEE">
            <w:pPr>
              <w:jc w:val="center"/>
              <w:rPr>
                <w:rFonts w:ascii="Calibri" w:hAnsi="Calibri" w:cs="Calibri"/>
                <w:b/>
                <w:i/>
                <w:sz w:val="18"/>
                <w:szCs w:val="18"/>
              </w:rPr>
            </w:pPr>
            <w:r w:rsidRPr="005508A4">
              <w:rPr>
                <w:rFonts w:ascii="Calibri" w:hAnsi="Calibri" w:cs="Calibri"/>
                <w:b/>
                <w:i/>
                <w:sz w:val="18"/>
                <w:szCs w:val="18"/>
              </w:rPr>
              <w:t>Survivors</w:t>
            </w:r>
          </w:p>
        </w:tc>
        <w:tc>
          <w:tcPr>
            <w:tcW w:w="1276" w:type="dxa"/>
            <w:tcBorders>
              <w:tr2bl w:val="nil"/>
            </w:tcBorders>
            <w:shd w:val="clear" w:color="auto" w:fill="F2F2F2" w:themeFill="background1" w:themeFillShade="F2"/>
            <w:vAlign w:val="center"/>
          </w:tcPr>
          <w:p w14:paraId="47548193" w14:textId="77777777" w:rsidR="00F73FEE" w:rsidRPr="005508A4" w:rsidRDefault="00F73FEE" w:rsidP="00F73FEE">
            <w:pPr>
              <w:jc w:val="center"/>
              <w:rPr>
                <w:rFonts w:ascii="Calibri" w:hAnsi="Calibri" w:cs="Calibri"/>
                <w:b/>
                <w:i/>
                <w:sz w:val="18"/>
                <w:szCs w:val="18"/>
              </w:rPr>
            </w:pPr>
            <w:r w:rsidRPr="005508A4">
              <w:rPr>
                <w:rFonts w:ascii="Calibri" w:hAnsi="Calibri" w:cs="Calibri"/>
                <w:b/>
                <w:i/>
                <w:sz w:val="18"/>
                <w:szCs w:val="18"/>
              </w:rPr>
              <w:t>Non-survivors</w:t>
            </w:r>
          </w:p>
        </w:tc>
        <w:tc>
          <w:tcPr>
            <w:tcW w:w="851" w:type="dxa"/>
            <w:tcBorders>
              <w:tr2bl w:val="nil"/>
            </w:tcBorders>
            <w:shd w:val="clear" w:color="auto" w:fill="F2F2F2" w:themeFill="background1" w:themeFillShade="F2"/>
            <w:vAlign w:val="center"/>
          </w:tcPr>
          <w:p w14:paraId="0FFBBC72" w14:textId="77777777" w:rsidR="00F73FEE" w:rsidRPr="005508A4" w:rsidRDefault="00F73FEE" w:rsidP="00F73FEE">
            <w:pPr>
              <w:jc w:val="center"/>
              <w:rPr>
                <w:rFonts w:ascii="Calibri" w:hAnsi="Calibri" w:cs="Calibri"/>
                <w:sz w:val="18"/>
                <w:szCs w:val="18"/>
                <w:highlight w:val="yellow"/>
              </w:rPr>
            </w:pPr>
          </w:p>
        </w:tc>
        <w:tc>
          <w:tcPr>
            <w:tcW w:w="850" w:type="dxa"/>
            <w:tcBorders>
              <w:tr2bl w:val="nil"/>
            </w:tcBorders>
            <w:shd w:val="clear" w:color="auto" w:fill="F2F2F2" w:themeFill="background1" w:themeFillShade="F2"/>
            <w:vAlign w:val="center"/>
          </w:tcPr>
          <w:p w14:paraId="4779254D" w14:textId="77777777" w:rsidR="00F73FEE" w:rsidRPr="005508A4" w:rsidRDefault="00F73FEE" w:rsidP="00F73FEE">
            <w:pPr>
              <w:jc w:val="center"/>
              <w:rPr>
                <w:rFonts w:ascii="Calibri" w:hAnsi="Calibri" w:cs="Calibri"/>
                <w:sz w:val="18"/>
                <w:szCs w:val="18"/>
                <w:highlight w:val="yellow"/>
              </w:rPr>
            </w:pPr>
          </w:p>
        </w:tc>
        <w:tc>
          <w:tcPr>
            <w:tcW w:w="567" w:type="dxa"/>
            <w:tcBorders>
              <w:tr2bl w:val="nil"/>
            </w:tcBorders>
            <w:shd w:val="clear" w:color="auto" w:fill="F2F2F2" w:themeFill="background1" w:themeFillShade="F2"/>
            <w:vAlign w:val="center"/>
          </w:tcPr>
          <w:p w14:paraId="0D98C42E" w14:textId="77777777" w:rsidR="00F73FEE" w:rsidRPr="005508A4" w:rsidRDefault="00F73FEE" w:rsidP="00F73FEE">
            <w:pPr>
              <w:jc w:val="center"/>
              <w:rPr>
                <w:rFonts w:ascii="Calibri" w:hAnsi="Calibri" w:cs="Calibri"/>
                <w:sz w:val="18"/>
                <w:szCs w:val="18"/>
                <w:highlight w:val="yellow"/>
              </w:rPr>
            </w:pPr>
          </w:p>
        </w:tc>
        <w:tc>
          <w:tcPr>
            <w:tcW w:w="567" w:type="dxa"/>
            <w:tcBorders>
              <w:tr2bl w:val="nil"/>
            </w:tcBorders>
            <w:shd w:val="clear" w:color="auto" w:fill="F2F2F2" w:themeFill="background1" w:themeFillShade="F2"/>
            <w:vAlign w:val="center"/>
          </w:tcPr>
          <w:p w14:paraId="38AADDF2" w14:textId="77777777" w:rsidR="00F73FEE" w:rsidRPr="005508A4" w:rsidRDefault="00F73FEE" w:rsidP="00F73FEE">
            <w:pPr>
              <w:jc w:val="center"/>
              <w:rPr>
                <w:rFonts w:ascii="Calibri" w:hAnsi="Calibri" w:cs="Calibri"/>
                <w:sz w:val="18"/>
                <w:szCs w:val="18"/>
                <w:highlight w:val="yellow"/>
              </w:rPr>
            </w:pPr>
          </w:p>
        </w:tc>
        <w:tc>
          <w:tcPr>
            <w:tcW w:w="851" w:type="dxa"/>
            <w:tcBorders>
              <w:tr2bl w:val="nil"/>
            </w:tcBorders>
            <w:shd w:val="clear" w:color="auto" w:fill="F2F2F2" w:themeFill="background1" w:themeFillShade="F2"/>
            <w:vAlign w:val="center"/>
          </w:tcPr>
          <w:p w14:paraId="0E116076" w14:textId="77777777" w:rsidR="00F73FEE" w:rsidRPr="005508A4" w:rsidRDefault="00F73FEE" w:rsidP="00F73FEE">
            <w:pPr>
              <w:jc w:val="center"/>
              <w:rPr>
                <w:rFonts w:ascii="Calibri" w:hAnsi="Calibri" w:cs="Calibri"/>
                <w:sz w:val="18"/>
                <w:szCs w:val="18"/>
                <w:highlight w:val="yellow"/>
              </w:rPr>
            </w:pPr>
          </w:p>
        </w:tc>
      </w:tr>
      <w:tr w:rsidR="00396D57" w:rsidRPr="005508A4" w14:paraId="3126FCAF" w14:textId="77777777" w:rsidTr="008A22E6">
        <w:trPr>
          <w:trHeight w:val="125"/>
        </w:trPr>
        <w:tc>
          <w:tcPr>
            <w:tcW w:w="1540" w:type="dxa"/>
            <w:vMerge/>
          </w:tcPr>
          <w:p w14:paraId="7A3EF897" w14:textId="77777777" w:rsidR="00BA1E42" w:rsidRPr="005508A4" w:rsidRDefault="00BA1E42" w:rsidP="00B86494">
            <w:pPr>
              <w:rPr>
                <w:rFonts w:ascii="Calibri" w:hAnsi="Calibri" w:cs="Calibri"/>
                <w:sz w:val="18"/>
                <w:szCs w:val="18"/>
              </w:rPr>
            </w:pPr>
          </w:p>
        </w:tc>
        <w:tc>
          <w:tcPr>
            <w:tcW w:w="1721" w:type="dxa"/>
            <w:vMerge/>
          </w:tcPr>
          <w:p w14:paraId="5CD3B456" w14:textId="77777777" w:rsidR="00BA1E42" w:rsidRPr="005508A4" w:rsidRDefault="00BA1E42" w:rsidP="00B86494">
            <w:pPr>
              <w:rPr>
                <w:rFonts w:ascii="Calibri" w:hAnsi="Calibri" w:cs="Calibri"/>
                <w:sz w:val="18"/>
                <w:szCs w:val="18"/>
              </w:rPr>
            </w:pPr>
          </w:p>
        </w:tc>
        <w:tc>
          <w:tcPr>
            <w:tcW w:w="425" w:type="dxa"/>
            <w:vMerge/>
          </w:tcPr>
          <w:p w14:paraId="40BA2E45" w14:textId="77777777" w:rsidR="00BA1E42" w:rsidRPr="005508A4" w:rsidRDefault="00BA1E42" w:rsidP="00BF5F3F">
            <w:pPr>
              <w:jc w:val="center"/>
              <w:rPr>
                <w:rFonts w:ascii="Calibri" w:hAnsi="Calibri" w:cs="Calibri"/>
                <w:sz w:val="18"/>
                <w:szCs w:val="18"/>
              </w:rPr>
            </w:pPr>
          </w:p>
        </w:tc>
        <w:tc>
          <w:tcPr>
            <w:tcW w:w="2268" w:type="dxa"/>
            <w:vMerge/>
          </w:tcPr>
          <w:p w14:paraId="418DDD8A" w14:textId="77777777" w:rsidR="00BA1E42" w:rsidRPr="005508A4" w:rsidRDefault="00BA1E42" w:rsidP="00B86494">
            <w:pPr>
              <w:rPr>
                <w:rFonts w:ascii="Calibri" w:hAnsi="Calibri" w:cs="Calibri"/>
                <w:sz w:val="18"/>
                <w:szCs w:val="18"/>
              </w:rPr>
            </w:pPr>
          </w:p>
        </w:tc>
        <w:tc>
          <w:tcPr>
            <w:tcW w:w="992" w:type="dxa"/>
            <w:vAlign w:val="center"/>
          </w:tcPr>
          <w:p w14:paraId="7A78D41E" w14:textId="77777777" w:rsidR="00BA1E42" w:rsidRPr="005508A4" w:rsidRDefault="008A22E6" w:rsidP="00F73FEE">
            <w:pPr>
              <w:jc w:val="center"/>
              <w:rPr>
                <w:rFonts w:ascii="Calibri" w:hAnsi="Calibri" w:cs="Calibri"/>
                <w:sz w:val="18"/>
                <w:szCs w:val="18"/>
              </w:rPr>
            </w:pPr>
            <w:proofErr w:type="spellStart"/>
            <w:r>
              <w:rPr>
                <w:rFonts w:ascii="Calibri" w:hAnsi="Calibri" w:cs="Calibri"/>
                <w:sz w:val="18"/>
                <w:szCs w:val="18"/>
              </w:rPr>
              <w:t>Adm</w:t>
            </w:r>
            <w:proofErr w:type="spellEnd"/>
            <w:r w:rsidR="00517702">
              <w:rPr>
                <w:rFonts w:ascii="Calibri" w:hAnsi="Calibri" w:cs="Calibri"/>
                <w:sz w:val="18"/>
                <w:szCs w:val="18"/>
              </w:rPr>
              <w:t xml:space="preserve"> (49)</w:t>
            </w:r>
          </w:p>
        </w:tc>
        <w:tc>
          <w:tcPr>
            <w:tcW w:w="1134" w:type="dxa"/>
            <w:shd w:val="clear" w:color="auto" w:fill="C5E0B3" w:themeFill="accent6" w:themeFillTint="66"/>
            <w:vAlign w:val="center"/>
          </w:tcPr>
          <w:p w14:paraId="086E6CB3"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5.36 (± .43)</w:t>
            </w:r>
          </w:p>
        </w:tc>
        <w:tc>
          <w:tcPr>
            <w:tcW w:w="1276" w:type="dxa"/>
            <w:shd w:val="clear" w:color="auto" w:fill="FBE4D5" w:themeFill="accent2" w:themeFillTint="33"/>
            <w:vAlign w:val="center"/>
          </w:tcPr>
          <w:p w14:paraId="0F4CD4CA"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5.88 (± .44)</w:t>
            </w:r>
          </w:p>
        </w:tc>
        <w:tc>
          <w:tcPr>
            <w:tcW w:w="851" w:type="dxa"/>
            <w:vAlign w:val="center"/>
          </w:tcPr>
          <w:p w14:paraId="118C00FC"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&lt; .001</w:t>
            </w:r>
          </w:p>
        </w:tc>
        <w:tc>
          <w:tcPr>
            <w:tcW w:w="850" w:type="dxa"/>
            <w:vMerge w:val="restart"/>
            <w:vAlign w:val="center"/>
          </w:tcPr>
          <w:p w14:paraId="430E6E7B"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5.75</w:t>
            </w:r>
          </w:p>
        </w:tc>
        <w:tc>
          <w:tcPr>
            <w:tcW w:w="567" w:type="dxa"/>
            <w:vMerge w:val="restart"/>
            <w:vAlign w:val="center"/>
          </w:tcPr>
          <w:p w14:paraId="1BB14199"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60</w:t>
            </w:r>
          </w:p>
        </w:tc>
        <w:tc>
          <w:tcPr>
            <w:tcW w:w="567" w:type="dxa"/>
            <w:vMerge w:val="restart"/>
            <w:vAlign w:val="center"/>
          </w:tcPr>
          <w:p w14:paraId="7A2E470C"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100</w:t>
            </w:r>
          </w:p>
        </w:tc>
        <w:tc>
          <w:tcPr>
            <w:tcW w:w="851" w:type="dxa"/>
            <w:vMerge w:val="restart"/>
            <w:vAlign w:val="center"/>
          </w:tcPr>
          <w:p w14:paraId="5C68879A" w14:textId="77777777" w:rsidR="00BA1E42" w:rsidRPr="005508A4" w:rsidRDefault="000C29F6" w:rsidP="00F73FEE">
            <w:pPr>
              <w:jc w:val="center"/>
              <w:rPr>
                <w:rFonts w:ascii="Calibri" w:hAnsi="Calibri" w:cs="Calibri"/>
                <w:sz w:val="18"/>
                <w:szCs w:val="18"/>
              </w:rPr>
            </w:pPr>
            <w:r w:rsidRPr="005508A4">
              <w:rPr>
                <w:rFonts w:ascii="Calibri" w:hAnsi="Calibri" w:cs="Calibri"/>
                <w:sz w:val="18"/>
                <w:szCs w:val="18"/>
              </w:rPr>
              <w:t>NR</w:t>
            </w:r>
          </w:p>
        </w:tc>
      </w:tr>
      <w:tr w:rsidR="00396D57" w:rsidRPr="005508A4" w14:paraId="1C617E3E" w14:textId="77777777" w:rsidTr="008A22E6">
        <w:trPr>
          <w:trHeight w:val="159"/>
        </w:trPr>
        <w:tc>
          <w:tcPr>
            <w:tcW w:w="1540" w:type="dxa"/>
            <w:vMerge/>
          </w:tcPr>
          <w:p w14:paraId="3FB881F7" w14:textId="77777777" w:rsidR="00BA1E42" w:rsidRPr="005508A4" w:rsidRDefault="00BA1E42" w:rsidP="00B86494">
            <w:pPr>
              <w:rPr>
                <w:rFonts w:ascii="Calibri" w:hAnsi="Calibri" w:cs="Calibri"/>
                <w:sz w:val="18"/>
                <w:szCs w:val="18"/>
              </w:rPr>
            </w:pPr>
          </w:p>
        </w:tc>
        <w:tc>
          <w:tcPr>
            <w:tcW w:w="1721" w:type="dxa"/>
            <w:vMerge/>
          </w:tcPr>
          <w:p w14:paraId="245ECA02" w14:textId="77777777" w:rsidR="00BA1E42" w:rsidRPr="005508A4" w:rsidRDefault="00BA1E42" w:rsidP="00B86494">
            <w:pPr>
              <w:rPr>
                <w:rFonts w:ascii="Calibri" w:hAnsi="Calibri" w:cs="Calibri"/>
                <w:sz w:val="18"/>
                <w:szCs w:val="18"/>
              </w:rPr>
            </w:pPr>
          </w:p>
        </w:tc>
        <w:tc>
          <w:tcPr>
            <w:tcW w:w="425" w:type="dxa"/>
            <w:vMerge/>
          </w:tcPr>
          <w:p w14:paraId="63786A11" w14:textId="77777777" w:rsidR="00BA1E42" w:rsidRPr="005508A4" w:rsidRDefault="00BA1E42" w:rsidP="00BF5F3F">
            <w:pPr>
              <w:jc w:val="center"/>
              <w:rPr>
                <w:rFonts w:ascii="Calibri" w:hAnsi="Calibri" w:cs="Calibri"/>
                <w:sz w:val="18"/>
                <w:szCs w:val="18"/>
              </w:rPr>
            </w:pPr>
          </w:p>
        </w:tc>
        <w:tc>
          <w:tcPr>
            <w:tcW w:w="2268" w:type="dxa"/>
            <w:vMerge/>
          </w:tcPr>
          <w:p w14:paraId="1D8A08FC" w14:textId="77777777" w:rsidR="00BA1E42" w:rsidRPr="005508A4" w:rsidRDefault="00BA1E42" w:rsidP="00B86494">
            <w:pPr>
              <w:rPr>
                <w:rFonts w:ascii="Calibri" w:hAnsi="Calibri" w:cs="Calibri"/>
                <w:sz w:val="18"/>
                <w:szCs w:val="18"/>
              </w:rPr>
            </w:pPr>
          </w:p>
        </w:tc>
        <w:tc>
          <w:tcPr>
            <w:tcW w:w="992" w:type="dxa"/>
            <w:vAlign w:val="center"/>
          </w:tcPr>
          <w:p w14:paraId="53877A39"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d1B</w:t>
            </w:r>
            <w:r w:rsidR="00517702">
              <w:rPr>
                <w:rFonts w:ascii="Calibri" w:hAnsi="Calibri" w:cs="Calibri"/>
                <w:sz w:val="18"/>
                <w:szCs w:val="18"/>
              </w:rPr>
              <w:t xml:space="preserve"> (28)</w:t>
            </w:r>
          </w:p>
        </w:tc>
        <w:tc>
          <w:tcPr>
            <w:tcW w:w="1134" w:type="dxa"/>
            <w:shd w:val="clear" w:color="auto" w:fill="C5E0B3" w:themeFill="accent6" w:themeFillTint="66"/>
            <w:vAlign w:val="center"/>
          </w:tcPr>
          <w:p w14:paraId="0F68ABE9"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5.54 (± .31)</w:t>
            </w:r>
          </w:p>
        </w:tc>
        <w:tc>
          <w:tcPr>
            <w:tcW w:w="1276" w:type="dxa"/>
            <w:shd w:val="clear" w:color="auto" w:fill="FBE4D5" w:themeFill="accent2" w:themeFillTint="33"/>
            <w:vAlign w:val="center"/>
          </w:tcPr>
          <w:p w14:paraId="3D97BCE5"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5.88 (± .39)</w:t>
            </w:r>
          </w:p>
        </w:tc>
        <w:tc>
          <w:tcPr>
            <w:tcW w:w="851" w:type="dxa"/>
            <w:vAlign w:val="center"/>
          </w:tcPr>
          <w:p w14:paraId="01368053" w14:textId="77777777" w:rsidR="00BA1E42" w:rsidRPr="005508A4" w:rsidRDefault="00BA1E42" w:rsidP="00F73FEE">
            <w:pPr>
              <w:jc w:val="center"/>
              <w:rPr>
                <w:rFonts w:ascii="Calibri" w:hAnsi="Calibri" w:cs="Calibri"/>
                <w:sz w:val="18"/>
                <w:szCs w:val="18"/>
              </w:rPr>
            </w:pPr>
            <w:r w:rsidRPr="005508A4">
              <w:rPr>
                <w:rFonts w:ascii="Calibri" w:hAnsi="Calibri" w:cs="Calibri"/>
                <w:sz w:val="18"/>
                <w:szCs w:val="18"/>
              </w:rPr>
              <w:t>.021</w:t>
            </w:r>
          </w:p>
        </w:tc>
        <w:tc>
          <w:tcPr>
            <w:tcW w:w="850" w:type="dxa"/>
            <w:vMerge/>
            <w:vAlign w:val="center"/>
          </w:tcPr>
          <w:p w14:paraId="22E5AF8B" w14:textId="77777777" w:rsidR="00BA1E42" w:rsidRPr="005508A4" w:rsidRDefault="00BA1E42" w:rsidP="00F73FEE">
            <w:pPr>
              <w:jc w:val="center"/>
              <w:rPr>
                <w:rFonts w:ascii="Calibri" w:hAnsi="Calibri" w:cs="Calibri"/>
                <w:sz w:val="18"/>
                <w:szCs w:val="18"/>
              </w:rPr>
            </w:pPr>
          </w:p>
        </w:tc>
        <w:tc>
          <w:tcPr>
            <w:tcW w:w="567" w:type="dxa"/>
            <w:vMerge/>
            <w:vAlign w:val="center"/>
          </w:tcPr>
          <w:p w14:paraId="608C3499" w14:textId="77777777" w:rsidR="00BA1E42" w:rsidRPr="005508A4" w:rsidRDefault="00BA1E42" w:rsidP="00F73FEE">
            <w:pPr>
              <w:jc w:val="center"/>
              <w:rPr>
                <w:rFonts w:ascii="Calibri" w:hAnsi="Calibri" w:cs="Calibri"/>
                <w:sz w:val="18"/>
                <w:szCs w:val="18"/>
              </w:rPr>
            </w:pPr>
          </w:p>
        </w:tc>
        <w:tc>
          <w:tcPr>
            <w:tcW w:w="567" w:type="dxa"/>
            <w:vMerge/>
            <w:vAlign w:val="center"/>
          </w:tcPr>
          <w:p w14:paraId="7DCAB366" w14:textId="77777777" w:rsidR="00BA1E42" w:rsidRPr="005508A4" w:rsidRDefault="00BA1E42" w:rsidP="00F73FEE">
            <w:pPr>
              <w:jc w:val="center"/>
              <w:rPr>
                <w:rFonts w:ascii="Calibri" w:hAnsi="Calibri" w:cs="Calibri"/>
                <w:sz w:val="18"/>
                <w:szCs w:val="18"/>
              </w:rPr>
            </w:pPr>
          </w:p>
        </w:tc>
        <w:tc>
          <w:tcPr>
            <w:tcW w:w="851" w:type="dxa"/>
            <w:vMerge/>
            <w:vAlign w:val="center"/>
          </w:tcPr>
          <w:p w14:paraId="64514218" w14:textId="77777777" w:rsidR="00BA1E42" w:rsidRPr="005508A4" w:rsidRDefault="00BA1E42" w:rsidP="00F73FEE">
            <w:pPr>
              <w:jc w:val="center"/>
              <w:rPr>
                <w:rFonts w:ascii="Calibri" w:hAnsi="Calibri" w:cs="Calibri"/>
                <w:sz w:val="18"/>
                <w:szCs w:val="18"/>
              </w:rPr>
            </w:pPr>
          </w:p>
        </w:tc>
      </w:tr>
      <w:tr w:rsidR="008A22E6" w:rsidRPr="005508A4" w14:paraId="57B2EC4B" w14:textId="77777777" w:rsidTr="008A22E6">
        <w:trPr>
          <w:trHeight w:val="159"/>
        </w:trPr>
        <w:tc>
          <w:tcPr>
            <w:tcW w:w="1540" w:type="dxa"/>
            <w:vMerge/>
          </w:tcPr>
          <w:p w14:paraId="6334DD19" w14:textId="77777777" w:rsidR="00F73FEE" w:rsidRPr="005508A4" w:rsidRDefault="00F73FEE" w:rsidP="00B86494">
            <w:pPr>
              <w:rPr>
                <w:rFonts w:ascii="Calibri" w:hAnsi="Calibri" w:cs="Calibri"/>
                <w:sz w:val="18"/>
                <w:szCs w:val="18"/>
              </w:rPr>
            </w:pPr>
          </w:p>
        </w:tc>
        <w:tc>
          <w:tcPr>
            <w:tcW w:w="1721" w:type="dxa"/>
            <w:vMerge/>
          </w:tcPr>
          <w:p w14:paraId="7E12FA58" w14:textId="77777777" w:rsidR="00F73FEE" w:rsidRPr="005508A4" w:rsidRDefault="00F73FEE" w:rsidP="00B86494">
            <w:pPr>
              <w:rPr>
                <w:rFonts w:ascii="Calibri" w:hAnsi="Calibri" w:cs="Calibri"/>
                <w:sz w:val="18"/>
                <w:szCs w:val="18"/>
              </w:rPr>
            </w:pPr>
          </w:p>
        </w:tc>
        <w:tc>
          <w:tcPr>
            <w:tcW w:w="425" w:type="dxa"/>
            <w:vMerge/>
          </w:tcPr>
          <w:p w14:paraId="391B023F" w14:textId="77777777" w:rsidR="00F73FEE" w:rsidRPr="005508A4" w:rsidRDefault="00F73FEE" w:rsidP="00BF5F3F">
            <w:pPr>
              <w:jc w:val="center"/>
              <w:rPr>
                <w:rFonts w:ascii="Calibri" w:hAnsi="Calibri" w:cs="Calibri"/>
                <w:sz w:val="18"/>
                <w:szCs w:val="18"/>
              </w:rPr>
            </w:pPr>
          </w:p>
        </w:tc>
        <w:tc>
          <w:tcPr>
            <w:tcW w:w="2268" w:type="dxa"/>
            <w:vMerge/>
          </w:tcPr>
          <w:p w14:paraId="5C320387" w14:textId="77777777" w:rsidR="00F73FEE" w:rsidRPr="005508A4" w:rsidRDefault="00F73FEE" w:rsidP="00B86494">
            <w:pPr>
              <w:rPr>
                <w:rFonts w:ascii="Calibri" w:hAnsi="Calibri" w:cs="Calibri"/>
                <w:sz w:val="18"/>
                <w:szCs w:val="18"/>
              </w:rPr>
            </w:pPr>
          </w:p>
        </w:tc>
        <w:tc>
          <w:tcPr>
            <w:tcW w:w="992" w:type="dxa"/>
            <w:vAlign w:val="center"/>
          </w:tcPr>
          <w:p w14:paraId="05BE2751"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d2</w:t>
            </w:r>
            <w:r w:rsidR="00517702">
              <w:rPr>
                <w:rFonts w:ascii="Calibri" w:hAnsi="Calibri" w:cs="Calibri"/>
                <w:sz w:val="18"/>
                <w:szCs w:val="18"/>
              </w:rPr>
              <w:t xml:space="preserve"> (37)</w:t>
            </w:r>
          </w:p>
        </w:tc>
        <w:tc>
          <w:tcPr>
            <w:tcW w:w="1134" w:type="dxa"/>
            <w:shd w:val="clear" w:color="auto" w:fill="C5E0B3" w:themeFill="accent6" w:themeFillTint="66"/>
            <w:vAlign w:val="center"/>
          </w:tcPr>
          <w:p w14:paraId="6AF6F6A9"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5.56 (± .60)</w:t>
            </w:r>
          </w:p>
        </w:tc>
        <w:tc>
          <w:tcPr>
            <w:tcW w:w="1276" w:type="dxa"/>
            <w:shd w:val="clear" w:color="auto" w:fill="FBE4D5" w:themeFill="accent2" w:themeFillTint="33"/>
            <w:vAlign w:val="center"/>
          </w:tcPr>
          <w:p w14:paraId="1F619FFE"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6.01 (± .39)</w:t>
            </w:r>
          </w:p>
        </w:tc>
        <w:tc>
          <w:tcPr>
            <w:tcW w:w="851" w:type="dxa"/>
            <w:vAlign w:val="center"/>
          </w:tcPr>
          <w:p w14:paraId="7F438AA4" w14:textId="77777777" w:rsidR="00F73FEE" w:rsidRPr="005508A4" w:rsidRDefault="004451C0" w:rsidP="00F73FEE">
            <w:pPr>
              <w:jc w:val="center"/>
              <w:rPr>
                <w:rFonts w:ascii="Calibri" w:hAnsi="Calibri" w:cs="Calibri"/>
                <w:sz w:val="18"/>
                <w:szCs w:val="18"/>
              </w:rPr>
            </w:pPr>
            <w:r w:rsidRPr="005508A4">
              <w:rPr>
                <w:rFonts w:ascii="Calibri" w:hAnsi="Calibri" w:cs="Calibri"/>
                <w:sz w:val="18"/>
                <w:szCs w:val="18"/>
              </w:rPr>
              <w:t>.011</w:t>
            </w:r>
          </w:p>
        </w:tc>
        <w:tc>
          <w:tcPr>
            <w:tcW w:w="850" w:type="dxa"/>
            <w:vAlign w:val="center"/>
          </w:tcPr>
          <w:p w14:paraId="5D2ABEB2"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4BE29C16"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4F8AE7A2"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c>
          <w:tcPr>
            <w:tcW w:w="851" w:type="dxa"/>
            <w:vAlign w:val="center"/>
          </w:tcPr>
          <w:p w14:paraId="1EE5246B"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r>
      <w:tr w:rsidR="008A22E6" w:rsidRPr="005508A4" w14:paraId="0639CEB8" w14:textId="77777777" w:rsidTr="008A22E6">
        <w:trPr>
          <w:trHeight w:val="159"/>
        </w:trPr>
        <w:tc>
          <w:tcPr>
            <w:tcW w:w="1540" w:type="dxa"/>
            <w:vMerge/>
          </w:tcPr>
          <w:p w14:paraId="061FE7C5" w14:textId="77777777" w:rsidR="00F73FEE" w:rsidRPr="005508A4" w:rsidRDefault="00F73FEE" w:rsidP="00B86494">
            <w:pPr>
              <w:rPr>
                <w:rFonts w:ascii="Calibri" w:hAnsi="Calibri" w:cs="Calibri"/>
                <w:sz w:val="18"/>
                <w:szCs w:val="18"/>
              </w:rPr>
            </w:pPr>
          </w:p>
        </w:tc>
        <w:tc>
          <w:tcPr>
            <w:tcW w:w="1721" w:type="dxa"/>
            <w:vMerge/>
          </w:tcPr>
          <w:p w14:paraId="110B20F9" w14:textId="77777777" w:rsidR="00F73FEE" w:rsidRPr="005508A4" w:rsidRDefault="00F73FEE" w:rsidP="00B86494">
            <w:pPr>
              <w:rPr>
                <w:rFonts w:ascii="Calibri" w:hAnsi="Calibri" w:cs="Calibri"/>
                <w:sz w:val="18"/>
                <w:szCs w:val="18"/>
              </w:rPr>
            </w:pPr>
          </w:p>
        </w:tc>
        <w:tc>
          <w:tcPr>
            <w:tcW w:w="425" w:type="dxa"/>
            <w:vMerge/>
          </w:tcPr>
          <w:p w14:paraId="72FCB0F8" w14:textId="77777777" w:rsidR="00F73FEE" w:rsidRPr="005508A4" w:rsidRDefault="00F73FEE" w:rsidP="00BF5F3F">
            <w:pPr>
              <w:jc w:val="center"/>
              <w:rPr>
                <w:rFonts w:ascii="Calibri" w:hAnsi="Calibri" w:cs="Calibri"/>
                <w:sz w:val="18"/>
                <w:szCs w:val="18"/>
              </w:rPr>
            </w:pPr>
          </w:p>
        </w:tc>
        <w:tc>
          <w:tcPr>
            <w:tcW w:w="2268" w:type="dxa"/>
            <w:vMerge/>
          </w:tcPr>
          <w:p w14:paraId="631E02FE" w14:textId="77777777" w:rsidR="00F73FEE" w:rsidRPr="005508A4" w:rsidRDefault="00F73FEE" w:rsidP="00B86494">
            <w:pPr>
              <w:rPr>
                <w:rFonts w:ascii="Calibri" w:hAnsi="Calibri" w:cs="Calibri"/>
                <w:sz w:val="18"/>
                <w:szCs w:val="18"/>
              </w:rPr>
            </w:pPr>
          </w:p>
        </w:tc>
        <w:tc>
          <w:tcPr>
            <w:tcW w:w="992" w:type="dxa"/>
            <w:vAlign w:val="center"/>
          </w:tcPr>
          <w:p w14:paraId="1165AF81"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d3</w:t>
            </w:r>
            <w:r w:rsidR="00517702">
              <w:rPr>
                <w:rFonts w:ascii="Calibri" w:hAnsi="Calibri" w:cs="Calibri"/>
                <w:sz w:val="18"/>
                <w:szCs w:val="18"/>
              </w:rPr>
              <w:t xml:space="preserve"> (32)</w:t>
            </w:r>
          </w:p>
        </w:tc>
        <w:tc>
          <w:tcPr>
            <w:tcW w:w="1134" w:type="dxa"/>
            <w:shd w:val="clear" w:color="auto" w:fill="C5E0B3" w:themeFill="accent6" w:themeFillTint="66"/>
            <w:vAlign w:val="center"/>
          </w:tcPr>
          <w:p w14:paraId="050AAA8E"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5.63 (± .58)</w:t>
            </w:r>
          </w:p>
        </w:tc>
        <w:tc>
          <w:tcPr>
            <w:tcW w:w="1276" w:type="dxa"/>
            <w:shd w:val="clear" w:color="auto" w:fill="FBE4D5" w:themeFill="accent2" w:themeFillTint="33"/>
            <w:vAlign w:val="center"/>
          </w:tcPr>
          <w:p w14:paraId="053DB007"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6.00 (± 0.37)</w:t>
            </w:r>
          </w:p>
        </w:tc>
        <w:tc>
          <w:tcPr>
            <w:tcW w:w="851" w:type="dxa"/>
            <w:vAlign w:val="center"/>
          </w:tcPr>
          <w:p w14:paraId="2A96B6FD" w14:textId="77777777" w:rsidR="00F73FEE" w:rsidRPr="005508A4" w:rsidRDefault="004451C0" w:rsidP="00F73FEE">
            <w:pPr>
              <w:jc w:val="center"/>
              <w:rPr>
                <w:rFonts w:ascii="Calibri" w:hAnsi="Calibri" w:cs="Calibri"/>
                <w:sz w:val="18"/>
                <w:szCs w:val="18"/>
              </w:rPr>
            </w:pPr>
            <w:r w:rsidRPr="005508A4">
              <w:rPr>
                <w:rFonts w:ascii="Calibri" w:hAnsi="Calibri" w:cs="Calibri"/>
                <w:sz w:val="18"/>
                <w:szCs w:val="18"/>
              </w:rPr>
              <w:t>.047</w:t>
            </w:r>
          </w:p>
        </w:tc>
        <w:tc>
          <w:tcPr>
            <w:tcW w:w="850" w:type="dxa"/>
            <w:vAlign w:val="center"/>
          </w:tcPr>
          <w:p w14:paraId="72F6D575"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0267E9A3"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677AB6B4"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c>
          <w:tcPr>
            <w:tcW w:w="851" w:type="dxa"/>
            <w:vAlign w:val="center"/>
          </w:tcPr>
          <w:p w14:paraId="69C002D7" w14:textId="77777777" w:rsidR="00F73FEE" w:rsidRPr="005508A4" w:rsidRDefault="00BA1E42" w:rsidP="00F73FEE">
            <w:pPr>
              <w:jc w:val="center"/>
              <w:rPr>
                <w:rFonts w:ascii="Calibri" w:hAnsi="Calibri" w:cs="Calibri"/>
                <w:sz w:val="18"/>
                <w:szCs w:val="18"/>
              </w:rPr>
            </w:pPr>
            <w:r w:rsidRPr="005508A4">
              <w:rPr>
                <w:rFonts w:ascii="Calibri" w:hAnsi="Calibri" w:cs="Calibri"/>
                <w:sz w:val="18"/>
                <w:szCs w:val="18"/>
              </w:rPr>
              <w:t>-</w:t>
            </w:r>
          </w:p>
        </w:tc>
      </w:tr>
      <w:tr w:rsidR="008A22E6" w:rsidRPr="005508A4" w14:paraId="431C9E0A" w14:textId="77777777" w:rsidTr="008A22E6">
        <w:trPr>
          <w:trHeight w:val="212"/>
        </w:trPr>
        <w:tc>
          <w:tcPr>
            <w:tcW w:w="1540" w:type="dxa"/>
            <w:vMerge w:val="restart"/>
          </w:tcPr>
          <w:p w14:paraId="72BC2FCC" w14:textId="0BF24B3F" w:rsidR="00F73FEE" w:rsidRPr="005508A4" w:rsidRDefault="00F73FEE" w:rsidP="00670A28">
            <w:pPr>
              <w:rPr>
                <w:rFonts w:ascii="Calibri" w:hAnsi="Calibri" w:cs="Calibri"/>
                <w:sz w:val="18"/>
                <w:szCs w:val="18"/>
              </w:rPr>
            </w:pPr>
            <w:r w:rsidRPr="005508A4">
              <w:rPr>
                <w:rFonts w:ascii="Calibri" w:hAnsi="Calibri" w:cs="Calibri"/>
                <w:sz w:val="18"/>
                <w:szCs w:val="18"/>
              </w:rPr>
              <w:t xml:space="preserve">Chelly J et al., 2016 </w:t>
            </w:r>
            <w:r w:rsidR="00670A28">
              <w:rPr>
                <w:rFonts w:ascii="Calibri" w:hAnsi="Calibri" w:cs="Calibri"/>
                <w:sz w:val="18"/>
                <w:szCs w:val="18"/>
              </w:rPr>
              <w:fldChar w:fldCharType="begin" w:fldLock="1"/>
            </w:r>
            <w:r w:rsidR="00670A28">
              <w:rPr>
                <w:rFonts w:ascii="Calibri" w:hAnsi="Calibri" w:cs="Calibri"/>
                <w:sz w:val="18"/>
                <w:szCs w:val="18"/>
              </w:rPr>
              <w:instrText>ADDIN CSL_CITATION {"citationItems":[{"id":"ITEM-1","itemData":{"DOI":"10.1016/j.resuscitation.2016.03.006","ISBN":"0300-9572","ISSN":"18731570","PMID":"26995663","abstract":"Introduction: Optic nerve sheath diameter (ONSD) measurement could detect increased intracranial pressure, and might predict outcome in post-cardiac arrest (CA) patients. We assessed the ability of bedside ONSD ultrasonographic measurement performed within day 1 after CA occurrence to predict in-hospital survival in patients treated with therapeutic hypothermia (TH). Methods: In two French ICUs, a prospective study included all consecutive patients with CA without traumatic or neurological etiology, successfully resuscitated and TH-treated. ONSD measurements were performed on day 1, 2, and 3 (ONSD1, 2, 3respectively) after return of spontaneous circulation. All records were registered according to Utstein style. Results: ONSD1, 2, 3were assessed in 36, 21, and 14 patients respectively. 19/36 patients (53%) were discharged alive from hospital, including 14/36 (39%) with favorable neurological outcome (Cerebral Performance Category [CPC] score 1-2). Survivors and non-survivors were similar regarding age, sex, cardiovascular risk factors, location and etiology of CA, simplified acute physiology score II, occurrence of post-CA shock, and clinical parameters collected during ONSD measurements. Median ONSD1was significantly larger in non-survivors versus survivors (7.2 mm [interquartile: 6.8-7.4] versus 6.5 mm [interquartile: 6.0-6.8]; p = 0.008). After adjustment on predictive factors, ONSD1was significantly associated with in-hospital mortality (OR 6.3; 95%CI [1.05-40] per mm of ONSD1above 5.5 mm; p = 0.03), and CPC score (OR for 1 point increase in CPC score: 3.2; 95%CI [1.2-9.4] per mm of ONSD1above 5.5 mm; p = 0.03). ONSD1was significantly correlated with brain edema assessed by the cerebrum gray matter attenuation to white matter attenuation ratio, measured by the brain computed tomography scan performed on admission in 20 patients (Spearman rho = -0.5, p = 0.04). Conclusions: ONSD seems a promising tool to early assess outcome in post-CA patients treated with TH.","author":[{"dropping-particle":"","family":"Chelly","given":"Jonathan","non-dropping-particle":"","parse-names":false,"suffix":""},{"dropping-particle":"","family":"Deye","given":"Nicolas","non-dropping-particle":"","parse-names":false,"suffix":""},{"dropping-particle":"","family":"Guichard","given":"Jean Pierre","non-dropping-particle":"","parse-names":false,"suffix":""},{"dropping-particle":"","family":"Vodovar","given":"Dominique","non-dropping-particle":"","parse-names":false,"suffix":""},{"dropping-particle":"","family":"Vong","given":"Ly","non-dropping-particle":"","parse-names":false,"suffix":""},{"dropping-particle":"","family":"Jochmans","given":"Sebastien","non-dropping-particle":"","parse-names":false,"suffix":""},{"dropping-particle":"","family":"Thieulot-Rolin","given":"Nathalie","non-dropping-particle":"","parse-names":false,"suffix":""},{"dropping-particle":"","family":"Sy","given":"Oumar","non-dropping-particle":"","parse-names":false,"suffix":""},{"dropping-particle":"","family":"Serbource-Goguel","given":"Jean","non-dropping-particle":"","parse-names":false,"suffix":""},{"dropping-particle":"","family":"Vinsonneau","given":"Christophe","non-dropping-particle":"","parse-names":false,"suffix":""},{"dropping-particle":"","family":"Megarbane","given":"Bruno","non-dropping-particle":"","parse-names":false,"suffix":""},{"dropping-particle":"","family":"Vivien","given":"Benoit","non-dropping-particle":"","parse-names":false,"suffix":""},{"dropping-particle":"","family":"Tazarourte","given":"Karim","non-dropping-particle":"","parse-names":false,"suffix":""},{"dropping-particle":"","family":"Monchi","given":"Merhan","non-dropping-particle":"","parse-names":false,"suffix":""}],"container-title":"Resuscitation","id":"ITEM-1","issued":{"date-parts":[["2016"]]},"page":"7-13","title":"The optic nerve sheath diameter as a useful tool for early prediction of outcome after cardiac arrest: A prospective pilot study","type":"article-journal","volume":"103"},"uris":["http://www.mendeley.com/documents/?uuid=28e517fa-fa81-498d-9977-ee406da3f975"]}],"mendeley":{"formattedCitation":"[4]","plainTextFormattedCitation":"[4]","previouslyFormattedCitation":"[4]"},"properties":{"noteIndex":0},"schema":"https://github.com/citation-style-language/schema/raw/master/csl-citation.json"}</w:instrText>
            </w:r>
            <w:r w:rsidR="00670A28">
              <w:rPr>
                <w:rFonts w:ascii="Calibri" w:hAnsi="Calibri" w:cs="Calibri"/>
                <w:sz w:val="18"/>
                <w:szCs w:val="18"/>
              </w:rPr>
              <w:fldChar w:fldCharType="separate"/>
            </w:r>
            <w:r w:rsidR="00670A28" w:rsidRPr="00670A28">
              <w:rPr>
                <w:rFonts w:ascii="Calibri" w:hAnsi="Calibri" w:cs="Calibri"/>
                <w:noProof/>
                <w:sz w:val="18"/>
                <w:szCs w:val="18"/>
              </w:rPr>
              <w:t>[4]</w:t>
            </w:r>
            <w:r w:rsidR="00670A28">
              <w:rPr>
                <w:rFonts w:ascii="Calibri" w:hAnsi="Calibri" w:cs="Calibri"/>
                <w:sz w:val="18"/>
                <w:szCs w:val="18"/>
              </w:rPr>
              <w:fldChar w:fldCharType="end"/>
            </w:r>
          </w:p>
        </w:tc>
        <w:tc>
          <w:tcPr>
            <w:tcW w:w="1721" w:type="dxa"/>
            <w:vMerge w:val="restart"/>
          </w:tcPr>
          <w:p w14:paraId="3882A5D6" w14:textId="77777777" w:rsidR="00F73FEE" w:rsidRPr="005508A4" w:rsidRDefault="00F73FEE" w:rsidP="00B86494">
            <w:pPr>
              <w:rPr>
                <w:rFonts w:ascii="Calibri" w:hAnsi="Calibri" w:cs="Calibri"/>
                <w:sz w:val="18"/>
                <w:szCs w:val="18"/>
              </w:rPr>
            </w:pPr>
            <w:r w:rsidRPr="005508A4">
              <w:rPr>
                <w:rFonts w:ascii="Calibri" w:hAnsi="Calibri" w:cs="Calibri"/>
                <w:sz w:val="18"/>
                <w:szCs w:val="18"/>
              </w:rPr>
              <w:t>3 measurements (day 1, 2 and 3)</w:t>
            </w:r>
          </w:p>
        </w:tc>
        <w:tc>
          <w:tcPr>
            <w:tcW w:w="425" w:type="dxa"/>
            <w:vMerge w:val="restart"/>
          </w:tcPr>
          <w:p w14:paraId="0720DEFC" w14:textId="77777777" w:rsidR="00F73FEE" w:rsidRPr="005508A4" w:rsidRDefault="00F73FEE" w:rsidP="00BF5F3F">
            <w:pPr>
              <w:jc w:val="center"/>
              <w:rPr>
                <w:rFonts w:ascii="Calibri" w:hAnsi="Calibri" w:cs="Calibri"/>
                <w:sz w:val="18"/>
                <w:szCs w:val="18"/>
              </w:rPr>
            </w:pPr>
            <w:r w:rsidRPr="005508A4">
              <w:rPr>
                <w:rFonts w:ascii="Calibri" w:hAnsi="Calibri" w:cs="Calibri"/>
                <w:sz w:val="18"/>
                <w:szCs w:val="18"/>
              </w:rPr>
              <w:t>36</w:t>
            </w:r>
          </w:p>
        </w:tc>
        <w:tc>
          <w:tcPr>
            <w:tcW w:w="2268" w:type="dxa"/>
            <w:vMerge w:val="restart"/>
          </w:tcPr>
          <w:p w14:paraId="13170DAA" w14:textId="77777777" w:rsidR="00396D57" w:rsidRPr="005508A4" w:rsidRDefault="00F73FEE" w:rsidP="00396D57">
            <w:pPr>
              <w:rPr>
                <w:rFonts w:ascii="Calibri" w:hAnsi="Calibri" w:cs="Calibri"/>
                <w:sz w:val="18"/>
                <w:szCs w:val="18"/>
              </w:rPr>
            </w:pPr>
            <w:r w:rsidRPr="005508A4">
              <w:rPr>
                <w:rFonts w:ascii="Calibri" w:hAnsi="Calibri" w:cs="Calibri"/>
                <w:sz w:val="18"/>
                <w:szCs w:val="18"/>
              </w:rPr>
              <w:t>Survival</w:t>
            </w:r>
            <w:r w:rsidR="00396D57" w:rsidRPr="005508A4">
              <w:rPr>
                <w:rFonts w:ascii="Calibri" w:hAnsi="Calibri" w:cs="Calibri"/>
                <w:sz w:val="18"/>
                <w:szCs w:val="18"/>
              </w:rPr>
              <w:t>: S</w:t>
            </w:r>
            <w:r w:rsidRPr="005508A4">
              <w:rPr>
                <w:rFonts w:ascii="Calibri" w:hAnsi="Calibri" w:cs="Calibri"/>
                <w:sz w:val="18"/>
                <w:szCs w:val="18"/>
              </w:rPr>
              <w:t xml:space="preserve"> 53%</w:t>
            </w:r>
            <w:r w:rsidR="00396D57" w:rsidRPr="005508A4">
              <w:rPr>
                <w:rFonts w:ascii="Calibri" w:hAnsi="Calibri" w:cs="Calibri"/>
                <w:sz w:val="18"/>
                <w:szCs w:val="18"/>
              </w:rPr>
              <w:t>/NS 47%</w:t>
            </w:r>
            <w:r w:rsidRPr="005508A4">
              <w:rPr>
                <w:rFonts w:ascii="Calibri" w:hAnsi="Calibri" w:cs="Calibri"/>
                <w:sz w:val="18"/>
                <w:szCs w:val="18"/>
              </w:rPr>
              <w:t xml:space="preserve"> </w:t>
            </w:r>
          </w:p>
          <w:p w14:paraId="7673FB5C" w14:textId="77777777" w:rsidR="00F73FEE" w:rsidRPr="005508A4" w:rsidRDefault="00F73FEE" w:rsidP="00396D57">
            <w:pPr>
              <w:pStyle w:val="Paragrafoelenco"/>
              <w:ind w:left="119"/>
              <w:rPr>
                <w:rFonts w:ascii="Calibri" w:hAnsi="Calibri" w:cs="Calibri"/>
                <w:sz w:val="18"/>
                <w:szCs w:val="18"/>
              </w:rPr>
            </w:pPr>
            <w:r w:rsidRPr="005508A4">
              <w:rPr>
                <w:rFonts w:ascii="Calibri" w:hAnsi="Calibri" w:cs="Calibri"/>
                <w:sz w:val="18"/>
                <w:szCs w:val="18"/>
              </w:rPr>
              <w:t>CPC 1-2: 14 (39%)</w:t>
            </w:r>
          </w:p>
        </w:tc>
        <w:tc>
          <w:tcPr>
            <w:tcW w:w="992" w:type="dxa"/>
            <w:vAlign w:val="center"/>
          </w:tcPr>
          <w:p w14:paraId="5A7EF8FF"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d1 (36)</w:t>
            </w:r>
          </w:p>
        </w:tc>
        <w:tc>
          <w:tcPr>
            <w:tcW w:w="1134" w:type="dxa"/>
            <w:shd w:val="clear" w:color="auto" w:fill="C5E0B3" w:themeFill="accent6" w:themeFillTint="66"/>
            <w:vAlign w:val="center"/>
          </w:tcPr>
          <w:p w14:paraId="54234326"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6.5 (6.4-7.2)</w:t>
            </w:r>
          </w:p>
        </w:tc>
        <w:tc>
          <w:tcPr>
            <w:tcW w:w="1276" w:type="dxa"/>
            <w:shd w:val="clear" w:color="auto" w:fill="FBE4D5" w:themeFill="accent2" w:themeFillTint="33"/>
            <w:vAlign w:val="center"/>
          </w:tcPr>
          <w:p w14:paraId="67D3F3F3"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7.2 (6.8-7.4)</w:t>
            </w:r>
          </w:p>
        </w:tc>
        <w:tc>
          <w:tcPr>
            <w:tcW w:w="851" w:type="dxa"/>
            <w:vAlign w:val="center"/>
          </w:tcPr>
          <w:p w14:paraId="4942A7BD"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P=</w:t>
            </w:r>
            <w:r w:rsidR="004451C0" w:rsidRPr="005508A4">
              <w:rPr>
                <w:rFonts w:ascii="Calibri" w:hAnsi="Calibri" w:cs="Calibri"/>
                <w:sz w:val="18"/>
                <w:szCs w:val="18"/>
              </w:rPr>
              <w:t xml:space="preserve"> </w:t>
            </w:r>
            <w:r w:rsidRPr="005508A4">
              <w:rPr>
                <w:rFonts w:ascii="Calibri" w:hAnsi="Calibri" w:cs="Calibri"/>
                <w:sz w:val="18"/>
                <w:szCs w:val="18"/>
              </w:rPr>
              <w:t>.008</w:t>
            </w:r>
          </w:p>
        </w:tc>
        <w:tc>
          <w:tcPr>
            <w:tcW w:w="850" w:type="dxa"/>
            <w:vAlign w:val="center"/>
          </w:tcPr>
          <w:p w14:paraId="1D29DE2C"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6.7</w:t>
            </w:r>
          </w:p>
        </w:tc>
        <w:tc>
          <w:tcPr>
            <w:tcW w:w="567" w:type="dxa"/>
            <w:vAlign w:val="center"/>
          </w:tcPr>
          <w:p w14:paraId="6A3CEFA9"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88</w:t>
            </w:r>
          </w:p>
        </w:tc>
        <w:tc>
          <w:tcPr>
            <w:tcW w:w="567" w:type="dxa"/>
            <w:vAlign w:val="center"/>
          </w:tcPr>
          <w:p w14:paraId="3EC310A5"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79</w:t>
            </w:r>
          </w:p>
        </w:tc>
        <w:tc>
          <w:tcPr>
            <w:tcW w:w="851" w:type="dxa"/>
            <w:vAlign w:val="center"/>
          </w:tcPr>
          <w:p w14:paraId="5C625325"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0.91</w:t>
            </w:r>
          </w:p>
        </w:tc>
      </w:tr>
      <w:tr w:rsidR="008A22E6" w:rsidRPr="005508A4" w14:paraId="21313E6E" w14:textId="77777777" w:rsidTr="008A22E6">
        <w:trPr>
          <w:trHeight w:val="211"/>
        </w:trPr>
        <w:tc>
          <w:tcPr>
            <w:tcW w:w="1540" w:type="dxa"/>
            <w:vMerge/>
          </w:tcPr>
          <w:p w14:paraId="3BE7B92E" w14:textId="77777777" w:rsidR="00F73FEE" w:rsidRPr="005508A4" w:rsidRDefault="00F73FEE" w:rsidP="00B86494">
            <w:pPr>
              <w:rPr>
                <w:rFonts w:ascii="Calibri" w:hAnsi="Calibri" w:cs="Calibri"/>
                <w:sz w:val="18"/>
                <w:szCs w:val="18"/>
              </w:rPr>
            </w:pPr>
          </w:p>
        </w:tc>
        <w:tc>
          <w:tcPr>
            <w:tcW w:w="1721" w:type="dxa"/>
            <w:vMerge/>
          </w:tcPr>
          <w:p w14:paraId="43B7E17E" w14:textId="77777777" w:rsidR="00F73FEE" w:rsidRPr="005508A4" w:rsidRDefault="00F73FEE" w:rsidP="00B86494">
            <w:pPr>
              <w:rPr>
                <w:rFonts w:ascii="Calibri" w:hAnsi="Calibri" w:cs="Calibri"/>
                <w:sz w:val="18"/>
                <w:szCs w:val="18"/>
              </w:rPr>
            </w:pPr>
          </w:p>
        </w:tc>
        <w:tc>
          <w:tcPr>
            <w:tcW w:w="425" w:type="dxa"/>
            <w:vMerge/>
          </w:tcPr>
          <w:p w14:paraId="00527911" w14:textId="77777777" w:rsidR="00F73FEE" w:rsidRPr="005508A4" w:rsidRDefault="00F73FEE" w:rsidP="00BF5F3F">
            <w:pPr>
              <w:jc w:val="center"/>
              <w:rPr>
                <w:rFonts w:ascii="Calibri" w:hAnsi="Calibri" w:cs="Calibri"/>
                <w:sz w:val="18"/>
                <w:szCs w:val="18"/>
              </w:rPr>
            </w:pPr>
          </w:p>
        </w:tc>
        <w:tc>
          <w:tcPr>
            <w:tcW w:w="2268" w:type="dxa"/>
            <w:vMerge/>
          </w:tcPr>
          <w:p w14:paraId="76FB2FEE" w14:textId="77777777" w:rsidR="00F73FEE" w:rsidRPr="005508A4" w:rsidRDefault="00F73FEE" w:rsidP="00BF5F3F">
            <w:pPr>
              <w:rPr>
                <w:rFonts w:ascii="Calibri" w:hAnsi="Calibri" w:cs="Calibri"/>
                <w:sz w:val="18"/>
                <w:szCs w:val="18"/>
              </w:rPr>
            </w:pPr>
          </w:p>
        </w:tc>
        <w:tc>
          <w:tcPr>
            <w:tcW w:w="992" w:type="dxa"/>
            <w:vAlign w:val="center"/>
          </w:tcPr>
          <w:p w14:paraId="1D6AA47E"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d2 (21)</w:t>
            </w:r>
          </w:p>
        </w:tc>
        <w:tc>
          <w:tcPr>
            <w:tcW w:w="1134" w:type="dxa"/>
            <w:shd w:val="clear" w:color="auto" w:fill="C5E0B3" w:themeFill="accent6" w:themeFillTint="66"/>
            <w:vAlign w:val="center"/>
          </w:tcPr>
          <w:p w14:paraId="1F352E59"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6.7 (6.2-6.9)</w:t>
            </w:r>
          </w:p>
        </w:tc>
        <w:tc>
          <w:tcPr>
            <w:tcW w:w="1276" w:type="dxa"/>
            <w:shd w:val="clear" w:color="auto" w:fill="FBE4D5" w:themeFill="accent2" w:themeFillTint="33"/>
            <w:vAlign w:val="center"/>
          </w:tcPr>
          <w:p w14:paraId="563FC520"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7.1 (6.9-7.4)</w:t>
            </w:r>
          </w:p>
        </w:tc>
        <w:tc>
          <w:tcPr>
            <w:tcW w:w="851" w:type="dxa"/>
            <w:vAlign w:val="center"/>
          </w:tcPr>
          <w:p w14:paraId="677A50B0"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P=</w:t>
            </w:r>
            <w:r w:rsidR="004451C0" w:rsidRPr="005508A4">
              <w:rPr>
                <w:rFonts w:ascii="Calibri" w:hAnsi="Calibri" w:cs="Calibri"/>
                <w:sz w:val="18"/>
                <w:szCs w:val="18"/>
              </w:rPr>
              <w:t xml:space="preserve"> </w:t>
            </w:r>
            <w:r w:rsidRPr="005508A4">
              <w:rPr>
                <w:rFonts w:ascii="Calibri" w:hAnsi="Calibri" w:cs="Calibri"/>
                <w:sz w:val="18"/>
                <w:szCs w:val="18"/>
              </w:rPr>
              <w:t>.1</w:t>
            </w:r>
          </w:p>
        </w:tc>
        <w:tc>
          <w:tcPr>
            <w:tcW w:w="850" w:type="dxa"/>
            <w:vAlign w:val="center"/>
          </w:tcPr>
          <w:p w14:paraId="5A7657A3"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090CF10B"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5087EAE4"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c>
          <w:tcPr>
            <w:tcW w:w="851" w:type="dxa"/>
            <w:vAlign w:val="center"/>
          </w:tcPr>
          <w:p w14:paraId="094B1A01"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r>
      <w:tr w:rsidR="008A22E6" w:rsidRPr="005508A4" w14:paraId="7B0C6096" w14:textId="77777777" w:rsidTr="008A22E6">
        <w:trPr>
          <w:trHeight w:val="211"/>
        </w:trPr>
        <w:tc>
          <w:tcPr>
            <w:tcW w:w="1540" w:type="dxa"/>
            <w:vMerge/>
          </w:tcPr>
          <w:p w14:paraId="7934BFEC" w14:textId="77777777" w:rsidR="00F73FEE" w:rsidRPr="005508A4" w:rsidRDefault="00F73FEE" w:rsidP="00B86494">
            <w:pPr>
              <w:rPr>
                <w:rFonts w:ascii="Calibri" w:hAnsi="Calibri" w:cs="Calibri"/>
                <w:sz w:val="18"/>
                <w:szCs w:val="18"/>
              </w:rPr>
            </w:pPr>
          </w:p>
        </w:tc>
        <w:tc>
          <w:tcPr>
            <w:tcW w:w="1721" w:type="dxa"/>
            <w:vMerge/>
          </w:tcPr>
          <w:p w14:paraId="77B3C940" w14:textId="77777777" w:rsidR="00F73FEE" w:rsidRPr="005508A4" w:rsidRDefault="00F73FEE" w:rsidP="00B86494">
            <w:pPr>
              <w:rPr>
                <w:rFonts w:ascii="Calibri" w:hAnsi="Calibri" w:cs="Calibri"/>
                <w:sz w:val="18"/>
                <w:szCs w:val="18"/>
              </w:rPr>
            </w:pPr>
          </w:p>
        </w:tc>
        <w:tc>
          <w:tcPr>
            <w:tcW w:w="425" w:type="dxa"/>
            <w:vMerge/>
          </w:tcPr>
          <w:p w14:paraId="473C9AA7" w14:textId="77777777" w:rsidR="00F73FEE" w:rsidRPr="005508A4" w:rsidRDefault="00F73FEE" w:rsidP="00BF5F3F">
            <w:pPr>
              <w:jc w:val="center"/>
              <w:rPr>
                <w:rFonts w:ascii="Calibri" w:hAnsi="Calibri" w:cs="Calibri"/>
                <w:sz w:val="18"/>
                <w:szCs w:val="18"/>
              </w:rPr>
            </w:pPr>
          </w:p>
        </w:tc>
        <w:tc>
          <w:tcPr>
            <w:tcW w:w="2268" w:type="dxa"/>
            <w:vMerge/>
          </w:tcPr>
          <w:p w14:paraId="7B05E2FD" w14:textId="77777777" w:rsidR="00F73FEE" w:rsidRPr="005508A4" w:rsidRDefault="00F73FEE" w:rsidP="00BF5F3F">
            <w:pPr>
              <w:rPr>
                <w:rFonts w:ascii="Calibri" w:hAnsi="Calibri" w:cs="Calibri"/>
                <w:sz w:val="18"/>
                <w:szCs w:val="18"/>
              </w:rPr>
            </w:pPr>
          </w:p>
        </w:tc>
        <w:tc>
          <w:tcPr>
            <w:tcW w:w="992" w:type="dxa"/>
            <w:vAlign w:val="center"/>
          </w:tcPr>
          <w:p w14:paraId="2BE1FA73"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d3 (14)</w:t>
            </w:r>
          </w:p>
        </w:tc>
        <w:tc>
          <w:tcPr>
            <w:tcW w:w="1134" w:type="dxa"/>
            <w:shd w:val="clear" w:color="auto" w:fill="C5E0B3" w:themeFill="accent6" w:themeFillTint="66"/>
            <w:vAlign w:val="center"/>
          </w:tcPr>
          <w:p w14:paraId="1751CF0B"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6.1 (6.0-6.6)</w:t>
            </w:r>
          </w:p>
        </w:tc>
        <w:tc>
          <w:tcPr>
            <w:tcW w:w="1276" w:type="dxa"/>
            <w:shd w:val="clear" w:color="auto" w:fill="FBE4D5" w:themeFill="accent2" w:themeFillTint="33"/>
            <w:vAlign w:val="center"/>
          </w:tcPr>
          <w:p w14:paraId="3880947D"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7.3 (7.2-7.5)</w:t>
            </w:r>
          </w:p>
        </w:tc>
        <w:tc>
          <w:tcPr>
            <w:tcW w:w="851" w:type="dxa"/>
            <w:vAlign w:val="center"/>
          </w:tcPr>
          <w:p w14:paraId="37CD61CB"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P=</w:t>
            </w:r>
            <w:r w:rsidR="004451C0" w:rsidRPr="005508A4">
              <w:rPr>
                <w:rFonts w:ascii="Calibri" w:hAnsi="Calibri" w:cs="Calibri"/>
                <w:sz w:val="18"/>
                <w:szCs w:val="18"/>
              </w:rPr>
              <w:t xml:space="preserve"> </w:t>
            </w:r>
            <w:r w:rsidRPr="005508A4">
              <w:rPr>
                <w:rFonts w:ascii="Calibri" w:hAnsi="Calibri" w:cs="Calibri"/>
                <w:sz w:val="18"/>
                <w:szCs w:val="18"/>
              </w:rPr>
              <w:t>.05</w:t>
            </w:r>
          </w:p>
        </w:tc>
        <w:tc>
          <w:tcPr>
            <w:tcW w:w="850" w:type="dxa"/>
            <w:vAlign w:val="center"/>
          </w:tcPr>
          <w:p w14:paraId="5D2D6F2D"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330F07A9"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c>
          <w:tcPr>
            <w:tcW w:w="567" w:type="dxa"/>
            <w:vAlign w:val="center"/>
          </w:tcPr>
          <w:p w14:paraId="62A5B0F7"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c>
          <w:tcPr>
            <w:tcW w:w="851" w:type="dxa"/>
            <w:vAlign w:val="center"/>
          </w:tcPr>
          <w:p w14:paraId="0982D404" w14:textId="77777777" w:rsidR="00F73FEE" w:rsidRPr="005508A4" w:rsidRDefault="00F73FEE" w:rsidP="00F73FEE">
            <w:pPr>
              <w:jc w:val="center"/>
              <w:rPr>
                <w:rFonts w:ascii="Calibri" w:hAnsi="Calibri" w:cs="Calibri"/>
                <w:sz w:val="18"/>
                <w:szCs w:val="18"/>
              </w:rPr>
            </w:pPr>
            <w:r w:rsidRPr="005508A4">
              <w:rPr>
                <w:rFonts w:ascii="Calibri" w:hAnsi="Calibri" w:cs="Calibri"/>
                <w:sz w:val="18"/>
                <w:szCs w:val="18"/>
              </w:rPr>
              <w:t>-</w:t>
            </w:r>
          </w:p>
        </w:tc>
      </w:tr>
      <w:tr w:rsidR="007A57DE" w:rsidRPr="005508A4" w14:paraId="194E40F8" w14:textId="77777777" w:rsidTr="008A22E6">
        <w:trPr>
          <w:trHeight w:val="211"/>
        </w:trPr>
        <w:tc>
          <w:tcPr>
            <w:tcW w:w="13042" w:type="dxa"/>
            <w:gridSpan w:val="12"/>
          </w:tcPr>
          <w:p w14:paraId="24E2511B" w14:textId="77777777" w:rsidR="007A57DE" w:rsidRPr="005508A4" w:rsidRDefault="00235270" w:rsidP="007A57DE">
            <w:pPr>
              <w:rPr>
                <w:rFonts w:ascii="Calibri" w:hAnsi="Calibri" w:cs="Calibri"/>
                <w:sz w:val="18"/>
                <w:szCs w:val="18"/>
              </w:rPr>
            </w:pPr>
            <w:r>
              <w:rPr>
                <w:rFonts w:ascii="Calibri" w:hAnsi="Calibri" w:cs="Calibri"/>
                <w:sz w:val="18"/>
                <w:szCs w:val="18"/>
              </w:rPr>
              <w:t>ESMTable2a</w:t>
            </w:r>
            <w:r w:rsidR="007A57DE" w:rsidRPr="005508A4">
              <w:rPr>
                <w:rFonts w:ascii="Calibri" w:hAnsi="Calibri" w:cs="Calibri"/>
                <w:sz w:val="18"/>
                <w:szCs w:val="18"/>
              </w:rPr>
              <w:t xml:space="preserve"> .</w:t>
            </w:r>
            <w:r w:rsidR="005508A4" w:rsidRPr="005508A4">
              <w:rPr>
                <w:rFonts w:ascii="Calibri" w:hAnsi="Calibri" w:cs="Calibri"/>
                <w:sz w:val="18"/>
                <w:szCs w:val="18"/>
              </w:rPr>
              <w:t xml:space="preserve"> Summary of studies exploring US-ONSD prognostic performance</w:t>
            </w:r>
          </w:p>
        </w:tc>
      </w:tr>
      <w:tr w:rsidR="001F6304" w:rsidRPr="005508A4" w14:paraId="46486103" w14:textId="77777777" w:rsidTr="008A22E6">
        <w:trPr>
          <w:trHeight w:val="211"/>
        </w:trPr>
        <w:tc>
          <w:tcPr>
            <w:tcW w:w="13042" w:type="dxa"/>
            <w:gridSpan w:val="12"/>
          </w:tcPr>
          <w:p w14:paraId="6A1F1A7F" w14:textId="77777777" w:rsidR="001F6304" w:rsidRPr="005508A4" w:rsidRDefault="008A22E6" w:rsidP="007A57DE">
            <w:pPr>
              <w:rPr>
                <w:rFonts w:ascii="Calibri" w:hAnsi="Calibri" w:cs="Calibri"/>
                <w:sz w:val="18"/>
                <w:szCs w:val="18"/>
              </w:rPr>
            </w:pPr>
            <w:proofErr w:type="spellStart"/>
            <w:r>
              <w:rPr>
                <w:rFonts w:ascii="Calibri" w:hAnsi="Calibri" w:cs="Calibri"/>
                <w:sz w:val="18"/>
                <w:szCs w:val="18"/>
              </w:rPr>
              <w:t>Adm</w:t>
            </w:r>
            <w:proofErr w:type="spellEnd"/>
            <w:r>
              <w:rPr>
                <w:rFonts w:ascii="Calibri" w:hAnsi="Calibri" w:cs="Calibri"/>
                <w:sz w:val="18"/>
                <w:szCs w:val="18"/>
              </w:rPr>
              <w:t xml:space="preserve">: Admission; </w:t>
            </w:r>
            <w:r w:rsidR="005508A4">
              <w:rPr>
                <w:rFonts w:ascii="Calibri" w:hAnsi="Calibri" w:cs="Calibri"/>
                <w:sz w:val="18"/>
                <w:szCs w:val="18"/>
              </w:rPr>
              <w:t xml:space="preserve">AUC: Area Under the Curve; CI: Confidence Interval; </w:t>
            </w:r>
            <w:r w:rsidR="001F6304" w:rsidRPr="005508A4">
              <w:rPr>
                <w:rFonts w:ascii="Calibri" w:hAnsi="Calibri" w:cs="Calibri"/>
                <w:sz w:val="18"/>
                <w:szCs w:val="18"/>
              </w:rPr>
              <w:t>CPC: Cerebral Perfo</w:t>
            </w:r>
            <w:r w:rsidR="009971E1">
              <w:rPr>
                <w:rFonts w:ascii="Calibri" w:hAnsi="Calibri" w:cs="Calibri"/>
                <w:sz w:val="18"/>
                <w:szCs w:val="18"/>
              </w:rPr>
              <w:t>r</w:t>
            </w:r>
            <w:r w:rsidR="001F6304" w:rsidRPr="005508A4">
              <w:rPr>
                <w:rFonts w:ascii="Calibri" w:hAnsi="Calibri" w:cs="Calibri"/>
                <w:sz w:val="18"/>
                <w:szCs w:val="18"/>
              </w:rPr>
              <w:t xml:space="preserve">mance Category; </w:t>
            </w:r>
            <w:r w:rsidR="005508A4">
              <w:rPr>
                <w:rFonts w:ascii="Calibri" w:hAnsi="Calibri" w:cs="Calibri"/>
                <w:sz w:val="18"/>
                <w:szCs w:val="18"/>
              </w:rPr>
              <w:t xml:space="preserve">d: Day; </w:t>
            </w:r>
            <w:r w:rsidR="001F6304" w:rsidRPr="005508A4">
              <w:rPr>
                <w:rFonts w:ascii="Calibri" w:hAnsi="Calibri" w:cs="Calibri"/>
                <w:sz w:val="18"/>
                <w:szCs w:val="18"/>
              </w:rPr>
              <w:t>GOS: Gla</w:t>
            </w:r>
            <w:r w:rsidR="009971E1">
              <w:rPr>
                <w:rFonts w:ascii="Calibri" w:hAnsi="Calibri" w:cs="Calibri"/>
                <w:sz w:val="18"/>
                <w:szCs w:val="18"/>
              </w:rPr>
              <w:t>s</w:t>
            </w:r>
            <w:r w:rsidR="001F6304" w:rsidRPr="005508A4">
              <w:rPr>
                <w:rFonts w:ascii="Calibri" w:hAnsi="Calibri" w:cs="Calibri"/>
                <w:sz w:val="18"/>
                <w:szCs w:val="18"/>
              </w:rPr>
              <w:t xml:space="preserve">gow Outcome Scale; </w:t>
            </w:r>
            <w:r w:rsidR="005508A4">
              <w:rPr>
                <w:rFonts w:ascii="Calibri" w:hAnsi="Calibri" w:cs="Calibri"/>
                <w:sz w:val="18"/>
                <w:szCs w:val="18"/>
              </w:rPr>
              <w:t xml:space="preserve">IQR: Inter-Quartile Range; SD: Standard Deviation; </w:t>
            </w:r>
            <w:r w:rsidR="001F6304" w:rsidRPr="005508A4">
              <w:rPr>
                <w:rFonts w:ascii="Calibri" w:hAnsi="Calibri" w:cs="Calibri"/>
                <w:sz w:val="18"/>
                <w:szCs w:val="18"/>
              </w:rPr>
              <w:t xml:space="preserve">Se: </w:t>
            </w:r>
            <w:r w:rsidR="005508A4" w:rsidRPr="005508A4">
              <w:rPr>
                <w:rFonts w:ascii="Calibri" w:hAnsi="Calibri" w:cs="Calibri"/>
                <w:sz w:val="18"/>
                <w:szCs w:val="18"/>
              </w:rPr>
              <w:t>S</w:t>
            </w:r>
            <w:r w:rsidR="001F6304" w:rsidRPr="005508A4">
              <w:rPr>
                <w:rFonts w:ascii="Calibri" w:hAnsi="Calibri" w:cs="Calibri"/>
                <w:sz w:val="18"/>
                <w:szCs w:val="18"/>
              </w:rPr>
              <w:t xml:space="preserve">ensitivity; </w:t>
            </w:r>
            <w:proofErr w:type="spellStart"/>
            <w:r w:rsidR="001F6304" w:rsidRPr="005508A4">
              <w:rPr>
                <w:rFonts w:ascii="Calibri" w:hAnsi="Calibri" w:cs="Calibri"/>
                <w:sz w:val="18"/>
                <w:szCs w:val="18"/>
              </w:rPr>
              <w:t>Sp</w:t>
            </w:r>
            <w:proofErr w:type="spellEnd"/>
            <w:r w:rsidR="001F6304" w:rsidRPr="005508A4">
              <w:rPr>
                <w:rFonts w:ascii="Calibri" w:hAnsi="Calibri" w:cs="Calibri"/>
                <w:sz w:val="18"/>
                <w:szCs w:val="18"/>
              </w:rPr>
              <w:t xml:space="preserve">: </w:t>
            </w:r>
            <w:r w:rsidR="005508A4" w:rsidRPr="005508A4">
              <w:rPr>
                <w:rFonts w:ascii="Calibri" w:hAnsi="Calibri" w:cs="Calibri"/>
                <w:sz w:val="18"/>
                <w:szCs w:val="18"/>
              </w:rPr>
              <w:t>S</w:t>
            </w:r>
            <w:r w:rsidR="001F6304" w:rsidRPr="005508A4">
              <w:rPr>
                <w:rFonts w:ascii="Calibri" w:hAnsi="Calibri" w:cs="Calibri"/>
                <w:sz w:val="18"/>
                <w:szCs w:val="18"/>
              </w:rPr>
              <w:t>pecificity</w:t>
            </w:r>
            <w:r w:rsidR="005508A4" w:rsidRPr="005508A4">
              <w:rPr>
                <w:rFonts w:ascii="Calibri" w:hAnsi="Calibri" w:cs="Calibri"/>
                <w:sz w:val="18"/>
                <w:szCs w:val="18"/>
              </w:rPr>
              <w:t>; TTM: Targeted Temperature Management</w:t>
            </w:r>
          </w:p>
        </w:tc>
      </w:tr>
    </w:tbl>
    <w:p w14:paraId="61BE98FD" w14:textId="77777777" w:rsidR="000C3DE9" w:rsidRDefault="000C3DE9"/>
    <w:p w14:paraId="2A514A14" w14:textId="46112879" w:rsidR="00670A28" w:rsidRPr="00670A28" w:rsidRDefault="00517702" w:rsidP="00670A28">
      <w:pPr>
        <w:widowControl w:val="0"/>
        <w:autoSpaceDE w:val="0"/>
        <w:autoSpaceDN w:val="0"/>
        <w:adjustRightInd w:val="0"/>
        <w:ind w:left="640" w:hanging="640"/>
        <w:rPr>
          <w:rFonts w:ascii="Calibri" w:hAnsi="Calibri"/>
          <w:noProof/>
        </w:rPr>
      </w:pPr>
      <w:r>
        <w:t xml:space="preserve"> </w:t>
      </w:r>
      <w:r w:rsidR="00670A28">
        <w:fldChar w:fldCharType="begin" w:fldLock="1"/>
      </w:r>
      <w:r w:rsidR="00670A28">
        <w:instrText xml:space="preserve">ADDIN Mendeley Bibliography CSL_BIBLIOGRAPHY </w:instrText>
      </w:r>
      <w:r w:rsidR="00670A28">
        <w:fldChar w:fldCharType="separate"/>
      </w:r>
      <w:bookmarkStart w:id="0" w:name="_GoBack"/>
      <w:bookmarkEnd w:id="0"/>
      <w:r w:rsidR="00670A28" w:rsidRPr="00670A28">
        <w:rPr>
          <w:rFonts w:ascii="Calibri" w:hAnsi="Calibri"/>
          <w:noProof/>
        </w:rPr>
        <w:t xml:space="preserve">1. </w:t>
      </w:r>
      <w:r w:rsidR="00670A28" w:rsidRPr="00670A28">
        <w:rPr>
          <w:rFonts w:ascii="Calibri" w:hAnsi="Calibri"/>
          <w:noProof/>
        </w:rPr>
        <w:tab/>
        <w:t>You Y, Park J, Min J, et al (2018) Relationship between time related serum albumin concentration, optic nerve sheath diameter, cerebrospinal fluid pressure, and neurological prognosis in cardiac arrest survivors. Resuscitation 131:42–47. https://doi.org/10.1016/j.resuscitation.2018.08.003</w:t>
      </w:r>
    </w:p>
    <w:p w14:paraId="0B93B437" w14:textId="77777777" w:rsidR="00670A28" w:rsidRPr="00670A28" w:rsidRDefault="00670A28" w:rsidP="00670A28">
      <w:pPr>
        <w:widowControl w:val="0"/>
        <w:autoSpaceDE w:val="0"/>
        <w:autoSpaceDN w:val="0"/>
        <w:adjustRightInd w:val="0"/>
        <w:ind w:left="640" w:hanging="640"/>
        <w:rPr>
          <w:rFonts w:ascii="Calibri" w:hAnsi="Calibri"/>
          <w:noProof/>
        </w:rPr>
      </w:pPr>
      <w:r w:rsidRPr="00670A28">
        <w:rPr>
          <w:rFonts w:ascii="Calibri" w:hAnsi="Calibri"/>
          <w:noProof/>
        </w:rPr>
        <w:t xml:space="preserve">2. </w:t>
      </w:r>
      <w:r w:rsidRPr="00670A28">
        <w:rPr>
          <w:rFonts w:ascii="Calibri" w:hAnsi="Calibri"/>
          <w:noProof/>
        </w:rPr>
        <w:tab/>
        <w:t>Ueda T, Ishida E, Kojima Y, et al (2015) Sonographic Optic Nerve Sheath Diameter: A Simple and Rapid Tool to Assess the Neurologic Prognosis After Cardiac Arrest. J Neuroimaging 25:927–930. https://doi.org/10.1111/jon.12246</w:t>
      </w:r>
    </w:p>
    <w:p w14:paraId="3C755861" w14:textId="77777777" w:rsidR="00670A28" w:rsidRPr="00670A28" w:rsidRDefault="00670A28" w:rsidP="00670A28">
      <w:pPr>
        <w:widowControl w:val="0"/>
        <w:autoSpaceDE w:val="0"/>
        <w:autoSpaceDN w:val="0"/>
        <w:adjustRightInd w:val="0"/>
        <w:ind w:left="640" w:hanging="640"/>
        <w:rPr>
          <w:rFonts w:ascii="Calibri" w:hAnsi="Calibri"/>
          <w:noProof/>
        </w:rPr>
      </w:pPr>
      <w:r w:rsidRPr="00670A28">
        <w:rPr>
          <w:rFonts w:ascii="Calibri" w:hAnsi="Calibri"/>
          <w:noProof/>
        </w:rPr>
        <w:t xml:space="preserve">3. </w:t>
      </w:r>
      <w:r w:rsidRPr="00670A28">
        <w:rPr>
          <w:rFonts w:ascii="Calibri" w:hAnsi="Calibri"/>
          <w:noProof/>
        </w:rPr>
        <w:tab/>
        <w:t>Ertl M, Weber S, Hammel G, et al (2018) Transorbital Sonography for Early Prognostication of Hypoxic-Ischemic Encephalopathy After Cardiac Arrest. J Neuroimaging 28:542–548. https://doi.org/10.1111/jon.12528</w:t>
      </w:r>
    </w:p>
    <w:p w14:paraId="7CCC5621" w14:textId="77777777" w:rsidR="00670A28" w:rsidRPr="00670A28" w:rsidRDefault="00670A28" w:rsidP="00670A28">
      <w:pPr>
        <w:widowControl w:val="0"/>
        <w:autoSpaceDE w:val="0"/>
        <w:autoSpaceDN w:val="0"/>
        <w:adjustRightInd w:val="0"/>
        <w:ind w:left="640" w:hanging="640"/>
        <w:rPr>
          <w:rFonts w:ascii="Calibri" w:hAnsi="Calibri"/>
          <w:noProof/>
        </w:rPr>
      </w:pPr>
      <w:r w:rsidRPr="00670A28">
        <w:rPr>
          <w:rFonts w:ascii="Calibri" w:hAnsi="Calibri"/>
          <w:noProof/>
        </w:rPr>
        <w:t xml:space="preserve">4. </w:t>
      </w:r>
      <w:r w:rsidRPr="00670A28">
        <w:rPr>
          <w:rFonts w:ascii="Calibri" w:hAnsi="Calibri"/>
          <w:noProof/>
        </w:rPr>
        <w:tab/>
        <w:t xml:space="preserve">Chelly J, Deye N, Guichard JP, et al (2016) The optic nerve sheath diameter as a useful tool for early prediction of outcome </w:t>
      </w:r>
      <w:r w:rsidRPr="00670A28">
        <w:rPr>
          <w:rFonts w:ascii="Calibri" w:hAnsi="Calibri"/>
          <w:noProof/>
        </w:rPr>
        <w:lastRenderedPageBreak/>
        <w:t>after cardiac arrest: A prospective pilot study. Resuscitation 103:7–13. https://doi.org/10.1016/j.resuscitation.2016.03.006</w:t>
      </w:r>
    </w:p>
    <w:p w14:paraId="68000723" w14:textId="17C3675E" w:rsidR="00B242F9" w:rsidRDefault="00670A28" w:rsidP="00670A28">
      <w:pPr>
        <w:widowControl w:val="0"/>
        <w:autoSpaceDE w:val="0"/>
        <w:autoSpaceDN w:val="0"/>
        <w:adjustRightInd w:val="0"/>
        <w:ind w:left="640" w:hanging="640"/>
      </w:pPr>
      <w:r>
        <w:fldChar w:fldCharType="end"/>
      </w:r>
    </w:p>
    <w:p w14:paraId="641EB2C3" w14:textId="77777777" w:rsidR="006B69C4" w:rsidRDefault="006B69C4"/>
    <w:sectPr w:rsidR="006B69C4" w:rsidSect="000C3DE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imes New Roman"/>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5320B"/>
    <w:multiLevelType w:val="hybridMultilevel"/>
    <w:tmpl w:val="FEACA70A"/>
    <w:lvl w:ilvl="0" w:tplc="F2B82FCC">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B6A63"/>
    <w:multiLevelType w:val="hybridMultilevel"/>
    <w:tmpl w:val="576A0432"/>
    <w:lvl w:ilvl="0" w:tplc="976A3C3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D00C6"/>
    <w:multiLevelType w:val="hybridMultilevel"/>
    <w:tmpl w:val="89A28EC2"/>
    <w:lvl w:ilvl="0" w:tplc="3AB0CE86">
      <w:start w:val="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E9"/>
    <w:rsid w:val="000310C9"/>
    <w:rsid w:val="000C29F6"/>
    <w:rsid w:val="000C3DE9"/>
    <w:rsid w:val="000D30F6"/>
    <w:rsid w:val="00141F20"/>
    <w:rsid w:val="001D581A"/>
    <w:rsid w:val="001F6304"/>
    <w:rsid w:val="00235270"/>
    <w:rsid w:val="00291E65"/>
    <w:rsid w:val="00300AD5"/>
    <w:rsid w:val="003620FE"/>
    <w:rsid w:val="00396D57"/>
    <w:rsid w:val="00396DFD"/>
    <w:rsid w:val="003B541F"/>
    <w:rsid w:val="00402A5D"/>
    <w:rsid w:val="004451C0"/>
    <w:rsid w:val="004634AC"/>
    <w:rsid w:val="004C33D0"/>
    <w:rsid w:val="00517702"/>
    <w:rsid w:val="005508A4"/>
    <w:rsid w:val="005B6A52"/>
    <w:rsid w:val="00606CB2"/>
    <w:rsid w:val="00632A6B"/>
    <w:rsid w:val="00670A28"/>
    <w:rsid w:val="0067105A"/>
    <w:rsid w:val="006B69C4"/>
    <w:rsid w:val="006C6990"/>
    <w:rsid w:val="006F4CA3"/>
    <w:rsid w:val="00712815"/>
    <w:rsid w:val="0075060F"/>
    <w:rsid w:val="007A57DE"/>
    <w:rsid w:val="008A22E6"/>
    <w:rsid w:val="008D6AEA"/>
    <w:rsid w:val="00967A12"/>
    <w:rsid w:val="009971E1"/>
    <w:rsid w:val="009E7F4D"/>
    <w:rsid w:val="00AF504D"/>
    <w:rsid w:val="00B242F9"/>
    <w:rsid w:val="00B36C61"/>
    <w:rsid w:val="00B54A5E"/>
    <w:rsid w:val="00B86494"/>
    <w:rsid w:val="00BA1E42"/>
    <w:rsid w:val="00BF5F3F"/>
    <w:rsid w:val="00C278F9"/>
    <w:rsid w:val="00C95106"/>
    <w:rsid w:val="00C97B51"/>
    <w:rsid w:val="00D1791F"/>
    <w:rsid w:val="00D87AC6"/>
    <w:rsid w:val="00D9696A"/>
    <w:rsid w:val="00E250A0"/>
    <w:rsid w:val="00E537D1"/>
    <w:rsid w:val="00E842FB"/>
    <w:rsid w:val="00F7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AC5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C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242F9"/>
    <w:pPr>
      <w:spacing w:before="100" w:beforeAutospacing="1" w:after="100" w:afterAutospacing="1"/>
    </w:pPr>
    <w:rPr>
      <w:rFonts w:ascii="Times New Roman" w:eastAsia="Times New Roman" w:hAnsi="Times New Roman" w:cs="Times New Roman"/>
      <w:lang w:val="en-CA"/>
    </w:rPr>
  </w:style>
  <w:style w:type="paragraph" w:styleId="Paragrafoelenco">
    <w:name w:val="List Paragraph"/>
    <w:basedOn w:val="Normale"/>
    <w:uiPriority w:val="34"/>
    <w:qFormat/>
    <w:rsid w:val="00BF5F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C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242F9"/>
    <w:pPr>
      <w:spacing w:before="100" w:beforeAutospacing="1" w:after="100" w:afterAutospacing="1"/>
    </w:pPr>
    <w:rPr>
      <w:rFonts w:ascii="Times New Roman" w:eastAsia="Times New Roman" w:hAnsi="Times New Roman" w:cs="Times New Roman"/>
      <w:lang w:val="en-CA"/>
    </w:rPr>
  </w:style>
  <w:style w:type="paragraph" w:styleId="Paragrafoelenco">
    <w:name w:val="List Paragraph"/>
    <w:basedOn w:val="Normale"/>
    <w:uiPriority w:val="34"/>
    <w:qFormat/>
    <w:rsid w:val="00BF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444">
      <w:bodyDiv w:val="1"/>
      <w:marLeft w:val="0"/>
      <w:marRight w:val="0"/>
      <w:marTop w:val="0"/>
      <w:marBottom w:val="0"/>
      <w:divBdr>
        <w:top w:val="none" w:sz="0" w:space="0" w:color="auto"/>
        <w:left w:val="none" w:sz="0" w:space="0" w:color="auto"/>
        <w:bottom w:val="none" w:sz="0" w:space="0" w:color="auto"/>
        <w:right w:val="none" w:sz="0" w:space="0" w:color="auto"/>
      </w:divBdr>
      <w:divsChild>
        <w:div w:id="2008901025">
          <w:marLeft w:val="0"/>
          <w:marRight w:val="0"/>
          <w:marTop w:val="0"/>
          <w:marBottom w:val="0"/>
          <w:divBdr>
            <w:top w:val="none" w:sz="0" w:space="0" w:color="auto"/>
            <w:left w:val="none" w:sz="0" w:space="0" w:color="auto"/>
            <w:bottom w:val="none" w:sz="0" w:space="0" w:color="auto"/>
            <w:right w:val="none" w:sz="0" w:space="0" w:color="auto"/>
          </w:divBdr>
          <w:divsChild>
            <w:div w:id="442312930">
              <w:marLeft w:val="0"/>
              <w:marRight w:val="0"/>
              <w:marTop w:val="0"/>
              <w:marBottom w:val="0"/>
              <w:divBdr>
                <w:top w:val="none" w:sz="0" w:space="0" w:color="auto"/>
                <w:left w:val="none" w:sz="0" w:space="0" w:color="auto"/>
                <w:bottom w:val="none" w:sz="0" w:space="0" w:color="auto"/>
                <w:right w:val="none" w:sz="0" w:space="0" w:color="auto"/>
              </w:divBdr>
              <w:divsChild>
                <w:div w:id="296376141">
                  <w:marLeft w:val="0"/>
                  <w:marRight w:val="0"/>
                  <w:marTop w:val="0"/>
                  <w:marBottom w:val="0"/>
                  <w:divBdr>
                    <w:top w:val="none" w:sz="0" w:space="0" w:color="auto"/>
                    <w:left w:val="none" w:sz="0" w:space="0" w:color="auto"/>
                    <w:bottom w:val="none" w:sz="0" w:space="0" w:color="auto"/>
                    <w:right w:val="none" w:sz="0" w:space="0" w:color="auto"/>
                  </w:divBdr>
                </w:div>
                <w:div w:id="9656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979">
      <w:bodyDiv w:val="1"/>
      <w:marLeft w:val="0"/>
      <w:marRight w:val="0"/>
      <w:marTop w:val="0"/>
      <w:marBottom w:val="0"/>
      <w:divBdr>
        <w:top w:val="none" w:sz="0" w:space="0" w:color="auto"/>
        <w:left w:val="none" w:sz="0" w:space="0" w:color="auto"/>
        <w:bottom w:val="none" w:sz="0" w:space="0" w:color="auto"/>
        <w:right w:val="none" w:sz="0" w:space="0" w:color="auto"/>
      </w:divBdr>
      <w:divsChild>
        <w:div w:id="697464630">
          <w:marLeft w:val="0"/>
          <w:marRight w:val="0"/>
          <w:marTop w:val="0"/>
          <w:marBottom w:val="0"/>
          <w:divBdr>
            <w:top w:val="none" w:sz="0" w:space="0" w:color="auto"/>
            <w:left w:val="none" w:sz="0" w:space="0" w:color="auto"/>
            <w:bottom w:val="none" w:sz="0" w:space="0" w:color="auto"/>
            <w:right w:val="none" w:sz="0" w:space="0" w:color="auto"/>
          </w:divBdr>
          <w:divsChild>
            <w:div w:id="1299534861">
              <w:marLeft w:val="0"/>
              <w:marRight w:val="0"/>
              <w:marTop w:val="0"/>
              <w:marBottom w:val="0"/>
              <w:divBdr>
                <w:top w:val="none" w:sz="0" w:space="0" w:color="auto"/>
                <w:left w:val="none" w:sz="0" w:space="0" w:color="auto"/>
                <w:bottom w:val="none" w:sz="0" w:space="0" w:color="auto"/>
                <w:right w:val="none" w:sz="0" w:space="0" w:color="auto"/>
              </w:divBdr>
              <w:divsChild>
                <w:div w:id="1982952812">
                  <w:marLeft w:val="0"/>
                  <w:marRight w:val="0"/>
                  <w:marTop w:val="0"/>
                  <w:marBottom w:val="0"/>
                  <w:divBdr>
                    <w:top w:val="none" w:sz="0" w:space="0" w:color="auto"/>
                    <w:left w:val="none" w:sz="0" w:space="0" w:color="auto"/>
                    <w:bottom w:val="none" w:sz="0" w:space="0" w:color="auto"/>
                    <w:right w:val="none" w:sz="0" w:space="0" w:color="auto"/>
                  </w:divBdr>
                </w:div>
                <w:div w:id="1421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7200">
      <w:bodyDiv w:val="1"/>
      <w:marLeft w:val="0"/>
      <w:marRight w:val="0"/>
      <w:marTop w:val="0"/>
      <w:marBottom w:val="0"/>
      <w:divBdr>
        <w:top w:val="none" w:sz="0" w:space="0" w:color="auto"/>
        <w:left w:val="none" w:sz="0" w:space="0" w:color="auto"/>
        <w:bottom w:val="none" w:sz="0" w:space="0" w:color="auto"/>
        <w:right w:val="none" w:sz="0" w:space="0" w:color="auto"/>
      </w:divBdr>
      <w:divsChild>
        <w:div w:id="1512794877">
          <w:marLeft w:val="0"/>
          <w:marRight w:val="0"/>
          <w:marTop w:val="0"/>
          <w:marBottom w:val="0"/>
          <w:divBdr>
            <w:top w:val="none" w:sz="0" w:space="0" w:color="auto"/>
            <w:left w:val="none" w:sz="0" w:space="0" w:color="auto"/>
            <w:bottom w:val="none" w:sz="0" w:space="0" w:color="auto"/>
            <w:right w:val="none" w:sz="0" w:space="0" w:color="auto"/>
          </w:divBdr>
          <w:divsChild>
            <w:div w:id="1245382796">
              <w:marLeft w:val="0"/>
              <w:marRight w:val="0"/>
              <w:marTop w:val="0"/>
              <w:marBottom w:val="0"/>
              <w:divBdr>
                <w:top w:val="none" w:sz="0" w:space="0" w:color="auto"/>
                <w:left w:val="none" w:sz="0" w:space="0" w:color="auto"/>
                <w:bottom w:val="none" w:sz="0" w:space="0" w:color="auto"/>
                <w:right w:val="none" w:sz="0" w:space="0" w:color="auto"/>
              </w:divBdr>
              <w:divsChild>
                <w:div w:id="1644233121">
                  <w:marLeft w:val="0"/>
                  <w:marRight w:val="0"/>
                  <w:marTop w:val="0"/>
                  <w:marBottom w:val="0"/>
                  <w:divBdr>
                    <w:top w:val="none" w:sz="0" w:space="0" w:color="auto"/>
                    <w:left w:val="none" w:sz="0" w:space="0" w:color="auto"/>
                    <w:bottom w:val="none" w:sz="0" w:space="0" w:color="auto"/>
                    <w:right w:val="none" w:sz="0" w:space="0" w:color="auto"/>
                  </w:divBdr>
                </w:div>
                <w:div w:id="3607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8299">
      <w:bodyDiv w:val="1"/>
      <w:marLeft w:val="0"/>
      <w:marRight w:val="0"/>
      <w:marTop w:val="0"/>
      <w:marBottom w:val="0"/>
      <w:divBdr>
        <w:top w:val="none" w:sz="0" w:space="0" w:color="auto"/>
        <w:left w:val="none" w:sz="0" w:space="0" w:color="auto"/>
        <w:bottom w:val="none" w:sz="0" w:space="0" w:color="auto"/>
        <w:right w:val="none" w:sz="0" w:space="0" w:color="auto"/>
      </w:divBdr>
      <w:divsChild>
        <w:div w:id="481393183">
          <w:marLeft w:val="0"/>
          <w:marRight w:val="0"/>
          <w:marTop w:val="0"/>
          <w:marBottom w:val="0"/>
          <w:divBdr>
            <w:top w:val="none" w:sz="0" w:space="0" w:color="auto"/>
            <w:left w:val="none" w:sz="0" w:space="0" w:color="auto"/>
            <w:bottom w:val="none" w:sz="0" w:space="0" w:color="auto"/>
            <w:right w:val="none" w:sz="0" w:space="0" w:color="auto"/>
          </w:divBdr>
          <w:divsChild>
            <w:div w:id="875194960">
              <w:marLeft w:val="0"/>
              <w:marRight w:val="0"/>
              <w:marTop w:val="0"/>
              <w:marBottom w:val="0"/>
              <w:divBdr>
                <w:top w:val="none" w:sz="0" w:space="0" w:color="auto"/>
                <w:left w:val="none" w:sz="0" w:space="0" w:color="auto"/>
                <w:bottom w:val="none" w:sz="0" w:space="0" w:color="auto"/>
                <w:right w:val="none" w:sz="0" w:space="0" w:color="auto"/>
              </w:divBdr>
              <w:divsChild>
                <w:div w:id="5189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8551">
      <w:bodyDiv w:val="1"/>
      <w:marLeft w:val="0"/>
      <w:marRight w:val="0"/>
      <w:marTop w:val="0"/>
      <w:marBottom w:val="0"/>
      <w:divBdr>
        <w:top w:val="none" w:sz="0" w:space="0" w:color="auto"/>
        <w:left w:val="none" w:sz="0" w:space="0" w:color="auto"/>
        <w:bottom w:val="none" w:sz="0" w:space="0" w:color="auto"/>
        <w:right w:val="none" w:sz="0" w:space="0" w:color="auto"/>
      </w:divBdr>
      <w:divsChild>
        <w:div w:id="494541560">
          <w:marLeft w:val="0"/>
          <w:marRight w:val="0"/>
          <w:marTop w:val="0"/>
          <w:marBottom w:val="0"/>
          <w:divBdr>
            <w:top w:val="none" w:sz="0" w:space="0" w:color="auto"/>
            <w:left w:val="none" w:sz="0" w:space="0" w:color="auto"/>
            <w:bottom w:val="none" w:sz="0" w:space="0" w:color="auto"/>
            <w:right w:val="none" w:sz="0" w:space="0" w:color="auto"/>
          </w:divBdr>
          <w:divsChild>
            <w:div w:id="950359864">
              <w:marLeft w:val="0"/>
              <w:marRight w:val="0"/>
              <w:marTop w:val="0"/>
              <w:marBottom w:val="0"/>
              <w:divBdr>
                <w:top w:val="none" w:sz="0" w:space="0" w:color="auto"/>
                <w:left w:val="none" w:sz="0" w:space="0" w:color="auto"/>
                <w:bottom w:val="none" w:sz="0" w:space="0" w:color="auto"/>
                <w:right w:val="none" w:sz="0" w:space="0" w:color="auto"/>
              </w:divBdr>
              <w:divsChild>
                <w:div w:id="1834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5250">
      <w:bodyDiv w:val="1"/>
      <w:marLeft w:val="0"/>
      <w:marRight w:val="0"/>
      <w:marTop w:val="0"/>
      <w:marBottom w:val="0"/>
      <w:divBdr>
        <w:top w:val="none" w:sz="0" w:space="0" w:color="auto"/>
        <w:left w:val="none" w:sz="0" w:space="0" w:color="auto"/>
        <w:bottom w:val="none" w:sz="0" w:space="0" w:color="auto"/>
        <w:right w:val="none" w:sz="0" w:space="0" w:color="auto"/>
      </w:divBdr>
      <w:divsChild>
        <w:div w:id="1991400076">
          <w:marLeft w:val="0"/>
          <w:marRight w:val="0"/>
          <w:marTop w:val="0"/>
          <w:marBottom w:val="0"/>
          <w:divBdr>
            <w:top w:val="none" w:sz="0" w:space="0" w:color="auto"/>
            <w:left w:val="none" w:sz="0" w:space="0" w:color="auto"/>
            <w:bottom w:val="none" w:sz="0" w:space="0" w:color="auto"/>
            <w:right w:val="none" w:sz="0" w:space="0" w:color="auto"/>
          </w:divBdr>
          <w:divsChild>
            <w:div w:id="195967330">
              <w:marLeft w:val="0"/>
              <w:marRight w:val="0"/>
              <w:marTop w:val="0"/>
              <w:marBottom w:val="0"/>
              <w:divBdr>
                <w:top w:val="none" w:sz="0" w:space="0" w:color="auto"/>
                <w:left w:val="none" w:sz="0" w:space="0" w:color="auto"/>
                <w:bottom w:val="none" w:sz="0" w:space="0" w:color="auto"/>
                <w:right w:val="none" w:sz="0" w:space="0" w:color="auto"/>
              </w:divBdr>
              <w:divsChild>
                <w:div w:id="1622955069">
                  <w:marLeft w:val="0"/>
                  <w:marRight w:val="0"/>
                  <w:marTop w:val="0"/>
                  <w:marBottom w:val="0"/>
                  <w:divBdr>
                    <w:top w:val="none" w:sz="0" w:space="0" w:color="auto"/>
                    <w:left w:val="none" w:sz="0" w:space="0" w:color="auto"/>
                    <w:bottom w:val="none" w:sz="0" w:space="0" w:color="auto"/>
                    <w:right w:val="none" w:sz="0" w:space="0" w:color="auto"/>
                  </w:divBdr>
                </w:div>
                <w:div w:id="1141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4909">
      <w:bodyDiv w:val="1"/>
      <w:marLeft w:val="0"/>
      <w:marRight w:val="0"/>
      <w:marTop w:val="0"/>
      <w:marBottom w:val="0"/>
      <w:divBdr>
        <w:top w:val="none" w:sz="0" w:space="0" w:color="auto"/>
        <w:left w:val="none" w:sz="0" w:space="0" w:color="auto"/>
        <w:bottom w:val="none" w:sz="0" w:space="0" w:color="auto"/>
        <w:right w:val="none" w:sz="0" w:space="0" w:color="auto"/>
      </w:divBdr>
      <w:divsChild>
        <w:div w:id="12258326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1742945288">
                  <w:marLeft w:val="0"/>
                  <w:marRight w:val="0"/>
                  <w:marTop w:val="0"/>
                  <w:marBottom w:val="0"/>
                  <w:divBdr>
                    <w:top w:val="none" w:sz="0" w:space="0" w:color="auto"/>
                    <w:left w:val="none" w:sz="0" w:space="0" w:color="auto"/>
                    <w:bottom w:val="none" w:sz="0" w:space="0" w:color="auto"/>
                    <w:right w:val="none" w:sz="0" w:space="0" w:color="auto"/>
                  </w:divBdr>
                </w:div>
                <w:div w:id="2187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1908">
      <w:bodyDiv w:val="1"/>
      <w:marLeft w:val="0"/>
      <w:marRight w:val="0"/>
      <w:marTop w:val="0"/>
      <w:marBottom w:val="0"/>
      <w:divBdr>
        <w:top w:val="none" w:sz="0" w:space="0" w:color="auto"/>
        <w:left w:val="none" w:sz="0" w:space="0" w:color="auto"/>
        <w:bottom w:val="none" w:sz="0" w:space="0" w:color="auto"/>
        <w:right w:val="none" w:sz="0" w:space="0" w:color="auto"/>
      </w:divBdr>
      <w:divsChild>
        <w:div w:id="677929864">
          <w:marLeft w:val="0"/>
          <w:marRight w:val="0"/>
          <w:marTop w:val="0"/>
          <w:marBottom w:val="0"/>
          <w:divBdr>
            <w:top w:val="none" w:sz="0" w:space="0" w:color="auto"/>
            <w:left w:val="none" w:sz="0" w:space="0" w:color="auto"/>
            <w:bottom w:val="none" w:sz="0" w:space="0" w:color="auto"/>
            <w:right w:val="none" w:sz="0" w:space="0" w:color="auto"/>
          </w:divBdr>
          <w:divsChild>
            <w:div w:id="268125487">
              <w:marLeft w:val="0"/>
              <w:marRight w:val="0"/>
              <w:marTop w:val="0"/>
              <w:marBottom w:val="0"/>
              <w:divBdr>
                <w:top w:val="none" w:sz="0" w:space="0" w:color="auto"/>
                <w:left w:val="none" w:sz="0" w:space="0" w:color="auto"/>
                <w:bottom w:val="none" w:sz="0" w:space="0" w:color="auto"/>
                <w:right w:val="none" w:sz="0" w:space="0" w:color="auto"/>
              </w:divBdr>
              <w:divsChild>
                <w:div w:id="843521185">
                  <w:marLeft w:val="0"/>
                  <w:marRight w:val="0"/>
                  <w:marTop w:val="0"/>
                  <w:marBottom w:val="0"/>
                  <w:divBdr>
                    <w:top w:val="none" w:sz="0" w:space="0" w:color="auto"/>
                    <w:left w:val="none" w:sz="0" w:space="0" w:color="auto"/>
                    <w:bottom w:val="none" w:sz="0" w:space="0" w:color="auto"/>
                    <w:right w:val="none" w:sz="0" w:space="0" w:color="auto"/>
                  </w:divBdr>
                </w:div>
                <w:div w:id="18457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8937">
      <w:bodyDiv w:val="1"/>
      <w:marLeft w:val="0"/>
      <w:marRight w:val="0"/>
      <w:marTop w:val="0"/>
      <w:marBottom w:val="0"/>
      <w:divBdr>
        <w:top w:val="none" w:sz="0" w:space="0" w:color="auto"/>
        <w:left w:val="none" w:sz="0" w:space="0" w:color="auto"/>
        <w:bottom w:val="none" w:sz="0" w:space="0" w:color="auto"/>
        <w:right w:val="none" w:sz="0" w:space="0" w:color="auto"/>
      </w:divBdr>
      <w:divsChild>
        <w:div w:id="1147942272">
          <w:marLeft w:val="0"/>
          <w:marRight w:val="0"/>
          <w:marTop w:val="0"/>
          <w:marBottom w:val="0"/>
          <w:divBdr>
            <w:top w:val="none" w:sz="0" w:space="0" w:color="auto"/>
            <w:left w:val="none" w:sz="0" w:space="0" w:color="auto"/>
            <w:bottom w:val="none" w:sz="0" w:space="0" w:color="auto"/>
            <w:right w:val="none" w:sz="0" w:space="0" w:color="auto"/>
          </w:divBdr>
          <w:divsChild>
            <w:div w:id="913273622">
              <w:marLeft w:val="0"/>
              <w:marRight w:val="0"/>
              <w:marTop w:val="0"/>
              <w:marBottom w:val="0"/>
              <w:divBdr>
                <w:top w:val="none" w:sz="0" w:space="0" w:color="auto"/>
                <w:left w:val="none" w:sz="0" w:space="0" w:color="auto"/>
                <w:bottom w:val="none" w:sz="0" w:space="0" w:color="auto"/>
                <w:right w:val="none" w:sz="0" w:space="0" w:color="auto"/>
              </w:divBdr>
              <w:divsChild>
                <w:div w:id="263073520">
                  <w:marLeft w:val="0"/>
                  <w:marRight w:val="0"/>
                  <w:marTop w:val="0"/>
                  <w:marBottom w:val="0"/>
                  <w:divBdr>
                    <w:top w:val="none" w:sz="0" w:space="0" w:color="auto"/>
                    <w:left w:val="none" w:sz="0" w:space="0" w:color="auto"/>
                    <w:bottom w:val="none" w:sz="0" w:space="0" w:color="auto"/>
                    <w:right w:val="none" w:sz="0" w:space="0" w:color="auto"/>
                  </w:divBdr>
                </w:div>
                <w:div w:id="944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2626</Words>
  <Characters>14973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Neuroria Monza</cp:lastModifiedBy>
  <cp:revision>33</cp:revision>
  <dcterms:created xsi:type="dcterms:W3CDTF">2018-10-01T14:55:00Z</dcterms:created>
  <dcterms:modified xsi:type="dcterms:W3CDTF">2018-12-21T10:44:00Z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441e37b8-6ab9-3fbb-ae4e-8008c63e55f3</vt:lpwstr>
  </property>
  <property fmtid="{D5CDD505-2E9C-101B-9397-08002B2CF9AE}" pid="4" name="Mendeley Citation Style_1">
    <vt:lpwstr>http://www.zotero.org/styles/intensive-care-medicine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http://www.zotero.org/styles/intensive-care-medicine</vt:lpwstr>
  </property>
  <property fmtid="{D5CDD505-2E9C-101B-9397-08002B2CF9AE}" pid="16" name="Mendeley Recent Style Name 5_1">
    <vt:lpwstr>Intensive Care Medicine</vt:lpwstr>
  </property>
  <property fmtid="{D5CDD505-2E9C-101B-9397-08002B2CF9AE}" pid="17" name="Mendeley Recent Style Id 6_1">
    <vt:lpwstr>http://www.zotero.org/styles/journal-of-clinical-monitoring-and-computing</vt:lpwstr>
  </property>
  <property fmtid="{D5CDD505-2E9C-101B-9397-08002B2CF9AE}" pid="18" name="Mendeley Recent Style Name 6_1">
    <vt:lpwstr>Journal of Clinical Monitoring and Computing</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