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ECC" w:rsidRPr="00A65C6D" w:rsidRDefault="0074631B" w:rsidP="0074631B">
      <w:pPr>
        <w:spacing w:after="0"/>
        <w:rPr>
          <w:b/>
          <w:u w:val="single"/>
        </w:rPr>
      </w:pPr>
      <w:r w:rsidRPr="00A65C6D">
        <w:rPr>
          <w:b/>
          <w:u w:val="single"/>
        </w:rPr>
        <w:t>Supplementary Materials</w:t>
      </w:r>
    </w:p>
    <w:p w:rsidR="0074631B" w:rsidRPr="00A65C6D" w:rsidRDefault="0074631B" w:rsidP="0074631B">
      <w:pPr>
        <w:spacing w:after="0"/>
        <w:rPr>
          <w:b/>
          <w:u w:val="single"/>
        </w:rPr>
      </w:pPr>
    </w:p>
    <w:p w:rsidR="0074631B" w:rsidRPr="00A65C6D" w:rsidRDefault="0074631B" w:rsidP="0074631B">
      <w:pPr>
        <w:spacing w:after="0"/>
      </w:pPr>
      <w:r w:rsidRPr="00A65C6D">
        <w:t>Table-S1: Severity categories used when catego</w:t>
      </w:r>
      <w:r w:rsidR="0087360E" w:rsidRPr="00A65C6D">
        <w:t xml:space="preserve">rising laboratory abnormalities occurring after </w:t>
      </w:r>
      <w:proofErr w:type="spellStart"/>
      <w:r w:rsidR="0087360E" w:rsidRPr="00A65C6D">
        <w:t>dupilumab</w:t>
      </w:r>
      <w:proofErr w:type="spellEnd"/>
      <w:r w:rsidR="0087360E" w:rsidRPr="00A65C6D">
        <w:t xml:space="preserve"> initiation</w:t>
      </w:r>
    </w:p>
    <w:p w:rsidR="0023326C" w:rsidRPr="00A65C6D" w:rsidRDefault="0023326C" w:rsidP="0074631B">
      <w:pPr>
        <w:spacing w:after="0"/>
      </w:pPr>
    </w:p>
    <w:tbl>
      <w:tblPr>
        <w:tblStyle w:val="TableGrid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1985"/>
        <w:gridCol w:w="1843"/>
        <w:gridCol w:w="1701"/>
        <w:gridCol w:w="1417"/>
        <w:gridCol w:w="1559"/>
      </w:tblGrid>
      <w:tr w:rsidR="0023326C" w:rsidRPr="00A65C6D" w:rsidTr="000836B3">
        <w:tc>
          <w:tcPr>
            <w:tcW w:w="1418" w:type="dxa"/>
          </w:tcPr>
          <w:p w:rsidR="0023326C" w:rsidRPr="00A65C6D" w:rsidRDefault="0023326C" w:rsidP="00EA786D">
            <w:pPr>
              <w:rPr>
                <w:b/>
              </w:rPr>
            </w:pPr>
            <w:r w:rsidRPr="00A65C6D">
              <w:rPr>
                <w:b/>
              </w:rPr>
              <w:t>Type of abnormality</w:t>
            </w:r>
          </w:p>
        </w:tc>
        <w:tc>
          <w:tcPr>
            <w:tcW w:w="1985" w:type="dxa"/>
          </w:tcPr>
          <w:p w:rsidR="0023326C" w:rsidRPr="00A65C6D" w:rsidRDefault="0023326C" w:rsidP="00EA786D">
            <w:pPr>
              <w:rPr>
                <w:b/>
              </w:rPr>
            </w:pPr>
            <w:r w:rsidRPr="00A65C6D">
              <w:rPr>
                <w:b/>
              </w:rPr>
              <w:t>Normal range</w:t>
            </w:r>
            <w:r w:rsidR="008D4434" w:rsidRPr="00A65C6D">
              <w:rPr>
                <w:b/>
              </w:rPr>
              <w:t xml:space="preserve"> in adults</w:t>
            </w:r>
          </w:p>
        </w:tc>
        <w:tc>
          <w:tcPr>
            <w:tcW w:w="1843" w:type="dxa"/>
          </w:tcPr>
          <w:p w:rsidR="0023326C" w:rsidRPr="00A65C6D" w:rsidRDefault="0023326C" w:rsidP="00EA786D">
            <w:pPr>
              <w:rPr>
                <w:b/>
              </w:rPr>
            </w:pPr>
            <w:r w:rsidRPr="00A65C6D">
              <w:rPr>
                <w:b/>
              </w:rPr>
              <w:t>Mild</w:t>
            </w:r>
          </w:p>
        </w:tc>
        <w:tc>
          <w:tcPr>
            <w:tcW w:w="1701" w:type="dxa"/>
          </w:tcPr>
          <w:p w:rsidR="0023326C" w:rsidRPr="00A65C6D" w:rsidRDefault="0023326C" w:rsidP="00EA786D">
            <w:pPr>
              <w:rPr>
                <w:b/>
              </w:rPr>
            </w:pPr>
            <w:r w:rsidRPr="00A65C6D">
              <w:rPr>
                <w:b/>
              </w:rPr>
              <w:t>Moderate</w:t>
            </w:r>
          </w:p>
        </w:tc>
        <w:tc>
          <w:tcPr>
            <w:tcW w:w="1417" w:type="dxa"/>
          </w:tcPr>
          <w:p w:rsidR="0023326C" w:rsidRPr="00A65C6D" w:rsidRDefault="0023326C" w:rsidP="00EA786D">
            <w:pPr>
              <w:rPr>
                <w:b/>
              </w:rPr>
            </w:pPr>
            <w:r w:rsidRPr="00A65C6D">
              <w:rPr>
                <w:b/>
              </w:rPr>
              <w:t>Severe</w:t>
            </w:r>
          </w:p>
        </w:tc>
        <w:tc>
          <w:tcPr>
            <w:tcW w:w="1559" w:type="dxa"/>
          </w:tcPr>
          <w:p w:rsidR="0023326C" w:rsidRPr="00A65C6D" w:rsidRDefault="00A9114A" w:rsidP="00EA786D">
            <w:pPr>
              <w:rPr>
                <w:b/>
              </w:rPr>
            </w:pPr>
            <w:r w:rsidRPr="00A65C6D">
              <w:rPr>
                <w:b/>
              </w:rPr>
              <w:t>Reference</w:t>
            </w:r>
            <w:r w:rsidR="002E5A4F" w:rsidRPr="00A65C6D">
              <w:rPr>
                <w:b/>
              </w:rPr>
              <w:t xml:space="preserve"> / Source</w:t>
            </w:r>
          </w:p>
        </w:tc>
      </w:tr>
      <w:tr w:rsidR="0023326C" w:rsidRPr="00A65C6D" w:rsidTr="000836B3">
        <w:tc>
          <w:tcPr>
            <w:tcW w:w="1418" w:type="dxa"/>
          </w:tcPr>
          <w:p w:rsidR="0023326C" w:rsidRPr="00A65C6D" w:rsidRDefault="0023326C" w:rsidP="00EA786D">
            <w:r w:rsidRPr="00A65C6D">
              <w:t>Anaemia</w:t>
            </w:r>
          </w:p>
        </w:tc>
        <w:tc>
          <w:tcPr>
            <w:tcW w:w="1985" w:type="dxa"/>
          </w:tcPr>
          <w:p w:rsidR="0023326C" w:rsidRPr="00A65C6D" w:rsidRDefault="0023326C" w:rsidP="00EA786D">
            <w:r w:rsidRPr="00A65C6D">
              <w:t>130-180g/L (</w:t>
            </w:r>
            <w:r w:rsidR="008D4434" w:rsidRPr="00A65C6D">
              <w:t>M</w:t>
            </w:r>
            <w:r w:rsidRPr="00A65C6D">
              <w:t>)</w:t>
            </w:r>
          </w:p>
          <w:p w:rsidR="0023326C" w:rsidRPr="00A65C6D" w:rsidRDefault="0023326C" w:rsidP="008D4434">
            <w:r w:rsidRPr="00A65C6D">
              <w:t>120-170</w:t>
            </w:r>
            <w:r w:rsidR="008D4434" w:rsidRPr="00A65C6D">
              <w:t>g/L</w:t>
            </w:r>
            <w:r w:rsidRPr="00A65C6D">
              <w:t xml:space="preserve"> (</w:t>
            </w:r>
            <w:r w:rsidR="008D4434" w:rsidRPr="00A65C6D">
              <w:t>F</w:t>
            </w:r>
            <w:r w:rsidRPr="00A65C6D">
              <w:t>)</w:t>
            </w:r>
          </w:p>
        </w:tc>
        <w:tc>
          <w:tcPr>
            <w:tcW w:w="1843" w:type="dxa"/>
          </w:tcPr>
          <w:p w:rsidR="0023326C" w:rsidRPr="00A65C6D" w:rsidRDefault="0023326C" w:rsidP="00EA786D">
            <w:r w:rsidRPr="00A65C6D">
              <w:t>110-129</w:t>
            </w:r>
            <w:r w:rsidR="002E01D4" w:rsidRPr="00A65C6D">
              <w:t xml:space="preserve"> g/L</w:t>
            </w:r>
            <w:r w:rsidRPr="00A65C6D">
              <w:t xml:space="preserve"> (M)</w:t>
            </w:r>
          </w:p>
          <w:p w:rsidR="0023326C" w:rsidRPr="00A65C6D" w:rsidRDefault="0023326C" w:rsidP="00EA786D">
            <w:r w:rsidRPr="00A65C6D">
              <w:t>110-119</w:t>
            </w:r>
            <w:r w:rsidR="002E01D4" w:rsidRPr="00A65C6D">
              <w:t xml:space="preserve"> g/L</w:t>
            </w:r>
            <w:r w:rsidRPr="00A65C6D">
              <w:t xml:space="preserve"> (F)</w:t>
            </w:r>
          </w:p>
        </w:tc>
        <w:tc>
          <w:tcPr>
            <w:tcW w:w="1701" w:type="dxa"/>
          </w:tcPr>
          <w:p w:rsidR="0023326C" w:rsidRPr="00A65C6D" w:rsidRDefault="0023326C" w:rsidP="00EA786D">
            <w:r w:rsidRPr="00A65C6D">
              <w:t xml:space="preserve">80-109 </w:t>
            </w:r>
            <w:r w:rsidR="002E01D4" w:rsidRPr="00A65C6D">
              <w:t xml:space="preserve">g/L </w:t>
            </w:r>
            <w:r w:rsidRPr="00A65C6D">
              <w:t>(M&amp;F)</w:t>
            </w:r>
          </w:p>
        </w:tc>
        <w:tc>
          <w:tcPr>
            <w:tcW w:w="1417" w:type="dxa"/>
          </w:tcPr>
          <w:p w:rsidR="0023326C" w:rsidRPr="00A65C6D" w:rsidRDefault="0023326C" w:rsidP="00EA786D">
            <w:r w:rsidRPr="00A65C6D">
              <w:t>&lt;80</w:t>
            </w:r>
            <w:r w:rsidR="002E01D4" w:rsidRPr="00A65C6D">
              <w:t xml:space="preserve"> g/L</w:t>
            </w:r>
            <w:r w:rsidRPr="00A65C6D">
              <w:t xml:space="preserve"> (M&amp;F)</w:t>
            </w:r>
          </w:p>
        </w:tc>
        <w:tc>
          <w:tcPr>
            <w:tcW w:w="1559" w:type="dxa"/>
          </w:tcPr>
          <w:p w:rsidR="0023326C" w:rsidRPr="00A65C6D" w:rsidRDefault="0025515B" w:rsidP="0025515B">
            <w:hyperlink r:id="rId6" w:history="1">
              <w:r>
                <w:rPr>
                  <w:rStyle w:val="Hyperlink"/>
                  <w:color w:val="auto"/>
                  <w:u w:val="none"/>
                </w:rPr>
                <w:t>1</w:t>
              </w:r>
            </w:hyperlink>
          </w:p>
        </w:tc>
      </w:tr>
      <w:tr w:rsidR="00910011" w:rsidRPr="00A65C6D" w:rsidTr="000836B3">
        <w:tc>
          <w:tcPr>
            <w:tcW w:w="1418" w:type="dxa"/>
          </w:tcPr>
          <w:p w:rsidR="00910011" w:rsidRPr="00A65C6D" w:rsidRDefault="00910011" w:rsidP="00EA786D">
            <w:r w:rsidRPr="00A65C6D">
              <w:t>Eosinophilia</w:t>
            </w:r>
          </w:p>
        </w:tc>
        <w:tc>
          <w:tcPr>
            <w:tcW w:w="1985" w:type="dxa"/>
          </w:tcPr>
          <w:p w:rsidR="00910011" w:rsidRPr="00A65C6D" w:rsidRDefault="00910011" w:rsidP="00EA786D">
            <w:r w:rsidRPr="00A65C6D">
              <w:t>0-0.4x10</w:t>
            </w:r>
            <w:r w:rsidRPr="00A65C6D">
              <w:rPr>
                <w:vertAlign w:val="superscript"/>
              </w:rPr>
              <w:t>9</w:t>
            </w:r>
            <w:r w:rsidRPr="00A65C6D">
              <w:t>/L</w:t>
            </w:r>
          </w:p>
        </w:tc>
        <w:tc>
          <w:tcPr>
            <w:tcW w:w="1843" w:type="dxa"/>
          </w:tcPr>
          <w:p w:rsidR="00910011" w:rsidRPr="00A65C6D" w:rsidRDefault="00910011" w:rsidP="00EA786D">
            <w:r w:rsidRPr="00A65C6D">
              <w:t>0.5-1.5</w:t>
            </w:r>
            <w:r w:rsidR="00F303A7" w:rsidRPr="00A65C6D">
              <w:t xml:space="preserve"> x10</w:t>
            </w:r>
            <w:r w:rsidR="00F303A7" w:rsidRPr="00A65C6D">
              <w:rPr>
                <w:vertAlign w:val="superscript"/>
              </w:rPr>
              <w:t>9</w:t>
            </w:r>
            <w:r w:rsidR="00F303A7" w:rsidRPr="00A65C6D">
              <w:t>/L</w:t>
            </w:r>
          </w:p>
        </w:tc>
        <w:tc>
          <w:tcPr>
            <w:tcW w:w="1701" w:type="dxa"/>
          </w:tcPr>
          <w:p w:rsidR="00910011" w:rsidRPr="00A65C6D" w:rsidRDefault="00910011" w:rsidP="00EA786D">
            <w:r w:rsidRPr="00A65C6D">
              <w:t>1.5-5</w:t>
            </w:r>
            <w:r w:rsidR="00F303A7" w:rsidRPr="00A65C6D">
              <w:t xml:space="preserve"> x10</w:t>
            </w:r>
            <w:r w:rsidR="00F303A7" w:rsidRPr="00A65C6D">
              <w:rPr>
                <w:vertAlign w:val="superscript"/>
              </w:rPr>
              <w:t>9</w:t>
            </w:r>
            <w:r w:rsidR="00F303A7" w:rsidRPr="00A65C6D">
              <w:t>/L</w:t>
            </w:r>
          </w:p>
        </w:tc>
        <w:tc>
          <w:tcPr>
            <w:tcW w:w="1417" w:type="dxa"/>
          </w:tcPr>
          <w:p w:rsidR="00910011" w:rsidRPr="00A65C6D" w:rsidRDefault="00910011" w:rsidP="00EA786D">
            <w:r w:rsidRPr="00A65C6D">
              <w:t>&gt;5</w:t>
            </w:r>
            <w:r w:rsidR="00F303A7" w:rsidRPr="00A65C6D">
              <w:t xml:space="preserve"> x10</w:t>
            </w:r>
            <w:r w:rsidR="00F303A7" w:rsidRPr="00A65C6D">
              <w:rPr>
                <w:vertAlign w:val="superscript"/>
              </w:rPr>
              <w:t>9</w:t>
            </w:r>
            <w:r w:rsidR="00F303A7" w:rsidRPr="00A65C6D">
              <w:t>/L</w:t>
            </w:r>
          </w:p>
        </w:tc>
        <w:tc>
          <w:tcPr>
            <w:tcW w:w="1559" w:type="dxa"/>
          </w:tcPr>
          <w:p w:rsidR="00910011" w:rsidRPr="00A65C6D" w:rsidRDefault="0025515B" w:rsidP="0025515B">
            <w:hyperlink r:id="rId7" w:anchor=":~:text=The%20degree%20of%20eosinophilia%20associated,to%20eosinophil%20levels%20above%201500." w:history="1">
              <w:r>
                <w:rPr>
                  <w:rStyle w:val="Hyperlink"/>
                  <w:color w:val="auto"/>
                  <w:u w:val="none"/>
                </w:rPr>
                <w:t>2</w:t>
              </w:r>
            </w:hyperlink>
          </w:p>
        </w:tc>
      </w:tr>
      <w:tr w:rsidR="0023326C" w:rsidRPr="00A65C6D" w:rsidTr="000836B3">
        <w:tc>
          <w:tcPr>
            <w:tcW w:w="1418" w:type="dxa"/>
          </w:tcPr>
          <w:p w:rsidR="0023326C" w:rsidRPr="00A65C6D" w:rsidRDefault="0023326C" w:rsidP="00EA786D">
            <w:proofErr w:type="spellStart"/>
            <w:r w:rsidRPr="00A65C6D">
              <w:t>Lympho</w:t>
            </w:r>
            <w:r w:rsidR="008D4434" w:rsidRPr="00A65C6D">
              <w:t>-</w:t>
            </w:r>
            <w:r w:rsidRPr="00A65C6D">
              <w:t>paenia</w:t>
            </w:r>
            <w:proofErr w:type="spellEnd"/>
          </w:p>
        </w:tc>
        <w:tc>
          <w:tcPr>
            <w:tcW w:w="1985" w:type="dxa"/>
          </w:tcPr>
          <w:p w:rsidR="0023326C" w:rsidRPr="00A65C6D" w:rsidRDefault="0023326C" w:rsidP="00EA786D">
            <w:r w:rsidRPr="00A65C6D">
              <w:t>1-4x10</w:t>
            </w:r>
            <w:r w:rsidRPr="00A65C6D">
              <w:rPr>
                <w:vertAlign w:val="superscript"/>
              </w:rPr>
              <w:t>9</w:t>
            </w:r>
            <w:r w:rsidRPr="00A65C6D">
              <w:t>/L</w:t>
            </w:r>
            <w:r w:rsidR="00914163" w:rsidRPr="00A65C6D">
              <w:t xml:space="preserve"> </w:t>
            </w:r>
          </w:p>
        </w:tc>
        <w:tc>
          <w:tcPr>
            <w:tcW w:w="1843" w:type="dxa"/>
          </w:tcPr>
          <w:p w:rsidR="0023326C" w:rsidRPr="00A65C6D" w:rsidRDefault="0023326C" w:rsidP="00EA786D">
            <w:r w:rsidRPr="00A65C6D">
              <w:t>&gt;0.5</w:t>
            </w:r>
            <w:r w:rsidR="00226B31" w:rsidRPr="00A65C6D">
              <w:t xml:space="preserve"> x10</w:t>
            </w:r>
            <w:r w:rsidR="00226B31" w:rsidRPr="00A65C6D">
              <w:rPr>
                <w:vertAlign w:val="superscript"/>
              </w:rPr>
              <w:t>9</w:t>
            </w:r>
            <w:r w:rsidR="00226B31" w:rsidRPr="00A65C6D">
              <w:t>/L</w:t>
            </w:r>
          </w:p>
        </w:tc>
        <w:tc>
          <w:tcPr>
            <w:tcW w:w="1701" w:type="dxa"/>
          </w:tcPr>
          <w:p w:rsidR="0023326C" w:rsidRPr="00A65C6D" w:rsidRDefault="00727348" w:rsidP="00EA786D">
            <w:r w:rsidRPr="00A65C6D">
              <w:t>&lt;0.5 x10</w:t>
            </w:r>
            <w:r w:rsidRPr="00A65C6D">
              <w:rPr>
                <w:vertAlign w:val="superscript"/>
              </w:rPr>
              <w:t>9</w:t>
            </w:r>
            <w:r w:rsidRPr="00A65C6D">
              <w:t>/L</w:t>
            </w:r>
          </w:p>
        </w:tc>
        <w:tc>
          <w:tcPr>
            <w:tcW w:w="1417" w:type="dxa"/>
          </w:tcPr>
          <w:p w:rsidR="0023326C" w:rsidRPr="00A65C6D" w:rsidRDefault="0023326C" w:rsidP="00EA786D"/>
        </w:tc>
        <w:tc>
          <w:tcPr>
            <w:tcW w:w="1559" w:type="dxa"/>
          </w:tcPr>
          <w:p w:rsidR="0023326C" w:rsidRPr="00A65C6D" w:rsidRDefault="0025515B" w:rsidP="000E02D4">
            <w:r>
              <w:t>3</w:t>
            </w:r>
          </w:p>
        </w:tc>
      </w:tr>
      <w:tr w:rsidR="0023326C" w:rsidRPr="00A65C6D" w:rsidTr="000836B3">
        <w:tc>
          <w:tcPr>
            <w:tcW w:w="1418" w:type="dxa"/>
          </w:tcPr>
          <w:p w:rsidR="0023326C" w:rsidRPr="00A65C6D" w:rsidRDefault="0023326C" w:rsidP="00EA786D">
            <w:proofErr w:type="spellStart"/>
            <w:r w:rsidRPr="00A65C6D">
              <w:t>Neutrophilia</w:t>
            </w:r>
            <w:proofErr w:type="spellEnd"/>
          </w:p>
        </w:tc>
        <w:tc>
          <w:tcPr>
            <w:tcW w:w="1985" w:type="dxa"/>
          </w:tcPr>
          <w:p w:rsidR="0023326C" w:rsidRPr="00A65C6D" w:rsidRDefault="0023326C" w:rsidP="00EA786D">
            <w:r w:rsidRPr="00A65C6D">
              <w:t>1.8-7.5x10</w:t>
            </w:r>
            <w:r w:rsidRPr="00A65C6D">
              <w:rPr>
                <w:vertAlign w:val="superscript"/>
              </w:rPr>
              <w:t>9</w:t>
            </w:r>
            <w:r w:rsidRPr="00A65C6D">
              <w:t>/L</w:t>
            </w:r>
          </w:p>
        </w:tc>
        <w:tc>
          <w:tcPr>
            <w:tcW w:w="1843" w:type="dxa"/>
          </w:tcPr>
          <w:p w:rsidR="0023326C" w:rsidRPr="00A65C6D" w:rsidRDefault="0023326C" w:rsidP="00EA786D">
            <w:r w:rsidRPr="00A65C6D">
              <w:t>7.5-20</w:t>
            </w:r>
            <w:r w:rsidR="00CC031E" w:rsidRPr="00A65C6D">
              <w:t xml:space="preserve"> x10</w:t>
            </w:r>
            <w:r w:rsidR="00CC031E" w:rsidRPr="00A65C6D">
              <w:rPr>
                <w:vertAlign w:val="superscript"/>
              </w:rPr>
              <w:t>9</w:t>
            </w:r>
            <w:r w:rsidR="00CC031E" w:rsidRPr="00A65C6D">
              <w:t>/L</w:t>
            </w:r>
          </w:p>
        </w:tc>
        <w:tc>
          <w:tcPr>
            <w:tcW w:w="1701" w:type="dxa"/>
          </w:tcPr>
          <w:p w:rsidR="0023326C" w:rsidRPr="00A65C6D" w:rsidRDefault="0023326C" w:rsidP="00EA786D">
            <w:r w:rsidRPr="00A65C6D">
              <w:t>20-50</w:t>
            </w:r>
            <w:r w:rsidR="00CC031E" w:rsidRPr="00A65C6D">
              <w:t xml:space="preserve"> x10</w:t>
            </w:r>
            <w:r w:rsidR="00CC031E" w:rsidRPr="00A65C6D">
              <w:rPr>
                <w:vertAlign w:val="superscript"/>
              </w:rPr>
              <w:t>9</w:t>
            </w:r>
            <w:r w:rsidR="00CC031E" w:rsidRPr="00A65C6D">
              <w:t>/L</w:t>
            </w:r>
          </w:p>
        </w:tc>
        <w:tc>
          <w:tcPr>
            <w:tcW w:w="1417" w:type="dxa"/>
          </w:tcPr>
          <w:p w:rsidR="0023326C" w:rsidRPr="00A65C6D" w:rsidRDefault="0023326C" w:rsidP="00EA786D">
            <w:r w:rsidRPr="00A65C6D">
              <w:t>&gt;50</w:t>
            </w:r>
            <w:r w:rsidR="00CC031E" w:rsidRPr="00A65C6D">
              <w:t xml:space="preserve"> x10</w:t>
            </w:r>
            <w:r w:rsidR="00CC031E" w:rsidRPr="00A65C6D">
              <w:rPr>
                <w:vertAlign w:val="superscript"/>
              </w:rPr>
              <w:t>9</w:t>
            </w:r>
            <w:r w:rsidR="00CC031E" w:rsidRPr="00A65C6D">
              <w:t>/L</w:t>
            </w:r>
          </w:p>
        </w:tc>
        <w:tc>
          <w:tcPr>
            <w:tcW w:w="1559" w:type="dxa"/>
          </w:tcPr>
          <w:p w:rsidR="0023326C" w:rsidRPr="00A65C6D" w:rsidRDefault="008E1D80" w:rsidP="00EA786D">
            <w:r w:rsidRPr="00A65C6D">
              <w:t>Author consensus</w:t>
            </w:r>
          </w:p>
        </w:tc>
      </w:tr>
      <w:tr w:rsidR="0023326C" w:rsidRPr="00A65C6D" w:rsidTr="000836B3">
        <w:tc>
          <w:tcPr>
            <w:tcW w:w="1418" w:type="dxa"/>
          </w:tcPr>
          <w:p w:rsidR="0023326C" w:rsidRPr="00A65C6D" w:rsidRDefault="0023326C" w:rsidP="00EA786D">
            <w:proofErr w:type="spellStart"/>
            <w:r w:rsidRPr="00A65C6D">
              <w:t>Thrombo</w:t>
            </w:r>
            <w:r w:rsidR="008D4434" w:rsidRPr="00A65C6D">
              <w:t>-</w:t>
            </w:r>
            <w:r w:rsidRPr="00A65C6D">
              <w:t>cytopaenia</w:t>
            </w:r>
            <w:proofErr w:type="spellEnd"/>
          </w:p>
        </w:tc>
        <w:tc>
          <w:tcPr>
            <w:tcW w:w="1985" w:type="dxa"/>
          </w:tcPr>
          <w:p w:rsidR="0023326C" w:rsidRPr="00A65C6D" w:rsidRDefault="0023326C" w:rsidP="00EA786D">
            <w:r w:rsidRPr="00A65C6D">
              <w:t>150-450 x10</w:t>
            </w:r>
            <w:r w:rsidRPr="00A65C6D">
              <w:rPr>
                <w:vertAlign w:val="superscript"/>
              </w:rPr>
              <w:t>9</w:t>
            </w:r>
            <w:r w:rsidRPr="00A65C6D">
              <w:t>/L</w:t>
            </w:r>
          </w:p>
        </w:tc>
        <w:tc>
          <w:tcPr>
            <w:tcW w:w="1843" w:type="dxa"/>
          </w:tcPr>
          <w:p w:rsidR="0023326C" w:rsidRPr="00A65C6D" w:rsidRDefault="0023326C" w:rsidP="00EA786D">
            <w:r w:rsidRPr="00A65C6D">
              <w:t>100-149</w:t>
            </w:r>
          </w:p>
        </w:tc>
        <w:tc>
          <w:tcPr>
            <w:tcW w:w="1701" w:type="dxa"/>
          </w:tcPr>
          <w:p w:rsidR="0023326C" w:rsidRPr="00A65C6D" w:rsidRDefault="0023326C" w:rsidP="00EA786D">
            <w:r w:rsidRPr="00A65C6D">
              <w:t>50-99</w:t>
            </w:r>
          </w:p>
        </w:tc>
        <w:tc>
          <w:tcPr>
            <w:tcW w:w="1417" w:type="dxa"/>
          </w:tcPr>
          <w:p w:rsidR="0023326C" w:rsidRPr="00A65C6D" w:rsidRDefault="0023326C" w:rsidP="00EA786D">
            <w:r w:rsidRPr="00A65C6D">
              <w:t>0-49</w:t>
            </w:r>
          </w:p>
        </w:tc>
        <w:tc>
          <w:tcPr>
            <w:tcW w:w="1559" w:type="dxa"/>
          </w:tcPr>
          <w:p w:rsidR="0023326C" w:rsidRPr="00A65C6D" w:rsidRDefault="0025515B" w:rsidP="000C1CDC">
            <w:r>
              <w:t>4</w:t>
            </w:r>
          </w:p>
        </w:tc>
      </w:tr>
      <w:tr w:rsidR="0023326C" w:rsidRPr="00A65C6D" w:rsidTr="000836B3">
        <w:tc>
          <w:tcPr>
            <w:tcW w:w="1418" w:type="dxa"/>
          </w:tcPr>
          <w:p w:rsidR="0023326C" w:rsidRPr="00A65C6D" w:rsidRDefault="00D23797" w:rsidP="00D23797">
            <w:r w:rsidRPr="00A65C6D">
              <w:t>Raised t</w:t>
            </w:r>
            <w:r w:rsidR="0023326C" w:rsidRPr="00A65C6D">
              <w:t>otal cholesterol</w:t>
            </w:r>
          </w:p>
        </w:tc>
        <w:tc>
          <w:tcPr>
            <w:tcW w:w="1985" w:type="dxa"/>
          </w:tcPr>
          <w:p w:rsidR="0023326C" w:rsidRPr="00A65C6D" w:rsidRDefault="0023326C" w:rsidP="00EA786D">
            <w:r w:rsidRPr="00A65C6D">
              <w:t>&lt;5mmol/L</w:t>
            </w:r>
          </w:p>
        </w:tc>
        <w:tc>
          <w:tcPr>
            <w:tcW w:w="1843" w:type="dxa"/>
          </w:tcPr>
          <w:p w:rsidR="0023326C" w:rsidRPr="00A65C6D" w:rsidRDefault="00477E3B" w:rsidP="00477E3B">
            <w:r w:rsidRPr="00A65C6D">
              <w:t>5-</w:t>
            </w:r>
            <w:r w:rsidR="0023326C" w:rsidRPr="00A65C6D">
              <w:t>6.2</w:t>
            </w:r>
            <w:r w:rsidRPr="00A65C6D">
              <w:t>mmol/L</w:t>
            </w:r>
          </w:p>
        </w:tc>
        <w:tc>
          <w:tcPr>
            <w:tcW w:w="1701" w:type="dxa"/>
          </w:tcPr>
          <w:p w:rsidR="0023326C" w:rsidRPr="00A65C6D" w:rsidRDefault="00477E3B" w:rsidP="00EA786D">
            <w:r w:rsidRPr="00A65C6D">
              <w:t>&gt;6.2mmol/L</w:t>
            </w:r>
          </w:p>
        </w:tc>
        <w:tc>
          <w:tcPr>
            <w:tcW w:w="1417" w:type="dxa"/>
          </w:tcPr>
          <w:p w:rsidR="0023326C" w:rsidRPr="00A65C6D" w:rsidRDefault="0023326C" w:rsidP="00EA786D"/>
        </w:tc>
        <w:tc>
          <w:tcPr>
            <w:tcW w:w="1559" w:type="dxa"/>
          </w:tcPr>
          <w:p w:rsidR="0023326C" w:rsidRPr="00A65C6D" w:rsidRDefault="0025515B" w:rsidP="00E81C18">
            <w:r>
              <w:t>5</w:t>
            </w:r>
          </w:p>
        </w:tc>
      </w:tr>
      <w:tr w:rsidR="0023326C" w:rsidRPr="00A65C6D" w:rsidTr="000836B3">
        <w:tc>
          <w:tcPr>
            <w:tcW w:w="1418" w:type="dxa"/>
          </w:tcPr>
          <w:p w:rsidR="0023326C" w:rsidRPr="00A65C6D" w:rsidRDefault="00910011" w:rsidP="00EA786D">
            <w:r w:rsidRPr="00A65C6D">
              <w:t xml:space="preserve">Reduced </w:t>
            </w:r>
            <w:proofErr w:type="spellStart"/>
            <w:r w:rsidR="0023326C" w:rsidRPr="00A65C6D">
              <w:t>eGFR</w:t>
            </w:r>
            <w:proofErr w:type="spellEnd"/>
          </w:p>
        </w:tc>
        <w:tc>
          <w:tcPr>
            <w:tcW w:w="1985" w:type="dxa"/>
          </w:tcPr>
          <w:p w:rsidR="0023326C" w:rsidRPr="00A65C6D" w:rsidRDefault="0023326C" w:rsidP="00EA786D">
            <w:pPr>
              <w:rPr>
                <w:vertAlign w:val="superscript"/>
              </w:rPr>
            </w:pPr>
            <w:r w:rsidRPr="00A65C6D">
              <w:t>&gt;90ml/min/1.73m</w:t>
            </w:r>
            <w:r w:rsidRPr="00A65C6D">
              <w:rPr>
                <w:vertAlign w:val="superscript"/>
              </w:rPr>
              <w:t>2</w:t>
            </w:r>
          </w:p>
        </w:tc>
        <w:tc>
          <w:tcPr>
            <w:tcW w:w="1843" w:type="dxa"/>
          </w:tcPr>
          <w:p w:rsidR="0023326C" w:rsidRPr="00A65C6D" w:rsidRDefault="0023326C" w:rsidP="00EA786D">
            <w:r w:rsidRPr="00A65C6D">
              <w:t>60-90</w:t>
            </w:r>
          </w:p>
        </w:tc>
        <w:tc>
          <w:tcPr>
            <w:tcW w:w="1701" w:type="dxa"/>
          </w:tcPr>
          <w:p w:rsidR="0023326C" w:rsidRPr="00A65C6D" w:rsidRDefault="0023326C" w:rsidP="00EA786D">
            <w:r w:rsidRPr="00A65C6D">
              <w:t>45-59</w:t>
            </w:r>
          </w:p>
        </w:tc>
        <w:tc>
          <w:tcPr>
            <w:tcW w:w="1417" w:type="dxa"/>
          </w:tcPr>
          <w:p w:rsidR="0023326C" w:rsidRPr="00A65C6D" w:rsidRDefault="0023326C" w:rsidP="00EA786D">
            <w:r w:rsidRPr="00A65C6D">
              <w:t>15-44</w:t>
            </w:r>
          </w:p>
        </w:tc>
        <w:tc>
          <w:tcPr>
            <w:tcW w:w="1559" w:type="dxa"/>
          </w:tcPr>
          <w:p w:rsidR="0023326C" w:rsidRPr="00A65C6D" w:rsidRDefault="0025515B" w:rsidP="00EA786D">
            <w:r>
              <w:t>6</w:t>
            </w:r>
          </w:p>
        </w:tc>
      </w:tr>
      <w:tr w:rsidR="0023326C" w:rsidRPr="00A65C6D" w:rsidTr="000836B3">
        <w:tc>
          <w:tcPr>
            <w:tcW w:w="1418" w:type="dxa"/>
          </w:tcPr>
          <w:p w:rsidR="0023326C" w:rsidRPr="00A65C6D" w:rsidRDefault="00D23797" w:rsidP="00D23797">
            <w:r w:rsidRPr="00A65C6D">
              <w:t>Raised b</w:t>
            </w:r>
            <w:r w:rsidR="0023326C" w:rsidRPr="00A65C6D">
              <w:t>ilirubin</w:t>
            </w:r>
          </w:p>
        </w:tc>
        <w:tc>
          <w:tcPr>
            <w:tcW w:w="1985" w:type="dxa"/>
          </w:tcPr>
          <w:p w:rsidR="0023326C" w:rsidRPr="00A65C6D" w:rsidRDefault="0023326C" w:rsidP="00EA786D">
            <w:r w:rsidRPr="00A65C6D">
              <w:t>0-20µmol/L</w:t>
            </w:r>
          </w:p>
        </w:tc>
        <w:tc>
          <w:tcPr>
            <w:tcW w:w="1843" w:type="dxa"/>
          </w:tcPr>
          <w:p w:rsidR="0023326C" w:rsidRPr="00A65C6D" w:rsidRDefault="0023326C" w:rsidP="00EA786D">
            <w:r w:rsidRPr="00A65C6D">
              <w:t>&lt;1.5x upper limit of normal</w:t>
            </w:r>
          </w:p>
        </w:tc>
        <w:tc>
          <w:tcPr>
            <w:tcW w:w="1701" w:type="dxa"/>
          </w:tcPr>
          <w:p w:rsidR="0023326C" w:rsidRPr="00A65C6D" w:rsidRDefault="0023326C" w:rsidP="00EA786D">
            <w:r w:rsidRPr="00A65C6D">
              <w:t>&gt;1.5x upper limit</w:t>
            </w:r>
          </w:p>
        </w:tc>
        <w:tc>
          <w:tcPr>
            <w:tcW w:w="1417" w:type="dxa"/>
          </w:tcPr>
          <w:p w:rsidR="0023326C" w:rsidRPr="00A65C6D" w:rsidRDefault="0023326C" w:rsidP="00EA786D"/>
        </w:tc>
        <w:tc>
          <w:tcPr>
            <w:tcW w:w="1559" w:type="dxa"/>
          </w:tcPr>
          <w:p w:rsidR="0023326C" w:rsidRPr="00A65C6D" w:rsidRDefault="0025515B" w:rsidP="00EA786D">
            <w:r>
              <w:t>7</w:t>
            </w:r>
            <w:r w:rsidR="003F54E2" w:rsidRPr="00A65C6D">
              <w:t xml:space="preserve"> and author consensus</w:t>
            </w:r>
          </w:p>
        </w:tc>
      </w:tr>
      <w:tr w:rsidR="0023326C" w:rsidRPr="00A65C6D" w:rsidTr="000836B3">
        <w:tc>
          <w:tcPr>
            <w:tcW w:w="1418" w:type="dxa"/>
          </w:tcPr>
          <w:p w:rsidR="0023326C" w:rsidRPr="00A65C6D" w:rsidRDefault="00D23797" w:rsidP="00EA786D">
            <w:r w:rsidRPr="00A65C6D">
              <w:t xml:space="preserve">Raised </w:t>
            </w:r>
            <w:r w:rsidR="0023326C" w:rsidRPr="00A65C6D">
              <w:t>ALT</w:t>
            </w:r>
          </w:p>
        </w:tc>
        <w:tc>
          <w:tcPr>
            <w:tcW w:w="1985" w:type="dxa"/>
          </w:tcPr>
          <w:p w:rsidR="0023326C" w:rsidRPr="00A65C6D" w:rsidRDefault="0023326C" w:rsidP="00EA786D">
            <w:r w:rsidRPr="00A65C6D">
              <w:t>7-40U/L</w:t>
            </w:r>
          </w:p>
        </w:tc>
        <w:tc>
          <w:tcPr>
            <w:tcW w:w="1843" w:type="dxa"/>
          </w:tcPr>
          <w:p w:rsidR="0023326C" w:rsidRPr="00A65C6D" w:rsidRDefault="0023326C" w:rsidP="00EA786D">
            <w:r w:rsidRPr="00A65C6D">
              <w:t>&lt;2x upper limit of normal</w:t>
            </w:r>
          </w:p>
        </w:tc>
        <w:tc>
          <w:tcPr>
            <w:tcW w:w="1701" w:type="dxa"/>
          </w:tcPr>
          <w:p w:rsidR="0023326C" w:rsidRPr="00A65C6D" w:rsidRDefault="0023326C" w:rsidP="00EA786D">
            <w:r w:rsidRPr="00A65C6D">
              <w:t>&gt;2x upper limit</w:t>
            </w:r>
          </w:p>
        </w:tc>
        <w:tc>
          <w:tcPr>
            <w:tcW w:w="1417" w:type="dxa"/>
          </w:tcPr>
          <w:p w:rsidR="0023326C" w:rsidRPr="00A65C6D" w:rsidRDefault="0023326C" w:rsidP="00EA786D"/>
        </w:tc>
        <w:tc>
          <w:tcPr>
            <w:tcW w:w="1559" w:type="dxa"/>
          </w:tcPr>
          <w:p w:rsidR="0023326C" w:rsidRPr="00A65C6D" w:rsidRDefault="0025515B" w:rsidP="00EA786D">
            <w:r>
              <w:t>7</w:t>
            </w:r>
            <w:r w:rsidR="00946B30" w:rsidRPr="00A65C6D">
              <w:t xml:space="preserve"> and author consensus</w:t>
            </w:r>
          </w:p>
        </w:tc>
      </w:tr>
      <w:tr w:rsidR="0023326C" w:rsidRPr="00A65C6D" w:rsidTr="000836B3">
        <w:tc>
          <w:tcPr>
            <w:tcW w:w="1418" w:type="dxa"/>
          </w:tcPr>
          <w:p w:rsidR="0023326C" w:rsidRPr="00A65C6D" w:rsidRDefault="00D23797" w:rsidP="00EA786D">
            <w:r w:rsidRPr="00A65C6D">
              <w:t xml:space="preserve">Raised </w:t>
            </w:r>
            <w:r w:rsidR="0023326C" w:rsidRPr="00A65C6D">
              <w:t>ALP</w:t>
            </w:r>
          </w:p>
        </w:tc>
        <w:tc>
          <w:tcPr>
            <w:tcW w:w="1985" w:type="dxa"/>
          </w:tcPr>
          <w:p w:rsidR="0023326C" w:rsidRPr="00A65C6D" w:rsidRDefault="0023326C" w:rsidP="00EA786D">
            <w:r w:rsidRPr="00A65C6D">
              <w:t>30-130U/L</w:t>
            </w:r>
          </w:p>
        </w:tc>
        <w:tc>
          <w:tcPr>
            <w:tcW w:w="1843" w:type="dxa"/>
          </w:tcPr>
          <w:p w:rsidR="0023326C" w:rsidRPr="00A65C6D" w:rsidRDefault="0023326C" w:rsidP="00EA786D">
            <w:r w:rsidRPr="00A65C6D">
              <w:t>&lt;2x upper limit of normal</w:t>
            </w:r>
          </w:p>
        </w:tc>
        <w:tc>
          <w:tcPr>
            <w:tcW w:w="1701" w:type="dxa"/>
          </w:tcPr>
          <w:p w:rsidR="0023326C" w:rsidRPr="00A65C6D" w:rsidRDefault="0023326C" w:rsidP="00EA786D">
            <w:r w:rsidRPr="00A65C6D">
              <w:t>&gt;2x upper limit</w:t>
            </w:r>
          </w:p>
        </w:tc>
        <w:tc>
          <w:tcPr>
            <w:tcW w:w="1417" w:type="dxa"/>
          </w:tcPr>
          <w:p w:rsidR="0023326C" w:rsidRPr="00A65C6D" w:rsidRDefault="0023326C" w:rsidP="00EA786D"/>
        </w:tc>
        <w:tc>
          <w:tcPr>
            <w:tcW w:w="1559" w:type="dxa"/>
          </w:tcPr>
          <w:p w:rsidR="0023326C" w:rsidRPr="00A65C6D" w:rsidRDefault="0025515B" w:rsidP="00EA786D">
            <w:r>
              <w:t>7</w:t>
            </w:r>
            <w:r w:rsidR="00946B30" w:rsidRPr="00A65C6D">
              <w:t xml:space="preserve"> and author consensus</w:t>
            </w:r>
          </w:p>
        </w:tc>
      </w:tr>
      <w:tr w:rsidR="0023326C" w:rsidRPr="00A65C6D" w:rsidTr="000836B3">
        <w:tc>
          <w:tcPr>
            <w:tcW w:w="1418" w:type="dxa"/>
          </w:tcPr>
          <w:p w:rsidR="0023326C" w:rsidRPr="00A65C6D" w:rsidRDefault="00D23797" w:rsidP="00EA786D">
            <w:r w:rsidRPr="00A65C6D">
              <w:t xml:space="preserve">Raised </w:t>
            </w:r>
            <w:r w:rsidR="0023326C" w:rsidRPr="00A65C6D">
              <w:t>GGT</w:t>
            </w:r>
          </w:p>
        </w:tc>
        <w:tc>
          <w:tcPr>
            <w:tcW w:w="1985" w:type="dxa"/>
          </w:tcPr>
          <w:p w:rsidR="0023326C" w:rsidRPr="00A65C6D" w:rsidRDefault="0023326C" w:rsidP="00EA786D">
            <w:r w:rsidRPr="00A65C6D">
              <w:t>&lt;73U/L</w:t>
            </w:r>
          </w:p>
        </w:tc>
        <w:tc>
          <w:tcPr>
            <w:tcW w:w="1843" w:type="dxa"/>
          </w:tcPr>
          <w:p w:rsidR="0023326C" w:rsidRPr="00A65C6D" w:rsidRDefault="0023326C" w:rsidP="00EA786D">
            <w:r w:rsidRPr="00A65C6D">
              <w:t>&lt;2x upper limit of normal</w:t>
            </w:r>
          </w:p>
        </w:tc>
        <w:tc>
          <w:tcPr>
            <w:tcW w:w="1701" w:type="dxa"/>
          </w:tcPr>
          <w:p w:rsidR="0023326C" w:rsidRPr="00A65C6D" w:rsidRDefault="0023326C" w:rsidP="00EA786D">
            <w:r w:rsidRPr="00A65C6D">
              <w:t>&gt;2x upper limit</w:t>
            </w:r>
          </w:p>
        </w:tc>
        <w:tc>
          <w:tcPr>
            <w:tcW w:w="1417" w:type="dxa"/>
          </w:tcPr>
          <w:p w:rsidR="0023326C" w:rsidRPr="00A65C6D" w:rsidRDefault="0023326C" w:rsidP="00EA786D"/>
        </w:tc>
        <w:tc>
          <w:tcPr>
            <w:tcW w:w="1559" w:type="dxa"/>
          </w:tcPr>
          <w:p w:rsidR="0023326C" w:rsidRPr="00A65C6D" w:rsidRDefault="00946B30" w:rsidP="00EA786D">
            <w:r w:rsidRPr="00A65C6D">
              <w:t>Author consensus</w:t>
            </w:r>
          </w:p>
        </w:tc>
      </w:tr>
    </w:tbl>
    <w:p w:rsidR="008713B7" w:rsidRPr="00E92402" w:rsidRDefault="008713B7" w:rsidP="0074631B">
      <w:pPr>
        <w:spacing w:after="0"/>
        <w:rPr>
          <w:vertAlign w:val="superscript"/>
        </w:rPr>
      </w:pPr>
      <w:r w:rsidRPr="00E92402">
        <w:rPr>
          <w:vertAlign w:val="superscript"/>
        </w:rPr>
        <w:t xml:space="preserve">The following abnormalities were not categorised by severity: </w:t>
      </w:r>
      <w:proofErr w:type="spellStart"/>
      <w:r w:rsidRPr="00E92402">
        <w:rPr>
          <w:vertAlign w:val="superscript"/>
        </w:rPr>
        <w:t>microcytosis</w:t>
      </w:r>
      <w:proofErr w:type="spellEnd"/>
      <w:r w:rsidRPr="00E92402">
        <w:rPr>
          <w:vertAlign w:val="superscript"/>
        </w:rPr>
        <w:t>, lipid profile abnormalities, positive connective tissue disease screen, raised C-reactive protein, raised total immunoglobulin E</w:t>
      </w:r>
      <w:r w:rsidR="00914163" w:rsidRPr="00E92402">
        <w:rPr>
          <w:vertAlign w:val="superscript"/>
        </w:rPr>
        <w:t>.</w:t>
      </w:r>
    </w:p>
    <w:p w:rsidR="008D4434" w:rsidRPr="00E92402" w:rsidRDefault="008D4434" w:rsidP="0074631B">
      <w:pPr>
        <w:spacing w:after="0"/>
        <w:rPr>
          <w:vertAlign w:val="superscript"/>
        </w:rPr>
      </w:pPr>
      <w:r w:rsidRPr="00E92402">
        <w:rPr>
          <w:vertAlign w:val="superscript"/>
        </w:rPr>
        <w:t xml:space="preserve">ALP = alkaline phosphatase. ALT = alanine aminotransferase. </w:t>
      </w:r>
      <w:proofErr w:type="spellStart"/>
      <w:proofErr w:type="gramStart"/>
      <w:r w:rsidRPr="00E92402">
        <w:rPr>
          <w:vertAlign w:val="superscript"/>
        </w:rPr>
        <w:t>eGFR</w:t>
      </w:r>
      <w:proofErr w:type="spellEnd"/>
      <w:proofErr w:type="gramEnd"/>
      <w:r w:rsidRPr="00E92402">
        <w:rPr>
          <w:vertAlign w:val="superscript"/>
        </w:rPr>
        <w:t xml:space="preserve"> = estimated glomerular filtration rate. F = female. g = grams. GGT = gamma-</w:t>
      </w:r>
      <w:proofErr w:type="spellStart"/>
      <w:r w:rsidRPr="00E92402">
        <w:rPr>
          <w:vertAlign w:val="superscript"/>
        </w:rPr>
        <w:t>glutamyl</w:t>
      </w:r>
      <w:proofErr w:type="spellEnd"/>
      <w:r w:rsidRPr="00E92402">
        <w:rPr>
          <w:vertAlign w:val="superscript"/>
        </w:rPr>
        <w:t xml:space="preserve"> </w:t>
      </w:r>
      <w:proofErr w:type="spellStart"/>
      <w:r w:rsidRPr="00E92402">
        <w:rPr>
          <w:vertAlign w:val="superscript"/>
        </w:rPr>
        <w:t>transferase</w:t>
      </w:r>
      <w:proofErr w:type="spellEnd"/>
      <w:r w:rsidRPr="00E92402">
        <w:rPr>
          <w:vertAlign w:val="superscript"/>
        </w:rPr>
        <w:t>. L = litre. M = male. U = units.</w:t>
      </w:r>
    </w:p>
    <w:p w:rsidR="00914163" w:rsidRPr="00A65C6D" w:rsidRDefault="00914163" w:rsidP="0074631B">
      <w:pPr>
        <w:spacing w:after="0"/>
        <w:rPr>
          <w:vertAlign w:val="superscript"/>
        </w:rPr>
      </w:pPr>
    </w:p>
    <w:p w:rsidR="00E54814" w:rsidRPr="0025515B" w:rsidRDefault="00E54814" w:rsidP="0074631B">
      <w:pPr>
        <w:spacing w:after="0"/>
        <w:rPr>
          <w:sz w:val="24"/>
          <w:szCs w:val="24"/>
          <w:u w:val="single"/>
        </w:rPr>
      </w:pPr>
    </w:p>
    <w:p w:rsidR="00756B87" w:rsidRDefault="0025515B" w:rsidP="005F3D35">
      <w:pPr>
        <w:spacing w:after="0"/>
        <w:rPr>
          <w:sz w:val="24"/>
          <w:szCs w:val="24"/>
          <w:lang w:val="en-US"/>
        </w:rPr>
      </w:pPr>
      <w:r w:rsidRPr="0025515B">
        <w:rPr>
          <w:sz w:val="24"/>
          <w:szCs w:val="24"/>
          <w:lang w:val="en-US"/>
        </w:rPr>
        <w:t>References:</w:t>
      </w:r>
    </w:p>
    <w:p w:rsidR="0025515B" w:rsidRPr="0025515B" w:rsidRDefault="0025515B" w:rsidP="005F3D35">
      <w:pPr>
        <w:spacing w:after="0"/>
        <w:rPr>
          <w:sz w:val="24"/>
          <w:szCs w:val="24"/>
          <w:lang w:val="en-US"/>
        </w:rPr>
      </w:pPr>
      <w:bookmarkStart w:id="0" w:name="_GoBack"/>
      <w:bookmarkEnd w:id="0"/>
    </w:p>
    <w:p w:rsidR="0025515B" w:rsidRPr="0025515B" w:rsidRDefault="0025515B" w:rsidP="0025515B">
      <w:pPr>
        <w:pStyle w:val="ListParagraph"/>
        <w:numPr>
          <w:ilvl w:val="0"/>
          <w:numId w:val="2"/>
        </w:numPr>
        <w:spacing w:after="0" w:line="360" w:lineRule="auto"/>
        <w:rPr>
          <w:rFonts w:cstheme="minorHAnsi"/>
          <w:color w:val="1C1D1E"/>
          <w:sz w:val="24"/>
          <w:szCs w:val="24"/>
          <w:shd w:val="clear" w:color="auto" w:fill="FFFFFF"/>
        </w:rPr>
      </w:pPr>
      <w:r w:rsidRPr="0025515B">
        <w:rPr>
          <w:rStyle w:val="groupname"/>
          <w:rFonts w:cstheme="minorHAnsi"/>
          <w:color w:val="1C1D1E"/>
          <w:sz w:val="24"/>
          <w:szCs w:val="24"/>
          <w:shd w:val="clear" w:color="auto" w:fill="FFFFFF"/>
        </w:rPr>
        <w:t>World Health Organization</w:t>
      </w:r>
      <w:r w:rsidRPr="0025515B">
        <w:rPr>
          <w:rFonts w:cstheme="minorHAnsi"/>
          <w:color w:val="1C1D1E"/>
          <w:sz w:val="24"/>
          <w:szCs w:val="24"/>
          <w:shd w:val="clear" w:color="auto" w:fill="FFFFFF"/>
        </w:rPr>
        <w:t>. </w:t>
      </w:r>
      <w:r w:rsidRPr="0025515B">
        <w:rPr>
          <w:rStyle w:val="othertitle"/>
          <w:rFonts w:cstheme="minorHAnsi"/>
          <w:color w:val="1C1D1E"/>
          <w:sz w:val="24"/>
          <w:szCs w:val="24"/>
          <w:shd w:val="clear" w:color="auto" w:fill="FFFFFF"/>
        </w:rPr>
        <w:t>Haemoglobin concentrations for the diagnosis of anaemia and assessment of severity</w:t>
      </w:r>
      <w:r w:rsidRPr="0025515B">
        <w:rPr>
          <w:rFonts w:cstheme="minorHAnsi"/>
          <w:color w:val="1C1D1E"/>
          <w:sz w:val="24"/>
          <w:szCs w:val="24"/>
          <w:shd w:val="clear" w:color="auto" w:fill="FFFFFF"/>
        </w:rPr>
        <w:t>. WHO/NMH/NHD/MNM/11.1. </w:t>
      </w:r>
      <w:hyperlink r:id="rId8" w:history="1">
        <w:r w:rsidRPr="0025515B">
          <w:rPr>
            <w:rStyle w:val="Hyperlink"/>
            <w:rFonts w:cstheme="minorHAnsi"/>
            <w:color w:val="005274"/>
            <w:sz w:val="24"/>
            <w:szCs w:val="24"/>
            <w:shd w:val="clear" w:color="auto" w:fill="FFFFFF"/>
          </w:rPr>
          <w:t>http://www.who.int/vmnis/indicators/haemoglobin.pdf</w:t>
        </w:r>
      </w:hyperlink>
      <w:r w:rsidRPr="0025515B">
        <w:rPr>
          <w:rFonts w:cstheme="minorHAnsi"/>
          <w:color w:val="1C1D1E"/>
          <w:sz w:val="24"/>
          <w:szCs w:val="24"/>
          <w:shd w:val="clear" w:color="auto" w:fill="FFFFFF"/>
        </w:rPr>
        <w:t> (accessed 29/10/2020).</w:t>
      </w:r>
    </w:p>
    <w:p w:rsidR="0025515B" w:rsidRPr="0025515B" w:rsidRDefault="0025515B" w:rsidP="0025515B">
      <w:pPr>
        <w:pStyle w:val="ListParagraph"/>
        <w:numPr>
          <w:ilvl w:val="0"/>
          <w:numId w:val="2"/>
        </w:numPr>
        <w:spacing w:after="0" w:line="360" w:lineRule="auto"/>
        <w:rPr>
          <w:rFonts w:cstheme="minorHAnsi"/>
          <w:color w:val="1C1D1E"/>
          <w:sz w:val="24"/>
          <w:szCs w:val="24"/>
          <w:shd w:val="clear" w:color="auto" w:fill="FFFFFF"/>
        </w:rPr>
      </w:pPr>
      <w:r w:rsidRPr="0025515B">
        <w:rPr>
          <w:rFonts w:cstheme="minorHAnsi"/>
          <w:noProof/>
          <w:sz w:val="24"/>
          <w:szCs w:val="24"/>
        </w:rPr>
        <w:t>Rosenwasser LJ. Approach to patients with eosinophilia. Mo Med. 2011;108(5):358-60.</w:t>
      </w:r>
    </w:p>
    <w:p w:rsidR="0025515B" w:rsidRPr="0025515B" w:rsidRDefault="0025515B" w:rsidP="0025515B">
      <w:pPr>
        <w:pStyle w:val="ListParagraph"/>
        <w:spacing w:after="0" w:line="360" w:lineRule="auto"/>
        <w:rPr>
          <w:rFonts w:cstheme="minorHAnsi"/>
          <w:color w:val="1C1D1E"/>
          <w:sz w:val="24"/>
          <w:szCs w:val="24"/>
          <w:shd w:val="clear" w:color="auto" w:fill="FFFFFF"/>
        </w:rPr>
      </w:pPr>
    </w:p>
    <w:p w:rsidR="0025515B" w:rsidRPr="0025515B" w:rsidRDefault="0025515B" w:rsidP="0025515B">
      <w:pPr>
        <w:pStyle w:val="ListParagraph"/>
        <w:numPr>
          <w:ilvl w:val="0"/>
          <w:numId w:val="2"/>
        </w:numPr>
        <w:spacing w:after="0" w:line="360" w:lineRule="auto"/>
        <w:rPr>
          <w:rFonts w:cstheme="minorHAnsi"/>
          <w:noProof/>
          <w:sz w:val="24"/>
          <w:szCs w:val="24"/>
        </w:rPr>
      </w:pPr>
      <w:r w:rsidRPr="0025515B">
        <w:rPr>
          <w:rFonts w:cstheme="minorHAnsi"/>
          <w:noProof/>
          <w:sz w:val="24"/>
          <w:szCs w:val="24"/>
        </w:rPr>
        <w:lastRenderedPageBreak/>
        <w:t>Chung K-P, Chang H-T, Lo S-C, Chang L-Y, Lin S-Y, Cheng A, et al. Severe Lymphopenia Is Associated with Elevated Plasma Interleukin-15 Levels and Increased Mortality During Severe Sepsis. Shock. 2015;43(6):569-75.</w:t>
      </w:r>
    </w:p>
    <w:p w:rsidR="0025515B" w:rsidRPr="0025515B" w:rsidRDefault="0025515B" w:rsidP="0025515B">
      <w:pPr>
        <w:pStyle w:val="EndNoteBibliography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5515B">
        <w:rPr>
          <w:rFonts w:asciiTheme="minorHAnsi" w:hAnsiTheme="minorHAnsi" w:cstheme="minorHAnsi"/>
          <w:sz w:val="24"/>
          <w:szCs w:val="24"/>
        </w:rPr>
        <w:t>Williamson DR, Albert M, Heels-Ansdell D, Arnold DM, Lauzier F, Zarychanski R, et al. Thrombocytopenia in critically ill patients receiving thromboprophylaxis: frequency, risk factors, and outcomes. Chest. 2013;144(4):1207-15.</w:t>
      </w:r>
    </w:p>
    <w:p w:rsidR="0025515B" w:rsidRPr="0025515B" w:rsidRDefault="0025515B" w:rsidP="0025515B">
      <w:pPr>
        <w:pStyle w:val="EndNoteBibliography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5515B">
        <w:rPr>
          <w:rFonts w:asciiTheme="minorHAnsi" w:hAnsiTheme="minorHAnsi" w:cstheme="minorHAnsi"/>
          <w:sz w:val="24"/>
          <w:szCs w:val="24"/>
        </w:rPr>
        <w:t xml:space="preserve">Mayo Foundation for Medical Education and Research. Cholesterol test. </w:t>
      </w:r>
      <w:hyperlink r:id="rId9" w:history="1">
        <w:r w:rsidRPr="0025515B">
          <w:rPr>
            <w:rStyle w:val="Hyperlink"/>
            <w:rFonts w:asciiTheme="minorHAnsi" w:hAnsiTheme="minorHAnsi" w:cstheme="minorHAnsi"/>
            <w:sz w:val="24"/>
            <w:szCs w:val="24"/>
          </w:rPr>
          <w:t>https://www.mayoclinic.org/tests-procedures/cholesterol-test/about/pac-20384601</w:t>
        </w:r>
      </w:hyperlink>
      <w:r w:rsidRPr="0025515B">
        <w:rPr>
          <w:rFonts w:asciiTheme="minorHAnsi" w:hAnsiTheme="minorHAnsi" w:cstheme="minorHAnsi"/>
          <w:sz w:val="24"/>
          <w:szCs w:val="24"/>
        </w:rPr>
        <w:t xml:space="preserve"> (accessed 29/10/2020).</w:t>
      </w:r>
    </w:p>
    <w:p w:rsidR="0025515B" w:rsidRPr="0025515B" w:rsidRDefault="0025515B" w:rsidP="0025515B">
      <w:pPr>
        <w:pStyle w:val="EndNoteBibliography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5515B">
        <w:rPr>
          <w:rFonts w:asciiTheme="minorHAnsi" w:hAnsiTheme="minorHAnsi" w:cstheme="minorHAnsi"/>
          <w:sz w:val="24"/>
          <w:szCs w:val="24"/>
        </w:rPr>
        <w:t xml:space="preserve">The Renal Association. The UK eCKD Guide, 2017. </w:t>
      </w:r>
      <w:hyperlink r:id="rId10" w:history="1">
        <w:r w:rsidRPr="0025515B">
          <w:rPr>
            <w:rStyle w:val="Hyperlink"/>
            <w:rFonts w:asciiTheme="minorHAnsi" w:hAnsiTheme="minorHAnsi" w:cstheme="minorHAnsi"/>
            <w:sz w:val="24"/>
            <w:szCs w:val="24"/>
          </w:rPr>
          <w:t>https://renal.org/health-professionals/information-resources/uk-eckd-guide</w:t>
        </w:r>
      </w:hyperlink>
      <w:r w:rsidRPr="0025515B">
        <w:rPr>
          <w:rFonts w:asciiTheme="minorHAnsi" w:hAnsiTheme="minorHAnsi" w:cstheme="minorHAnsi"/>
          <w:sz w:val="24"/>
          <w:szCs w:val="24"/>
        </w:rPr>
        <w:t xml:space="preserve"> (accessed 29/10/2020).</w:t>
      </w:r>
    </w:p>
    <w:p w:rsidR="0025515B" w:rsidRPr="0025515B" w:rsidRDefault="0025515B" w:rsidP="0025515B">
      <w:pPr>
        <w:pStyle w:val="EndNoteBibliography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5515B">
        <w:rPr>
          <w:rFonts w:asciiTheme="minorHAnsi" w:hAnsiTheme="minorHAnsi" w:cstheme="minorHAnsi"/>
          <w:sz w:val="24"/>
          <w:szCs w:val="24"/>
        </w:rPr>
        <w:t xml:space="preserve">ClinicalTrials.gov [Internet]. Bethesda (MD): National Library of Medicine (US). 2000 Feb 29. Identifier NCT02776033, </w:t>
      </w:r>
      <w:r w:rsidRPr="0025515B">
        <w:rPr>
          <w:rFonts w:asciiTheme="minorHAnsi" w:hAnsiTheme="minorHAnsi" w:cstheme="minorHAnsi"/>
          <w:color w:val="000000"/>
          <w:sz w:val="24"/>
          <w:szCs w:val="24"/>
        </w:rPr>
        <w:t>Safety, Tolerability, Pharmacokinetics, Pharmacodynamics, and Efficacy of Repeat Doses of GSK2982772 in Subjects With Psoriasis</w:t>
      </w:r>
      <w:r w:rsidRPr="0025515B">
        <w:rPr>
          <w:rFonts w:asciiTheme="minorHAnsi" w:hAnsiTheme="minorHAnsi" w:cstheme="minorHAnsi"/>
          <w:sz w:val="24"/>
          <w:szCs w:val="24"/>
        </w:rPr>
        <w:t>; 2016 May 18 [cited 2020 Oct 29]; [Available from: http://clinicaltrials.gov/ct/show/NCT02776033].</w:t>
      </w:r>
    </w:p>
    <w:p w:rsidR="0025515B" w:rsidRPr="0025515B" w:rsidRDefault="0025515B" w:rsidP="0025515B">
      <w:pPr>
        <w:spacing w:after="0" w:line="360" w:lineRule="auto"/>
        <w:ind w:left="360"/>
        <w:rPr>
          <w:rFonts w:asciiTheme="majorHAnsi" w:hAnsiTheme="majorHAnsi" w:cs="Arial"/>
          <w:color w:val="1C1D1E"/>
          <w:shd w:val="clear" w:color="auto" w:fill="FFFFFF"/>
        </w:rPr>
      </w:pPr>
    </w:p>
    <w:p w:rsidR="0025515B" w:rsidRPr="005F3D35" w:rsidRDefault="0025515B" w:rsidP="005F3D35">
      <w:pPr>
        <w:spacing w:after="0"/>
        <w:rPr>
          <w:lang w:val="en-US"/>
        </w:rPr>
      </w:pPr>
    </w:p>
    <w:sectPr w:rsidR="0025515B" w:rsidRPr="005F3D35" w:rsidSect="000836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D3B45F50"/>
    <w:lvl w:ilvl="0" w:tplc="65C22208">
      <w:start w:val="4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37A5BBC"/>
    <w:multiLevelType w:val="hybridMultilevel"/>
    <w:tmpl w:val="D9BCB410"/>
    <w:lvl w:ilvl="0" w:tplc="D688BCE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26E"/>
    <w:rsid w:val="000836B3"/>
    <w:rsid w:val="000C1CDC"/>
    <w:rsid w:val="000E02D4"/>
    <w:rsid w:val="001354F6"/>
    <w:rsid w:val="0017715D"/>
    <w:rsid w:val="00226B31"/>
    <w:rsid w:val="0023326C"/>
    <w:rsid w:val="0025515B"/>
    <w:rsid w:val="0025524D"/>
    <w:rsid w:val="002E01D4"/>
    <w:rsid w:val="002E5A4F"/>
    <w:rsid w:val="00315FE6"/>
    <w:rsid w:val="003626C8"/>
    <w:rsid w:val="003F54E2"/>
    <w:rsid w:val="00477E3B"/>
    <w:rsid w:val="004E6A75"/>
    <w:rsid w:val="00564A61"/>
    <w:rsid w:val="005F3D35"/>
    <w:rsid w:val="00690B2B"/>
    <w:rsid w:val="00727348"/>
    <w:rsid w:val="0074631B"/>
    <w:rsid w:val="00756B87"/>
    <w:rsid w:val="008713B7"/>
    <w:rsid w:val="0087360E"/>
    <w:rsid w:val="008D4434"/>
    <w:rsid w:val="008E1D80"/>
    <w:rsid w:val="008F021D"/>
    <w:rsid w:val="00910011"/>
    <w:rsid w:val="00914163"/>
    <w:rsid w:val="00946B30"/>
    <w:rsid w:val="009748AF"/>
    <w:rsid w:val="00A01215"/>
    <w:rsid w:val="00A57A35"/>
    <w:rsid w:val="00A65C6D"/>
    <w:rsid w:val="00A738EE"/>
    <w:rsid w:val="00A9114A"/>
    <w:rsid w:val="00AE1930"/>
    <w:rsid w:val="00AE52EC"/>
    <w:rsid w:val="00B472C8"/>
    <w:rsid w:val="00B64EBA"/>
    <w:rsid w:val="00B97A6D"/>
    <w:rsid w:val="00CC031E"/>
    <w:rsid w:val="00D23797"/>
    <w:rsid w:val="00D4047F"/>
    <w:rsid w:val="00D60002"/>
    <w:rsid w:val="00E54814"/>
    <w:rsid w:val="00E81C18"/>
    <w:rsid w:val="00E92402"/>
    <w:rsid w:val="00EB1C4E"/>
    <w:rsid w:val="00EF1F81"/>
    <w:rsid w:val="00F1426E"/>
    <w:rsid w:val="00F303A7"/>
    <w:rsid w:val="00FA7D6C"/>
    <w:rsid w:val="00FD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D18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3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3326C"/>
    <w:rPr>
      <w:color w:val="0000FF"/>
      <w:u w:val="single"/>
    </w:rPr>
  </w:style>
  <w:style w:type="character" w:customStyle="1" w:styleId="groupname">
    <w:name w:val="groupname"/>
    <w:basedOn w:val="DefaultParagraphFont"/>
    <w:rsid w:val="004E6A75"/>
  </w:style>
  <w:style w:type="character" w:customStyle="1" w:styleId="othertitle">
    <w:name w:val="othertitle"/>
    <w:basedOn w:val="DefaultParagraphFont"/>
    <w:rsid w:val="004E6A75"/>
  </w:style>
  <w:style w:type="paragraph" w:customStyle="1" w:styleId="EndNoteBibliography">
    <w:name w:val="EndNote Bibliography"/>
    <w:basedOn w:val="Normal"/>
    <w:link w:val="EndNoteBibliographyChar"/>
    <w:rsid w:val="00B64EBA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B64EBA"/>
    <w:rPr>
      <w:rFonts w:ascii="Calibri" w:hAnsi="Calibri"/>
      <w:noProof/>
      <w:lang w:val="en-US"/>
    </w:rPr>
  </w:style>
  <w:style w:type="paragraph" w:styleId="ListParagraph">
    <w:name w:val="List Paragraph"/>
    <w:basedOn w:val="Normal"/>
    <w:uiPriority w:val="34"/>
    <w:qFormat/>
    <w:rsid w:val="00A0121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5524D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D18C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D18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3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3326C"/>
    <w:rPr>
      <w:color w:val="0000FF"/>
      <w:u w:val="single"/>
    </w:rPr>
  </w:style>
  <w:style w:type="character" w:customStyle="1" w:styleId="groupname">
    <w:name w:val="groupname"/>
    <w:basedOn w:val="DefaultParagraphFont"/>
    <w:rsid w:val="004E6A75"/>
  </w:style>
  <w:style w:type="character" w:customStyle="1" w:styleId="othertitle">
    <w:name w:val="othertitle"/>
    <w:basedOn w:val="DefaultParagraphFont"/>
    <w:rsid w:val="004E6A75"/>
  </w:style>
  <w:style w:type="paragraph" w:customStyle="1" w:styleId="EndNoteBibliography">
    <w:name w:val="EndNote Bibliography"/>
    <w:basedOn w:val="Normal"/>
    <w:link w:val="EndNoteBibliographyChar"/>
    <w:rsid w:val="00B64EBA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B64EBA"/>
    <w:rPr>
      <w:rFonts w:ascii="Calibri" w:hAnsi="Calibri"/>
      <w:noProof/>
      <w:lang w:val="en-US"/>
    </w:rPr>
  </w:style>
  <w:style w:type="paragraph" w:styleId="ListParagraph">
    <w:name w:val="List Paragraph"/>
    <w:basedOn w:val="Normal"/>
    <w:uiPriority w:val="34"/>
    <w:qFormat/>
    <w:rsid w:val="00A0121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5524D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D18C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9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o.int/vmnis/indicators/haemoglobin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ncbi.nlm.nih.gov/pmc/articles/PMC6188379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ho.int/vmnis/indicators/haemoglobin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enal.org/health-professionals/information-resources/uk-eckd-guid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yoclinic.org/tests-procedures/cholesterol-test/about/pac-203846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Salford Royal NHS Foundation Trust</Company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AAlJanabi</dc:creator>
  <cp:lastModifiedBy>Kreeshan FirasConstantin</cp:lastModifiedBy>
  <cp:revision>5</cp:revision>
  <dcterms:created xsi:type="dcterms:W3CDTF">2020-10-31T11:44:00Z</dcterms:created>
  <dcterms:modified xsi:type="dcterms:W3CDTF">2020-11-24T13:41:00Z</dcterms:modified>
</cp:coreProperties>
</file>