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85FFD" w14:textId="6C2E173F" w:rsidR="00CB16CF" w:rsidRPr="00436BC0" w:rsidRDefault="00CB16CF" w:rsidP="00F81909">
      <w:pPr>
        <w:pStyle w:val="C-BodyText"/>
        <w:spacing w:before="0" w:after="0" w:line="480" w:lineRule="auto"/>
        <w:rPr>
          <w:b/>
          <w:sz w:val="20"/>
        </w:rPr>
      </w:pPr>
      <w:r w:rsidRPr="00436BC0">
        <w:rPr>
          <w:b/>
          <w:sz w:val="20"/>
        </w:rPr>
        <w:t>A Randomized, Double-Blind, Placebo-Controlled, Phase 2a Study to Evaluate the Efficacy and Safety of RIST4721 in Subjects with Palmoplantar Pustulosis</w:t>
      </w:r>
    </w:p>
    <w:p w14:paraId="00B9A171" w14:textId="44EB54AF" w:rsidR="00E42695" w:rsidRPr="00436BC0" w:rsidRDefault="00E42695" w:rsidP="00F81909">
      <w:pPr>
        <w:pStyle w:val="C-BodyText"/>
        <w:spacing w:before="0" w:after="0" w:line="480" w:lineRule="auto"/>
        <w:rPr>
          <w:sz w:val="20"/>
        </w:rPr>
      </w:pPr>
    </w:p>
    <w:tbl>
      <w:tblPr>
        <w:tblStyle w:val="TableGrid"/>
        <w:tblW w:w="0" w:type="auto"/>
        <w:tblLook w:val="04A0" w:firstRow="1" w:lastRow="0" w:firstColumn="1" w:lastColumn="0" w:noHBand="0" w:noVBand="1"/>
      </w:tblPr>
      <w:tblGrid>
        <w:gridCol w:w="2965"/>
        <w:gridCol w:w="6385"/>
      </w:tblGrid>
      <w:tr w:rsidR="00CB16CF" w:rsidRPr="00436BC0" w14:paraId="4BBBAD6D" w14:textId="77777777" w:rsidTr="00304166">
        <w:tc>
          <w:tcPr>
            <w:tcW w:w="2965" w:type="dxa"/>
          </w:tcPr>
          <w:p w14:paraId="3F1F4C04" w14:textId="77777777" w:rsidR="00CB16CF" w:rsidRPr="00436BC0" w:rsidRDefault="00CB16CF" w:rsidP="00304166">
            <w:pPr>
              <w:rPr>
                <w:rFonts w:cs="Times New Roman"/>
                <w:sz w:val="20"/>
              </w:rPr>
            </w:pPr>
            <w:r w:rsidRPr="00436BC0">
              <w:rPr>
                <w:rFonts w:cs="Times New Roman"/>
                <w:sz w:val="20"/>
              </w:rPr>
              <w:t>Authors</w:t>
            </w:r>
          </w:p>
        </w:tc>
        <w:tc>
          <w:tcPr>
            <w:tcW w:w="6385" w:type="dxa"/>
          </w:tcPr>
          <w:p w14:paraId="2EB408A0" w14:textId="77777777" w:rsidR="00CB16CF" w:rsidRPr="00436BC0" w:rsidRDefault="00CB16CF" w:rsidP="00304166">
            <w:pPr>
              <w:rPr>
                <w:rFonts w:cs="Times New Roman"/>
                <w:sz w:val="20"/>
              </w:rPr>
            </w:pPr>
            <w:r w:rsidRPr="00436BC0">
              <w:rPr>
                <w:rFonts w:cs="Times New Roman"/>
                <w:sz w:val="20"/>
              </w:rPr>
              <w:t>Robert Bissonnette</w:t>
            </w:r>
            <w:r w:rsidRPr="00436BC0">
              <w:rPr>
                <w:rFonts w:cs="Times New Roman"/>
                <w:sz w:val="20"/>
                <w:vertAlign w:val="superscript"/>
              </w:rPr>
              <w:t>1</w:t>
            </w:r>
            <w:r w:rsidRPr="00436BC0">
              <w:rPr>
                <w:rFonts w:cs="Times New Roman"/>
                <w:sz w:val="20"/>
              </w:rPr>
              <w:t>, Catherine Maari</w:t>
            </w:r>
            <w:r w:rsidRPr="00436BC0">
              <w:rPr>
                <w:rFonts w:cs="Times New Roman"/>
                <w:sz w:val="20"/>
                <w:vertAlign w:val="superscript"/>
              </w:rPr>
              <w:t>1</w:t>
            </w:r>
            <w:r w:rsidRPr="00436BC0">
              <w:rPr>
                <w:rFonts w:cs="Times New Roman"/>
                <w:sz w:val="20"/>
              </w:rPr>
              <w:t>, Athanasios Tsianakas</w:t>
            </w:r>
            <w:r w:rsidRPr="00436BC0">
              <w:rPr>
                <w:rFonts w:cs="Times New Roman"/>
                <w:sz w:val="20"/>
                <w:vertAlign w:val="superscript"/>
              </w:rPr>
              <w:t>2</w:t>
            </w:r>
            <w:r w:rsidRPr="00436BC0">
              <w:rPr>
                <w:rFonts w:cs="Times New Roman"/>
                <w:sz w:val="20"/>
              </w:rPr>
              <w:t>, DeAnne Reid</w:t>
            </w:r>
            <w:r w:rsidRPr="00436BC0">
              <w:rPr>
                <w:rFonts w:cs="Times New Roman"/>
                <w:sz w:val="20"/>
                <w:vertAlign w:val="superscript"/>
              </w:rPr>
              <w:t>3</w:t>
            </w:r>
            <w:r w:rsidRPr="00436BC0">
              <w:rPr>
                <w:rFonts w:cs="Times New Roman"/>
                <w:sz w:val="20"/>
              </w:rPr>
              <w:t>, Sara McCutchan</w:t>
            </w:r>
            <w:r w:rsidRPr="00436BC0">
              <w:rPr>
                <w:rFonts w:cs="Times New Roman"/>
                <w:sz w:val="20"/>
                <w:vertAlign w:val="superscript"/>
              </w:rPr>
              <w:t>3</w:t>
            </w:r>
            <w:r w:rsidRPr="00436BC0">
              <w:rPr>
                <w:rFonts w:cs="Times New Roman"/>
                <w:sz w:val="20"/>
              </w:rPr>
              <w:t>, Scott Baumgartner</w:t>
            </w:r>
            <w:r w:rsidRPr="00436BC0">
              <w:rPr>
                <w:rFonts w:cs="Times New Roman"/>
                <w:sz w:val="20"/>
                <w:vertAlign w:val="superscript"/>
              </w:rPr>
              <w:t>3</w:t>
            </w:r>
            <w:r w:rsidRPr="00436BC0">
              <w:rPr>
                <w:rFonts w:cs="Times New Roman"/>
                <w:sz w:val="20"/>
              </w:rPr>
              <w:t>, James Mackay</w:t>
            </w:r>
            <w:r w:rsidRPr="00436BC0">
              <w:rPr>
                <w:rFonts w:cs="Times New Roman"/>
                <w:sz w:val="20"/>
                <w:vertAlign w:val="superscript"/>
              </w:rPr>
              <w:t>3</w:t>
            </w:r>
            <w:r w:rsidRPr="00436BC0">
              <w:rPr>
                <w:rFonts w:cs="Times New Roman"/>
                <w:sz w:val="20"/>
              </w:rPr>
              <w:t>, Nihar Bhakta</w:t>
            </w:r>
            <w:r w:rsidRPr="00436BC0">
              <w:rPr>
                <w:rFonts w:cs="Times New Roman"/>
                <w:sz w:val="20"/>
                <w:vertAlign w:val="superscript"/>
              </w:rPr>
              <w:t>3</w:t>
            </w:r>
          </w:p>
        </w:tc>
      </w:tr>
      <w:tr w:rsidR="00CB16CF" w:rsidRPr="00436BC0" w14:paraId="7C711829" w14:textId="77777777" w:rsidTr="00304166">
        <w:tc>
          <w:tcPr>
            <w:tcW w:w="2965" w:type="dxa"/>
          </w:tcPr>
          <w:p w14:paraId="79F91D7D" w14:textId="77777777" w:rsidR="00CB16CF" w:rsidRPr="00436BC0" w:rsidRDefault="00CB16CF" w:rsidP="00304166">
            <w:pPr>
              <w:rPr>
                <w:rFonts w:cs="Times New Roman"/>
                <w:sz w:val="20"/>
              </w:rPr>
            </w:pPr>
            <w:r w:rsidRPr="00436BC0">
              <w:rPr>
                <w:rFonts w:cs="Times New Roman"/>
                <w:sz w:val="20"/>
              </w:rPr>
              <w:t>Institutions</w:t>
            </w:r>
          </w:p>
        </w:tc>
        <w:tc>
          <w:tcPr>
            <w:tcW w:w="6385" w:type="dxa"/>
          </w:tcPr>
          <w:p w14:paraId="64ED3E04" w14:textId="77777777" w:rsidR="00CB16CF" w:rsidRPr="00436BC0" w:rsidRDefault="00CB16CF" w:rsidP="00304166">
            <w:pPr>
              <w:pStyle w:val="C-BodyText"/>
              <w:rPr>
                <w:sz w:val="20"/>
              </w:rPr>
            </w:pPr>
            <w:r w:rsidRPr="00436BC0">
              <w:rPr>
                <w:sz w:val="20"/>
                <w:vertAlign w:val="superscript"/>
              </w:rPr>
              <w:t>1</w:t>
            </w:r>
            <w:r w:rsidRPr="00436BC0">
              <w:rPr>
                <w:sz w:val="20"/>
              </w:rPr>
              <w:t xml:space="preserve">Innovaderm Research Inc., Montreal, Quebec, Canada; </w:t>
            </w:r>
            <w:r w:rsidRPr="00436BC0">
              <w:rPr>
                <w:sz w:val="20"/>
                <w:vertAlign w:val="superscript"/>
              </w:rPr>
              <w:t>2</w:t>
            </w:r>
            <w:r w:rsidRPr="00436BC0">
              <w:rPr>
                <w:sz w:val="20"/>
              </w:rPr>
              <w:t xml:space="preserve">Fachklinik Bad Bentheim, Bad Bentheim, Germany; </w:t>
            </w:r>
            <w:r w:rsidRPr="00436BC0">
              <w:rPr>
                <w:sz w:val="20"/>
                <w:vertAlign w:val="superscript"/>
              </w:rPr>
              <w:t>3</w:t>
            </w:r>
            <w:r w:rsidRPr="00436BC0">
              <w:rPr>
                <w:sz w:val="20"/>
              </w:rPr>
              <w:t>Aristea Therapeutics, Inc., San Diego, California, United States of America</w:t>
            </w:r>
          </w:p>
        </w:tc>
      </w:tr>
      <w:tr w:rsidR="00CB16CF" w:rsidRPr="00436BC0" w14:paraId="6F2D299B" w14:textId="77777777" w:rsidTr="00304166">
        <w:tc>
          <w:tcPr>
            <w:tcW w:w="2965" w:type="dxa"/>
          </w:tcPr>
          <w:p w14:paraId="19B8CEA3" w14:textId="77777777" w:rsidR="00CB16CF" w:rsidRPr="00436BC0" w:rsidRDefault="00CB16CF" w:rsidP="00304166">
            <w:pPr>
              <w:rPr>
                <w:rFonts w:cs="Times New Roman"/>
                <w:sz w:val="20"/>
              </w:rPr>
            </w:pPr>
            <w:r w:rsidRPr="00436BC0">
              <w:rPr>
                <w:rFonts w:cs="Times New Roman"/>
                <w:sz w:val="20"/>
              </w:rPr>
              <w:t>Corresponding Author</w:t>
            </w:r>
          </w:p>
        </w:tc>
        <w:tc>
          <w:tcPr>
            <w:tcW w:w="6385" w:type="dxa"/>
          </w:tcPr>
          <w:p w14:paraId="61DC12DD" w14:textId="77777777" w:rsidR="00CB16CF" w:rsidRPr="00436BC0" w:rsidRDefault="00CB16CF" w:rsidP="00304166">
            <w:pPr>
              <w:rPr>
                <w:rFonts w:cs="Times New Roman"/>
                <w:sz w:val="20"/>
                <w:lang w:val="fr-CA"/>
              </w:rPr>
            </w:pPr>
            <w:r w:rsidRPr="00436BC0">
              <w:rPr>
                <w:rFonts w:cs="Times New Roman"/>
                <w:sz w:val="20"/>
                <w:lang w:val="fr-CA"/>
              </w:rPr>
              <w:t>Robert Bissonnette, MD, FRCPC</w:t>
            </w:r>
          </w:p>
          <w:p w14:paraId="72A997B0" w14:textId="77777777" w:rsidR="00CB16CF" w:rsidRPr="00436BC0" w:rsidRDefault="00CB16CF" w:rsidP="00304166">
            <w:pPr>
              <w:rPr>
                <w:rFonts w:cs="Times New Roman"/>
                <w:sz w:val="20"/>
              </w:rPr>
            </w:pPr>
            <w:r w:rsidRPr="00436BC0">
              <w:rPr>
                <w:rFonts w:cs="Times New Roman"/>
                <w:sz w:val="20"/>
              </w:rPr>
              <w:t>rbissonnette@innovaderm.com</w:t>
            </w:r>
          </w:p>
        </w:tc>
      </w:tr>
    </w:tbl>
    <w:p w14:paraId="008AF68C" w14:textId="77777777" w:rsidR="00A76AA1" w:rsidRPr="00436BC0" w:rsidRDefault="00A76AA1">
      <w:pPr>
        <w:spacing w:after="160" w:line="259" w:lineRule="auto"/>
        <w:rPr>
          <w:rFonts w:cs="Times New Roman"/>
          <w:b/>
          <w:bCs/>
        </w:rPr>
      </w:pPr>
      <w:r w:rsidRPr="00436BC0">
        <w:rPr>
          <w:b/>
          <w:bCs/>
        </w:rPr>
        <w:br w:type="page"/>
      </w:r>
    </w:p>
    <w:p w14:paraId="1A12A086" w14:textId="32C9BE01" w:rsidR="000801A6" w:rsidRPr="00436BC0" w:rsidRDefault="00151B48" w:rsidP="00F81909">
      <w:pPr>
        <w:pStyle w:val="C-BodyText"/>
        <w:spacing w:line="480" w:lineRule="auto"/>
        <w:rPr>
          <w:b/>
          <w:bCs/>
          <w:sz w:val="20"/>
        </w:rPr>
      </w:pPr>
      <w:r w:rsidRPr="00436BC0">
        <w:rPr>
          <w:b/>
          <w:bCs/>
          <w:sz w:val="20"/>
        </w:rPr>
        <w:t xml:space="preserve">Protocol </w:t>
      </w:r>
      <w:r w:rsidR="00D80950" w:rsidRPr="00436BC0">
        <w:rPr>
          <w:b/>
          <w:bCs/>
          <w:sz w:val="20"/>
        </w:rPr>
        <w:t>RIST4721-201</w:t>
      </w:r>
      <w:r w:rsidR="007556D0" w:rsidRPr="00436BC0">
        <w:rPr>
          <w:b/>
          <w:bCs/>
          <w:sz w:val="20"/>
        </w:rPr>
        <w:t xml:space="preserve"> Version 3.0</w:t>
      </w:r>
      <w:r w:rsidR="00D80950" w:rsidRPr="00436BC0">
        <w:rPr>
          <w:b/>
          <w:bCs/>
          <w:sz w:val="20"/>
        </w:rPr>
        <w:t xml:space="preserve"> </w:t>
      </w:r>
    </w:p>
    <w:p w14:paraId="358E8EA1" w14:textId="77777777" w:rsidR="00946590" w:rsidRPr="00436BC0" w:rsidRDefault="00946590" w:rsidP="00F81909">
      <w:pPr>
        <w:pStyle w:val="C-BodyText"/>
        <w:spacing w:line="480" w:lineRule="auto"/>
        <w:rPr>
          <w:b/>
          <w:bCs/>
          <w:sz w:val="20"/>
        </w:rPr>
      </w:pPr>
    </w:p>
    <w:p w14:paraId="59A79D8D" w14:textId="7145B3E1" w:rsidR="00D80950" w:rsidRPr="00436BC0" w:rsidRDefault="00D80950" w:rsidP="00F81909">
      <w:pPr>
        <w:pStyle w:val="C-BodyText"/>
        <w:spacing w:line="480" w:lineRule="auto"/>
        <w:rPr>
          <w:b/>
          <w:bCs/>
          <w:sz w:val="20"/>
        </w:rPr>
      </w:pPr>
      <w:r w:rsidRPr="00436BC0">
        <w:rPr>
          <w:b/>
          <w:bCs/>
          <w:sz w:val="20"/>
        </w:rPr>
        <w:t>Inclusion Criteria</w:t>
      </w:r>
    </w:p>
    <w:p w14:paraId="73A54C20" w14:textId="7212E351" w:rsidR="000A6D34" w:rsidRPr="00436BC0" w:rsidRDefault="000A6D34" w:rsidP="00F81909">
      <w:pPr>
        <w:pStyle w:val="C-BodyText"/>
        <w:spacing w:line="480" w:lineRule="auto"/>
        <w:rPr>
          <w:sz w:val="20"/>
        </w:rPr>
      </w:pPr>
      <w:r w:rsidRPr="00436BC0">
        <w:rPr>
          <w:sz w:val="20"/>
        </w:rPr>
        <w:t xml:space="preserve">In order to be eligible to participate in this study, a subject must meet all of the following criteria at the screening and Day –1 visits, unless specified otherwise: </w:t>
      </w:r>
    </w:p>
    <w:p w14:paraId="2766522D" w14:textId="6D7AAA15" w:rsidR="000A6D34" w:rsidRPr="00436BC0" w:rsidRDefault="000A6D34" w:rsidP="00F81909">
      <w:pPr>
        <w:pStyle w:val="C-NumberedList"/>
        <w:spacing w:line="480" w:lineRule="auto"/>
        <w:rPr>
          <w:sz w:val="20"/>
        </w:rPr>
      </w:pPr>
      <w:r w:rsidRPr="00436BC0">
        <w:rPr>
          <w:sz w:val="20"/>
        </w:rPr>
        <w:t xml:space="preserve">Male or female subject, aged 18–70 years at the time of consent. </w:t>
      </w:r>
    </w:p>
    <w:p w14:paraId="1B6B4737" w14:textId="688C9C2F" w:rsidR="000A6D34" w:rsidRPr="00436BC0" w:rsidRDefault="000A6D34" w:rsidP="00F81909">
      <w:pPr>
        <w:pStyle w:val="C-NumberedList"/>
        <w:spacing w:line="480" w:lineRule="auto"/>
        <w:rPr>
          <w:sz w:val="20"/>
        </w:rPr>
      </w:pPr>
      <w:r w:rsidRPr="00436BC0">
        <w:rPr>
          <w:sz w:val="20"/>
        </w:rPr>
        <w:t>Subject has at least a 6</w:t>
      </w:r>
      <w:r w:rsidR="0086350D" w:rsidRPr="00436BC0">
        <w:rPr>
          <w:sz w:val="20"/>
        </w:rPr>
        <w:noBreakHyphen/>
      </w:r>
      <w:r w:rsidRPr="00436BC0">
        <w:rPr>
          <w:sz w:val="20"/>
        </w:rPr>
        <w:t xml:space="preserve">month history of PPP as defined by the presence of pustules on palms and/or soles, but without evidence of infection on palms and soles (information obtained from medical chart or subject’s physician, or directly from the subject). </w:t>
      </w:r>
    </w:p>
    <w:p w14:paraId="7D97CBAA" w14:textId="24907A20" w:rsidR="000A6D34" w:rsidRPr="00436BC0" w:rsidRDefault="000A6D34" w:rsidP="00F81909">
      <w:pPr>
        <w:pStyle w:val="C-NumberedList"/>
        <w:spacing w:line="480" w:lineRule="auto"/>
        <w:rPr>
          <w:sz w:val="20"/>
        </w:rPr>
      </w:pPr>
      <w:r w:rsidRPr="00436BC0">
        <w:rPr>
          <w:sz w:val="20"/>
        </w:rPr>
        <w:t>Subject has moderate or severe PPP, as defined by PPPASI ≥8 and PPPGA ≥3 at Day</w:t>
      </w:r>
      <w:r w:rsidR="0086350D" w:rsidRPr="00436BC0">
        <w:rPr>
          <w:sz w:val="20"/>
        </w:rPr>
        <w:t> </w:t>
      </w:r>
      <w:r w:rsidRPr="00436BC0">
        <w:rPr>
          <w:sz w:val="20"/>
        </w:rPr>
        <w:t>–1, and a minimum of 8</w:t>
      </w:r>
      <w:r w:rsidR="0086350D" w:rsidRPr="00436BC0">
        <w:rPr>
          <w:sz w:val="20"/>
        </w:rPr>
        <w:t> </w:t>
      </w:r>
      <w:r w:rsidRPr="00436BC0">
        <w:rPr>
          <w:sz w:val="20"/>
        </w:rPr>
        <w:t>fresh pustules at screening (fresh pustule count on both right/left palms and soles) and 20</w:t>
      </w:r>
      <w:r w:rsidR="0086350D" w:rsidRPr="00436BC0">
        <w:rPr>
          <w:sz w:val="20"/>
        </w:rPr>
        <w:t> </w:t>
      </w:r>
      <w:r w:rsidRPr="00436BC0">
        <w:rPr>
          <w:sz w:val="20"/>
        </w:rPr>
        <w:t xml:space="preserve">fresh pustules at Day –1 (fresh pustule count on both right/left palms and soles). </w:t>
      </w:r>
    </w:p>
    <w:p w14:paraId="436D2BEC" w14:textId="72BB7697" w:rsidR="000A6D34" w:rsidRPr="00436BC0" w:rsidRDefault="000A6D34" w:rsidP="00F81909">
      <w:pPr>
        <w:pStyle w:val="C-NumberedList"/>
        <w:spacing w:line="480" w:lineRule="auto"/>
        <w:rPr>
          <w:sz w:val="20"/>
        </w:rPr>
      </w:pPr>
      <w:r w:rsidRPr="00436BC0">
        <w:rPr>
          <w:sz w:val="20"/>
        </w:rPr>
        <w:t>Subject who wants to use an emollient should agree to use the same emollient, at the same frequency of application for 7</w:t>
      </w:r>
      <w:r w:rsidR="0086350D" w:rsidRPr="00436BC0">
        <w:rPr>
          <w:sz w:val="20"/>
        </w:rPr>
        <w:t> </w:t>
      </w:r>
      <w:r w:rsidRPr="00436BC0">
        <w:rPr>
          <w:sz w:val="20"/>
        </w:rPr>
        <w:t>days before Day</w:t>
      </w:r>
      <w:r w:rsidR="0086350D" w:rsidRPr="00436BC0">
        <w:rPr>
          <w:sz w:val="20"/>
        </w:rPr>
        <w:t> </w:t>
      </w:r>
      <w:r w:rsidRPr="00436BC0">
        <w:rPr>
          <w:sz w:val="20"/>
        </w:rPr>
        <w:t xml:space="preserve">–1 and throughout the study. Note: However, on the day of scheduled visits, subjects cannot apply emollient before their scheduled visit time. </w:t>
      </w:r>
    </w:p>
    <w:p w14:paraId="0DA9C1E5" w14:textId="15B00B09" w:rsidR="00BB63C1" w:rsidRPr="00436BC0" w:rsidRDefault="000A6D34" w:rsidP="00F81909">
      <w:pPr>
        <w:pStyle w:val="C-NumberedList"/>
        <w:spacing w:line="480" w:lineRule="auto"/>
        <w:rPr>
          <w:sz w:val="20"/>
        </w:rPr>
      </w:pPr>
      <w:r w:rsidRPr="00436BC0">
        <w:rPr>
          <w:sz w:val="20"/>
        </w:rPr>
        <w:t>For female subject of childbearing potential involved in any sexual intercourse that could lead to pregnancy: the subject must agree to use a highly effective contraceptive method, from at least 4 weeks before Day</w:t>
      </w:r>
      <w:r w:rsidR="0086350D" w:rsidRPr="00436BC0">
        <w:rPr>
          <w:sz w:val="20"/>
        </w:rPr>
        <w:t> </w:t>
      </w:r>
      <w:r w:rsidRPr="00436BC0">
        <w:rPr>
          <w:sz w:val="20"/>
        </w:rPr>
        <w:t>–1 until at least 4</w:t>
      </w:r>
      <w:r w:rsidR="0086350D" w:rsidRPr="00436BC0">
        <w:rPr>
          <w:sz w:val="20"/>
        </w:rPr>
        <w:t> </w:t>
      </w:r>
      <w:r w:rsidRPr="00436BC0">
        <w:rPr>
          <w:sz w:val="20"/>
        </w:rPr>
        <w:t>weeks after the last study drug administration. Highly effective contraceptive methods include hormonal contraceptives (combined oral contraceptive, patch, vaginal ring, injectable, or implant), intrauterine devices or intrauterine systems, male partner(s) vasectomy, tubal ligation, or a double</w:t>
      </w:r>
      <w:r w:rsidRPr="00436BC0">
        <w:rPr>
          <w:sz w:val="20"/>
        </w:rPr>
        <w:noBreakHyphen/>
        <w:t xml:space="preserve">barrier method of contraception (barrier methods include male condom, female condom, cervical cap, diaphragm, and contraceptive sponge) in conjunction with spermicide. </w:t>
      </w:r>
    </w:p>
    <w:p w14:paraId="285A1087" w14:textId="391CC5DF" w:rsidR="00BB63C1" w:rsidRPr="00436BC0" w:rsidRDefault="000A6D34" w:rsidP="00F81909">
      <w:pPr>
        <w:pStyle w:val="C-NumberedList"/>
        <w:numPr>
          <w:ilvl w:val="0"/>
          <w:numId w:val="0"/>
        </w:numPr>
        <w:spacing w:line="480" w:lineRule="auto"/>
        <w:ind w:left="720"/>
        <w:rPr>
          <w:sz w:val="20"/>
        </w:rPr>
      </w:pPr>
      <w:r w:rsidRPr="00436BC0">
        <w:rPr>
          <w:sz w:val="20"/>
        </w:rPr>
        <w:t>Note: Subjects who are on hormonal contraceptive must have been on a stable dose for at least 4</w:t>
      </w:r>
      <w:r w:rsidR="0086350D" w:rsidRPr="00436BC0">
        <w:rPr>
          <w:sz w:val="20"/>
        </w:rPr>
        <w:t> </w:t>
      </w:r>
      <w:r w:rsidRPr="00436BC0">
        <w:rPr>
          <w:sz w:val="20"/>
        </w:rPr>
        <w:t>weeks before Day</w:t>
      </w:r>
      <w:r w:rsidR="0086350D" w:rsidRPr="00436BC0">
        <w:rPr>
          <w:sz w:val="20"/>
        </w:rPr>
        <w:t> </w:t>
      </w:r>
      <w:r w:rsidRPr="00436BC0">
        <w:rPr>
          <w:sz w:val="20"/>
        </w:rPr>
        <w:t>–1.</w:t>
      </w:r>
    </w:p>
    <w:p w14:paraId="5FF21C3C" w14:textId="0B75CD15" w:rsidR="00BB63C1" w:rsidRPr="00436BC0" w:rsidRDefault="00A519FA" w:rsidP="00F81909">
      <w:pPr>
        <w:pStyle w:val="C-NumberedList"/>
        <w:numPr>
          <w:ilvl w:val="0"/>
          <w:numId w:val="0"/>
        </w:numPr>
        <w:spacing w:line="480" w:lineRule="auto"/>
        <w:ind w:left="720"/>
        <w:rPr>
          <w:sz w:val="20"/>
        </w:rPr>
      </w:pPr>
      <w:r w:rsidRPr="00436BC0">
        <w:rPr>
          <w:sz w:val="20"/>
        </w:rPr>
        <w:t>Note: The above list of contraceptive methods does not apply to subjects who are abstinent for at least 4</w:t>
      </w:r>
      <w:r w:rsidR="0086350D" w:rsidRPr="00436BC0">
        <w:rPr>
          <w:sz w:val="20"/>
        </w:rPr>
        <w:t> </w:t>
      </w:r>
      <w:r w:rsidRPr="00436BC0">
        <w:rPr>
          <w:sz w:val="20"/>
        </w:rPr>
        <w:t>weeks before Day</w:t>
      </w:r>
      <w:r w:rsidR="0086350D" w:rsidRPr="00436BC0">
        <w:rPr>
          <w:sz w:val="20"/>
        </w:rPr>
        <w:t> </w:t>
      </w:r>
      <w:r w:rsidRPr="00436BC0">
        <w:rPr>
          <w:sz w:val="20"/>
        </w:rPr>
        <w:t>–1 and will continue to be abstinent from penile</w:t>
      </w:r>
      <w:r w:rsidRPr="00436BC0">
        <w:rPr>
          <w:sz w:val="20"/>
        </w:rPr>
        <w:noBreakHyphen/>
        <w:t xml:space="preserve">vaginal intercourse throughout the study. The reliability of sexual abstinence needs to be evaluated in relation to the duration of the clinical trial and the preferred and usual lifestyle of the participant. </w:t>
      </w:r>
    </w:p>
    <w:p w14:paraId="1591FE53" w14:textId="0A3F4F67" w:rsidR="00A519FA" w:rsidRPr="00436BC0" w:rsidRDefault="00A519FA" w:rsidP="00F81909">
      <w:pPr>
        <w:pStyle w:val="C-NumberedList"/>
        <w:numPr>
          <w:ilvl w:val="0"/>
          <w:numId w:val="0"/>
        </w:numPr>
        <w:spacing w:line="480" w:lineRule="auto"/>
        <w:ind w:left="720"/>
        <w:rPr>
          <w:sz w:val="20"/>
        </w:rPr>
      </w:pPr>
      <w:r w:rsidRPr="00436BC0">
        <w:rPr>
          <w:sz w:val="20"/>
        </w:rPr>
        <w:t>Note: For countries where double-barrier methods are not accepted as highly effective contraception, then this option must not be considered.</w:t>
      </w:r>
    </w:p>
    <w:p w14:paraId="73075E8D" w14:textId="77777777" w:rsidR="00D16B45" w:rsidRPr="00436BC0" w:rsidRDefault="00D16B45" w:rsidP="00F81909">
      <w:pPr>
        <w:pStyle w:val="C-NumberedList"/>
        <w:numPr>
          <w:ilvl w:val="0"/>
          <w:numId w:val="0"/>
        </w:numPr>
        <w:spacing w:line="480" w:lineRule="auto"/>
        <w:ind w:left="720"/>
        <w:rPr>
          <w:sz w:val="20"/>
        </w:rPr>
      </w:pPr>
      <w:r w:rsidRPr="00436BC0">
        <w:rPr>
          <w:sz w:val="20"/>
        </w:rPr>
        <w:t>Note: A female of nonchildbearing potential is defined as follows:</w:t>
      </w:r>
    </w:p>
    <w:p w14:paraId="7CC33BCF" w14:textId="5170192C" w:rsidR="00D16B45" w:rsidRPr="00436BC0" w:rsidRDefault="00D16B45" w:rsidP="00F81909">
      <w:pPr>
        <w:pStyle w:val="C-Bullet"/>
        <w:spacing w:line="480" w:lineRule="auto"/>
        <w:rPr>
          <w:sz w:val="20"/>
        </w:rPr>
      </w:pPr>
      <w:r w:rsidRPr="00436BC0">
        <w:rPr>
          <w:sz w:val="20"/>
        </w:rPr>
        <w:t>Female who has had surgical sterilization (hysterectomy, bilateral oophorectomy, or bilateral salpingectomy).</w:t>
      </w:r>
    </w:p>
    <w:p w14:paraId="39D5DBBD" w14:textId="361339A5" w:rsidR="00D16B45" w:rsidRPr="00436BC0" w:rsidRDefault="00D16B45" w:rsidP="00F81909">
      <w:pPr>
        <w:pStyle w:val="C-Bullet"/>
        <w:spacing w:line="480" w:lineRule="auto"/>
        <w:rPr>
          <w:sz w:val="20"/>
        </w:rPr>
      </w:pPr>
      <w:r w:rsidRPr="00436BC0">
        <w:rPr>
          <w:sz w:val="20"/>
        </w:rPr>
        <w:t>Female who has had a cessation of menses for at least 12</w:t>
      </w:r>
      <w:r w:rsidR="0086350D" w:rsidRPr="00436BC0">
        <w:rPr>
          <w:sz w:val="20"/>
        </w:rPr>
        <w:t> </w:t>
      </w:r>
      <w:r w:rsidRPr="00436BC0">
        <w:rPr>
          <w:sz w:val="20"/>
        </w:rPr>
        <w:t>months without an alternative medical cause, and a FSH test confirming nonchildbearing potential (refer to laboratory reference ranges for confirmatory levels).</w:t>
      </w:r>
    </w:p>
    <w:p w14:paraId="714BF55C" w14:textId="35E773D3" w:rsidR="00D80950" w:rsidRPr="00436BC0" w:rsidRDefault="00D80950" w:rsidP="00F81909">
      <w:pPr>
        <w:pStyle w:val="C-NumberedList"/>
        <w:spacing w:line="480" w:lineRule="auto"/>
        <w:rPr>
          <w:sz w:val="20"/>
        </w:rPr>
      </w:pPr>
      <w:r w:rsidRPr="00436BC0">
        <w:rPr>
          <w:sz w:val="20"/>
        </w:rPr>
        <w:t>Female subject of childbearing potential has a negative serum pregnancy test at screening and negative urine pregnancy test at Day</w:t>
      </w:r>
      <w:r w:rsidR="0086350D" w:rsidRPr="00436BC0">
        <w:rPr>
          <w:sz w:val="20"/>
        </w:rPr>
        <w:t> </w:t>
      </w:r>
      <w:r w:rsidRPr="00436BC0">
        <w:rPr>
          <w:sz w:val="20"/>
        </w:rPr>
        <w:t>–1.</w:t>
      </w:r>
    </w:p>
    <w:p w14:paraId="0A10B234" w14:textId="12A0C2FE" w:rsidR="00D80950" w:rsidRPr="00436BC0" w:rsidRDefault="00D80950" w:rsidP="00F81909">
      <w:pPr>
        <w:pStyle w:val="C-NumberedList"/>
        <w:spacing w:line="480" w:lineRule="auto"/>
        <w:rPr>
          <w:sz w:val="20"/>
        </w:rPr>
      </w:pPr>
      <w:r w:rsidRPr="00436BC0">
        <w:rPr>
          <w:sz w:val="20"/>
        </w:rPr>
        <w:t>Female subject agrees to not have egg retrieval during the study and for 1</w:t>
      </w:r>
      <w:r w:rsidR="0086350D" w:rsidRPr="00436BC0">
        <w:rPr>
          <w:sz w:val="20"/>
        </w:rPr>
        <w:t> </w:t>
      </w:r>
      <w:r w:rsidRPr="00436BC0">
        <w:rPr>
          <w:sz w:val="20"/>
        </w:rPr>
        <w:t>month after the last study drug administration.</w:t>
      </w:r>
    </w:p>
    <w:p w14:paraId="3D911808" w14:textId="32F2EABB" w:rsidR="00D80950" w:rsidRPr="00436BC0" w:rsidRDefault="00D80950" w:rsidP="00F81909">
      <w:pPr>
        <w:pStyle w:val="C-NumberedList"/>
        <w:spacing w:line="480" w:lineRule="auto"/>
        <w:rPr>
          <w:sz w:val="20"/>
        </w:rPr>
      </w:pPr>
      <w:r w:rsidRPr="00436BC0">
        <w:rPr>
          <w:sz w:val="20"/>
        </w:rPr>
        <w:t>Male subject agrees to use condom and spermicide from Day</w:t>
      </w:r>
      <w:r w:rsidR="0086350D" w:rsidRPr="00436BC0">
        <w:rPr>
          <w:sz w:val="20"/>
        </w:rPr>
        <w:t> </w:t>
      </w:r>
      <w:r w:rsidRPr="00436BC0">
        <w:rPr>
          <w:sz w:val="20"/>
        </w:rPr>
        <w:t>–1 until at least 3</w:t>
      </w:r>
      <w:r w:rsidR="0086350D" w:rsidRPr="00436BC0">
        <w:rPr>
          <w:sz w:val="20"/>
        </w:rPr>
        <w:t> </w:t>
      </w:r>
      <w:r w:rsidRPr="00436BC0">
        <w:rPr>
          <w:sz w:val="20"/>
        </w:rPr>
        <w:t>months after the last study drug administration.</w:t>
      </w:r>
    </w:p>
    <w:p w14:paraId="0253CC04" w14:textId="746BBF33" w:rsidR="00D80950" w:rsidRPr="00436BC0" w:rsidRDefault="00D80950" w:rsidP="00F81909">
      <w:pPr>
        <w:pStyle w:val="C-NumberedList"/>
        <w:spacing w:line="480" w:lineRule="auto"/>
        <w:rPr>
          <w:sz w:val="20"/>
        </w:rPr>
      </w:pPr>
      <w:r w:rsidRPr="00436BC0">
        <w:rPr>
          <w:sz w:val="20"/>
        </w:rPr>
        <w:t>Male subject agrees not to donate sperm during the study and for 3</w:t>
      </w:r>
      <w:r w:rsidR="0086350D" w:rsidRPr="00436BC0">
        <w:rPr>
          <w:sz w:val="20"/>
        </w:rPr>
        <w:t> </w:t>
      </w:r>
      <w:r w:rsidRPr="00436BC0">
        <w:rPr>
          <w:sz w:val="20"/>
        </w:rPr>
        <w:t>months after the last study drug administration.</w:t>
      </w:r>
    </w:p>
    <w:p w14:paraId="63C67883" w14:textId="7022F660" w:rsidR="00D80950" w:rsidRPr="00436BC0" w:rsidRDefault="00D80950" w:rsidP="00F81909">
      <w:pPr>
        <w:pStyle w:val="C-NumberedList"/>
        <w:spacing w:line="480" w:lineRule="auto"/>
        <w:rPr>
          <w:sz w:val="20"/>
        </w:rPr>
      </w:pPr>
      <w:r w:rsidRPr="00436BC0">
        <w:rPr>
          <w:sz w:val="20"/>
        </w:rPr>
        <w:t>Subject has negative TB infection test. Subject will be evaluated for latent TB infection with a PPD test or a QuantiFERON-TB Gold test, if one has not been performed in the last 6</w:t>
      </w:r>
      <w:r w:rsidR="0086350D" w:rsidRPr="00436BC0">
        <w:rPr>
          <w:sz w:val="20"/>
        </w:rPr>
        <w:t> </w:t>
      </w:r>
      <w:r w:rsidRPr="00436BC0">
        <w:rPr>
          <w:sz w:val="20"/>
        </w:rPr>
        <w:t>months. Subjects who demonstrate evidence of latent TB infection (either PPD ≥5</w:t>
      </w:r>
      <w:r w:rsidR="0086350D" w:rsidRPr="00436BC0">
        <w:rPr>
          <w:sz w:val="20"/>
        </w:rPr>
        <w:t> </w:t>
      </w:r>
      <w:r w:rsidRPr="00436BC0">
        <w:rPr>
          <w:sz w:val="20"/>
        </w:rPr>
        <w:t>mm of induration or positive QuantiFERON-TB Gold test, irrespective of bacille Calmette</w:t>
      </w:r>
      <w:r w:rsidR="0086350D" w:rsidRPr="00436BC0">
        <w:rPr>
          <w:sz w:val="20"/>
        </w:rPr>
        <w:noBreakHyphen/>
      </w:r>
      <w:r w:rsidRPr="00436BC0">
        <w:rPr>
          <w:sz w:val="20"/>
        </w:rPr>
        <w:t>Guérin vaccination status) will not be allowed to participate in the study. Subjects with documented completed treatment for latent TB will be allowed to participate in the study without retesting.</w:t>
      </w:r>
    </w:p>
    <w:p w14:paraId="500A293C" w14:textId="07F8EC60" w:rsidR="00D80950" w:rsidRPr="00436BC0" w:rsidRDefault="00D80950" w:rsidP="00F81909">
      <w:pPr>
        <w:pStyle w:val="C-NumberedList"/>
        <w:spacing w:line="480" w:lineRule="auto"/>
        <w:rPr>
          <w:sz w:val="20"/>
        </w:rPr>
      </w:pPr>
      <w:r w:rsidRPr="00436BC0">
        <w:rPr>
          <w:sz w:val="20"/>
        </w:rPr>
        <w:t>Subject is willing to participate and is capable of giving informed consent. Note: Consent must be obtained prior to any study-related procedure.</w:t>
      </w:r>
    </w:p>
    <w:p w14:paraId="0118B7D3" w14:textId="4C543FE1" w:rsidR="00D80950" w:rsidRPr="00436BC0" w:rsidRDefault="00D80950" w:rsidP="00F81909">
      <w:pPr>
        <w:pStyle w:val="C-NumberedList"/>
        <w:spacing w:line="480" w:lineRule="auto"/>
        <w:rPr>
          <w:sz w:val="20"/>
        </w:rPr>
      </w:pPr>
      <w:r w:rsidRPr="00436BC0">
        <w:rPr>
          <w:sz w:val="20"/>
        </w:rPr>
        <w:t>Subject must be willing to comply with all study procedures and must be available for the duration of the study.</w:t>
      </w:r>
    </w:p>
    <w:p w14:paraId="7D9B2B74" w14:textId="04381DF1" w:rsidR="00151B48" w:rsidRPr="00436BC0" w:rsidRDefault="0062478A" w:rsidP="00F81909">
      <w:pPr>
        <w:spacing w:after="160" w:line="480" w:lineRule="auto"/>
        <w:rPr>
          <w:rFonts w:cs="Times New Roman"/>
          <w:b/>
          <w:bCs/>
          <w:sz w:val="20"/>
        </w:rPr>
      </w:pPr>
      <w:r w:rsidRPr="00436BC0">
        <w:rPr>
          <w:b/>
          <w:bCs/>
          <w:sz w:val="20"/>
        </w:rPr>
        <w:t>Exclusion Criteria</w:t>
      </w:r>
    </w:p>
    <w:p w14:paraId="04FEA718" w14:textId="7418AB3B" w:rsidR="007E52B9" w:rsidRPr="00436BC0" w:rsidRDefault="007E52B9" w:rsidP="00F81909">
      <w:pPr>
        <w:pStyle w:val="C-BodyText"/>
        <w:spacing w:line="480" w:lineRule="auto"/>
        <w:rPr>
          <w:sz w:val="20"/>
        </w:rPr>
      </w:pPr>
      <w:r w:rsidRPr="00436BC0">
        <w:rPr>
          <w:sz w:val="20"/>
        </w:rPr>
        <w:t>A subject who meets any of the following criteria at the screening and Day</w:t>
      </w:r>
      <w:r w:rsidR="0086350D" w:rsidRPr="00436BC0">
        <w:rPr>
          <w:sz w:val="20"/>
        </w:rPr>
        <w:t> </w:t>
      </w:r>
      <w:r w:rsidRPr="00436BC0">
        <w:rPr>
          <w:sz w:val="20"/>
        </w:rPr>
        <w:t>–1 visits, unless specified otherwise, will be excluded from participation in this study:</w:t>
      </w:r>
    </w:p>
    <w:p w14:paraId="385CFE77" w14:textId="35C96833" w:rsidR="007E52B9" w:rsidRPr="00436BC0" w:rsidRDefault="007E52B9" w:rsidP="00F81909">
      <w:pPr>
        <w:pStyle w:val="C-NumberedList"/>
        <w:numPr>
          <w:ilvl w:val="0"/>
          <w:numId w:val="37"/>
        </w:numPr>
        <w:spacing w:line="480" w:lineRule="auto"/>
        <w:rPr>
          <w:sz w:val="20"/>
        </w:rPr>
      </w:pPr>
      <w:r w:rsidRPr="00436BC0">
        <w:rPr>
          <w:sz w:val="20"/>
        </w:rPr>
        <w:t>Subject is a female who is breastfeeding, pregnant, or who is planning to become pregnant during the study.</w:t>
      </w:r>
    </w:p>
    <w:p w14:paraId="629ADE4A" w14:textId="1E267E59" w:rsidR="007E52B9" w:rsidRPr="00436BC0" w:rsidRDefault="007E52B9" w:rsidP="00F81909">
      <w:pPr>
        <w:pStyle w:val="C-NumberedList"/>
        <w:spacing w:line="480" w:lineRule="auto"/>
        <w:rPr>
          <w:sz w:val="20"/>
        </w:rPr>
      </w:pPr>
      <w:r w:rsidRPr="00436BC0">
        <w:rPr>
          <w:sz w:val="20"/>
        </w:rPr>
        <w:t>Subject has evidence of erythrodermic, generalized pustular psoriasis, predominantly guttate psoriasis, or drug-induced psoriasis.</w:t>
      </w:r>
    </w:p>
    <w:p w14:paraId="6A4EAC86" w14:textId="514276B9" w:rsidR="007E52B9" w:rsidRPr="00436BC0" w:rsidRDefault="007E52B9" w:rsidP="00F81909">
      <w:pPr>
        <w:pStyle w:val="C-NumberedList"/>
        <w:spacing w:line="480" w:lineRule="auto"/>
        <w:rPr>
          <w:sz w:val="20"/>
        </w:rPr>
      </w:pPr>
      <w:r w:rsidRPr="00436BC0">
        <w:rPr>
          <w:sz w:val="20"/>
        </w:rPr>
        <w:t>Subject has a history of skin disease or presence of skin condition (except psoriasis) that, in the opinion of the investigator, would interfere with the study assessments.</w:t>
      </w:r>
    </w:p>
    <w:p w14:paraId="673D833E" w14:textId="22763EB8" w:rsidR="007E52B9" w:rsidRPr="00436BC0" w:rsidRDefault="007E52B9" w:rsidP="00F81909">
      <w:pPr>
        <w:pStyle w:val="C-NumberedList"/>
        <w:spacing w:line="480" w:lineRule="auto"/>
        <w:rPr>
          <w:sz w:val="20"/>
        </w:rPr>
      </w:pPr>
      <w:r w:rsidRPr="00436BC0">
        <w:rPr>
          <w:sz w:val="20"/>
        </w:rPr>
        <w:t>Subject has moderate to severe psoriasis, as defined by plaque psoriasis covering ≥10% of his/her total BSA at Day</w:t>
      </w:r>
      <w:r w:rsidR="0086350D" w:rsidRPr="00436BC0">
        <w:rPr>
          <w:sz w:val="20"/>
        </w:rPr>
        <w:t> </w:t>
      </w:r>
      <w:r w:rsidRPr="00436BC0">
        <w:rPr>
          <w:sz w:val="20"/>
        </w:rPr>
        <w:t>–1.</w:t>
      </w:r>
    </w:p>
    <w:p w14:paraId="4DDF2415" w14:textId="5662BADA" w:rsidR="007E52B9" w:rsidRPr="00436BC0" w:rsidRDefault="007E52B9" w:rsidP="00F81909">
      <w:pPr>
        <w:pStyle w:val="C-NumberedList"/>
        <w:spacing w:line="480" w:lineRule="auto"/>
        <w:rPr>
          <w:sz w:val="20"/>
        </w:rPr>
      </w:pPr>
      <w:r w:rsidRPr="00436BC0">
        <w:rPr>
          <w:sz w:val="20"/>
        </w:rPr>
        <w:t>Subject is known to have immune deficiency or is immunocompromised.</w:t>
      </w:r>
    </w:p>
    <w:p w14:paraId="2303C292" w14:textId="0A6F9711" w:rsidR="00EA7348" w:rsidRPr="00436BC0" w:rsidRDefault="00EA7348" w:rsidP="00F81909">
      <w:pPr>
        <w:pStyle w:val="C-NumberedList"/>
        <w:spacing w:line="480" w:lineRule="auto"/>
        <w:rPr>
          <w:sz w:val="20"/>
        </w:rPr>
      </w:pPr>
      <w:r w:rsidRPr="00436BC0">
        <w:rPr>
          <w:sz w:val="20"/>
        </w:rPr>
        <w:t>Subject has a history of cancer or lymphoproliferative disease within 5</w:t>
      </w:r>
      <w:r w:rsidR="0086350D" w:rsidRPr="00436BC0">
        <w:rPr>
          <w:sz w:val="20"/>
        </w:rPr>
        <w:t> </w:t>
      </w:r>
      <w:r w:rsidRPr="00436BC0">
        <w:rPr>
          <w:sz w:val="20"/>
        </w:rPr>
        <w:t>years prior to Day</w:t>
      </w:r>
      <w:r w:rsidR="0086350D" w:rsidRPr="00436BC0">
        <w:rPr>
          <w:sz w:val="20"/>
        </w:rPr>
        <w:t> </w:t>
      </w:r>
      <w:r w:rsidRPr="00436BC0">
        <w:rPr>
          <w:sz w:val="20"/>
        </w:rPr>
        <w:t>–1. Subjects with successfully treated nonmetastatic cutaneous squamous cell or basal cell carcinoma and/or successfully treated localized carcinoma in situ of the cervix are not to be excluded.</w:t>
      </w:r>
    </w:p>
    <w:p w14:paraId="624C20CC" w14:textId="6327606B" w:rsidR="00EA7348" w:rsidRPr="00436BC0" w:rsidRDefault="00EA7348" w:rsidP="00F81909">
      <w:pPr>
        <w:pStyle w:val="C-NumberedList"/>
        <w:spacing w:line="480" w:lineRule="auto"/>
        <w:rPr>
          <w:sz w:val="20"/>
        </w:rPr>
      </w:pPr>
      <w:r w:rsidRPr="00436BC0">
        <w:rPr>
          <w:sz w:val="20"/>
        </w:rPr>
        <w:t>Subject had a major surgery within 8</w:t>
      </w:r>
      <w:r w:rsidR="0086350D" w:rsidRPr="00436BC0">
        <w:rPr>
          <w:sz w:val="20"/>
        </w:rPr>
        <w:t> </w:t>
      </w:r>
      <w:r w:rsidRPr="00436BC0">
        <w:rPr>
          <w:sz w:val="20"/>
        </w:rPr>
        <w:t>weeks prior to Day</w:t>
      </w:r>
      <w:r w:rsidR="0086350D" w:rsidRPr="00436BC0">
        <w:rPr>
          <w:sz w:val="20"/>
        </w:rPr>
        <w:t> </w:t>
      </w:r>
      <w:r w:rsidRPr="00436BC0">
        <w:rPr>
          <w:sz w:val="20"/>
        </w:rPr>
        <w:t>–1 or has a major surgery planned during the study.</w:t>
      </w:r>
    </w:p>
    <w:p w14:paraId="1D931012" w14:textId="41638729" w:rsidR="00EA7348" w:rsidRPr="00436BC0" w:rsidRDefault="00EA7348" w:rsidP="00F81909">
      <w:pPr>
        <w:pStyle w:val="C-NumberedList"/>
        <w:spacing w:line="480" w:lineRule="auto"/>
        <w:rPr>
          <w:sz w:val="20"/>
        </w:rPr>
      </w:pPr>
      <w:r w:rsidRPr="00436BC0">
        <w:rPr>
          <w:sz w:val="20"/>
        </w:rPr>
        <w:t>Subject has any clinically significant medical condition or ECG/physical/laboratory/vital signs abnormality that would, in the opinion of the investigator, put the subject at undue risk or interfere with interpretation of study results.</w:t>
      </w:r>
    </w:p>
    <w:p w14:paraId="2DDC53D6" w14:textId="0E2DD84B" w:rsidR="00EA7348" w:rsidRPr="00436BC0" w:rsidRDefault="00EA7348" w:rsidP="00F81909">
      <w:pPr>
        <w:pStyle w:val="C-NumberedList"/>
        <w:spacing w:line="480" w:lineRule="auto"/>
        <w:rPr>
          <w:sz w:val="20"/>
        </w:rPr>
      </w:pPr>
      <w:r w:rsidRPr="00436BC0">
        <w:rPr>
          <w:sz w:val="20"/>
        </w:rPr>
        <w:t>Subject has positive results for HBsAg, antibodies to anti-HBc, HCV, or HIV.</w:t>
      </w:r>
    </w:p>
    <w:p w14:paraId="788915A6" w14:textId="4D7A8991" w:rsidR="00EA7348" w:rsidRPr="00436BC0" w:rsidRDefault="00EA7348" w:rsidP="00F81909">
      <w:pPr>
        <w:pStyle w:val="C-NumberedList"/>
        <w:spacing w:line="480" w:lineRule="auto"/>
        <w:rPr>
          <w:sz w:val="20"/>
        </w:rPr>
      </w:pPr>
      <w:r w:rsidRPr="00436BC0">
        <w:rPr>
          <w:sz w:val="20"/>
        </w:rPr>
        <w:t>Any clinically significant history of infection (except for localized herpes simplex) within 4 weeks prior to Day</w:t>
      </w:r>
      <w:r w:rsidR="0086350D" w:rsidRPr="00436BC0">
        <w:rPr>
          <w:sz w:val="20"/>
        </w:rPr>
        <w:t> </w:t>
      </w:r>
      <w:r w:rsidRPr="00436BC0">
        <w:rPr>
          <w:sz w:val="20"/>
        </w:rPr>
        <w:t>–1.</w:t>
      </w:r>
    </w:p>
    <w:p w14:paraId="3E108A80" w14:textId="6B79A666" w:rsidR="00EA7348" w:rsidRPr="00436BC0" w:rsidRDefault="00EA7348" w:rsidP="00F81909">
      <w:pPr>
        <w:pStyle w:val="C-NumberedList"/>
        <w:spacing w:line="480" w:lineRule="auto"/>
        <w:rPr>
          <w:sz w:val="20"/>
        </w:rPr>
      </w:pPr>
      <w:r w:rsidRPr="00436BC0">
        <w:rPr>
          <w:sz w:val="20"/>
        </w:rPr>
        <w:t xml:space="preserve">Subject has absolute neutrophil count </w:t>
      </w:r>
      <w:r w:rsidR="00F1555C" w:rsidRPr="00436BC0">
        <w:rPr>
          <w:sz w:val="20"/>
        </w:rPr>
        <w:t>&lt;</w:t>
      </w:r>
      <w:r w:rsidRPr="00436BC0">
        <w:rPr>
          <w:sz w:val="20"/>
        </w:rPr>
        <w:t>1.8</w:t>
      </w:r>
      <w:r w:rsidR="0086350D" w:rsidRPr="00436BC0">
        <w:rPr>
          <w:sz w:val="20"/>
        </w:rPr>
        <w:t> </w:t>
      </w:r>
      <w:r w:rsidRPr="00436BC0">
        <w:rPr>
          <w:sz w:val="20"/>
        </w:rPr>
        <w:t>x</w:t>
      </w:r>
      <w:r w:rsidR="0086350D" w:rsidRPr="00436BC0">
        <w:rPr>
          <w:sz w:val="20"/>
        </w:rPr>
        <w:t> </w:t>
      </w:r>
      <w:r w:rsidRPr="00436BC0">
        <w:rPr>
          <w:sz w:val="20"/>
        </w:rPr>
        <w:t>109/L at screening.</w:t>
      </w:r>
    </w:p>
    <w:p w14:paraId="1B9E1A75" w14:textId="6CFC7726" w:rsidR="00EA7348" w:rsidRPr="00436BC0" w:rsidRDefault="00EA7348" w:rsidP="00F81909">
      <w:pPr>
        <w:pStyle w:val="C-NumberedList"/>
        <w:spacing w:line="480" w:lineRule="auto"/>
        <w:rPr>
          <w:sz w:val="20"/>
        </w:rPr>
      </w:pPr>
      <w:r w:rsidRPr="00436BC0">
        <w:rPr>
          <w:sz w:val="20"/>
        </w:rPr>
        <w:t>Subject has ALT, AST or total bilirubin values ≥2 times the ULN, or other clinical evidence of significant hepatic impairment (eg, ascites, peri-umbilical veins, oesophageal varices) at screening.</w:t>
      </w:r>
    </w:p>
    <w:p w14:paraId="1B69B8B2" w14:textId="1F5B8817" w:rsidR="00EA7348" w:rsidRPr="00436BC0" w:rsidRDefault="00EA7348" w:rsidP="00F81909">
      <w:pPr>
        <w:pStyle w:val="C-NumberedList"/>
        <w:spacing w:line="480" w:lineRule="auto"/>
        <w:rPr>
          <w:sz w:val="20"/>
        </w:rPr>
      </w:pPr>
      <w:r w:rsidRPr="00436BC0">
        <w:rPr>
          <w:sz w:val="20"/>
        </w:rPr>
        <w:t>Subject has a history of clinically significant anemia or Hgb value ≤10</w:t>
      </w:r>
      <w:r w:rsidR="0086350D" w:rsidRPr="00436BC0">
        <w:rPr>
          <w:sz w:val="20"/>
        </w:rPr>
        <w:t> </w:t>
      </w:r>
      <w:r w:rsidRPr="00436BC0">
        <w:rPr>
          <w:sz w:val="20"/>
        </w:rPr>
        <w:t>g/dL at screening.</w:t>
      </w:r>
    </w:p>
    <w:p w14:paraId="41DF555D" w14:textId="32CBD628" w:rsidR="00EA7348" w:rsidRPr="00436BC0" w:rsidRDefault="00EA7348" w:rsidP="00F81909">
      <w:pPr>
        <w:pStyle w:val="C-NumberedList"/>
        <w:spacing w:line="480" w:lineRule="auto"/>
        <w:rPr>
          <w:sz w:val="20"/>
        </w:rPr>
      </w:pPr>
      <w:r w:rsidRPr="00436BC0">
        <w:rPr>
          <w:sz w:val="20"/>
        </w:rPr>
        <w:t>Subject has a creatinine clearance ≤60</w:t>
      </w:r>
      <w:r w:rsidR="0086350D" w:rsidRPr="00436BC0">
        <w:rPr>
          <w:sz w:val="20"/>
        </w:rPr>
        <w:t> </w:t>
      </w:r>
      <w:r w:rsidRPr="00436BC0">
        <w:rPr>
          <w:sz w:val="20"/>
        </w:rPr>
        <w:t>ml/min at screening (calculated with MDRD formula).</w:t>
      </w:r>
    </w:p>
    <w:p w14:paraId="2FDA9C50" w14:textId="526D25D2" w:rsidR="00EA7348" w:rsidRPr="00436BC0" w:rsidRDefault="00EA7348" w:rsidP="00F81909">
      <w:pPr>
        <w:pStyle w:val="C-NumberedList"/>
        <w:spacing w:line="480" w:lineRule="auto"/>
        <w:rPr>
          <w:sz w:val="20"/>
        </w:rPr>
      </w:pPr>
      <w:r w:rsidRPr="00436BC0">
        <w:rPr>
          <w:sz w:val="20"/>
        </w:rPr>
        <w:t>Subject has used any topical medication to treat PPP, including corticosteroids, retinoids, vitamin</w:t>
      </w:r>
      <w:r w:rsidR="0086350D" w:rsidRPr="00436BC0">
        <w:rPr>
          <w:sz w:val="20"/>
        </w:rPr>
        <w:t> </w:t>
      </w:r>
      <w:r w:rsidRPr="00436BC0">
        <w:rPr>
          <w:sz w:val="20"/>
        </w:rPr>
        <w:t>D analogues (such as calcipotriol), or tar within 2</w:t>
      </w:r>
      <w:r w:rsidR="0086350D" w:rsidRPr="00436BC0">
        <w:rPr>
          <w:sz w:val="20"/>
        </w:rPr>
        <w:t> </w:t>
      </w:r>
      <w:r w:rsidRPr="00436BC0">
        <w:rPr>
          <w:sz w:val="20"/>
        </w:rPr>
        <w:t>weeks prior to Day</w:t>
      </w:r>
      <w:r w:rsidR="0086350D" w:rsidRPr="00436BC0">
        <w:rPr>
          <w:sz w:val="20"/>
        </w:rPr>
        <w:t> </w:t>
      </w:r>
      <w:r w:rsidRPr="00436BC0">
        <w:rPr>
          <w:sz w:val="20"/>
        </w:rPr>
        <w:t>–1.</w:t>
      </w:r>
    </w:p>
    <w:p w14:paraId="24A7281F" w14:textId="5E4CE85E" w:rsidR="00EA7348" w:rsidRPr="00436BC0" w:rsidRDefault="00EA7348" w:rsidP="00F81909">
      <w:pPr>
        <w:pStyle w:val="C-NumberedList"/>
        <w:spacing w:line="480" w:lineRule="auto"/>
        <w:rPr>
          <w:sz w:val="20"/>
        </w:rPr>
      </w:pPr>
      <w:r w:rsidRPr="00436BC0">
        <w:rPr>
          <w:sz w:val="20"/>
        </w:rPr>
        <w:t>Subject has used topical dapsone within 2</w:t>
      </w:r>
      <w:r w:rsidR="0086350D" w:rsidRPr="00436BC0">
        <w:rPr>
          <w:sz w:val="20"/>
        </w:rPr>
        <w:t> </w:t>
      </w:r>
      <w:r w:rsidRPr="00436BC0">
        <w:rPr>
          <w:sz w:val="20"/>
        </w:rPr>
        <w:t>weeks prior to Day</w:t>
      </w:r>
      <w:r w:rsidR="0086350D" w:rsidRPr="00436BC0">
        <w:rPr>
          <w:sz w:val="20"/>
        </w:rPr>
        <w:t> </w:t>
      </w:r>
      <w:r w:rsidRPr="00436BC0">
        <w:rPr>
          <w:sz w:val="20"/>
        </w:rPr>
        <w:t>–1.</w:t>
      </w:r>
    </w:p>
    <w:p w14:paraId="6E35970D" w14:textId="5D1255B5" w:rsidR="003D3FC8" w:rsidRPr="00436BC0" w:rsidRDefault="003D3FC8" w:rsidP="00F81909">
      <w:pPr>
        <w:pStyle w:val="C-NumberedList"/>
        <w:spacing w:line="480" w:lineRule="auto"/>
        <w:rPr>
          <w:sz w:val="20"/>
        </w:rPr>
      </w:pPr>
      <w:r w:rsidRPr="00436BC0">
        <w:rPr>
          <w:sz w:val="20"/>
        </w:rPr>
        <w:t>Subject has used any systemic treatment for PPP, including corticosteroids, oral retinoids, biotin, immunosuppressive medication, methotrexate, cyclosporine, colchicine or apremilast, within 4</w:t>
      </w:r>
      <w:r w:rsidR="0086350D" w:rsidRPr="00436BC0">
        <w:rPr>
          <w:sz w:val="20"/>
        </w:rPr>
        <w:t> </w:t>
      </w:r>
      <w:r w:rsidRPr="00436BC0">
        <w:rPr>
          <w:sz w:val="20"/>
        </w:rPr>
        <w:t>weeks prior to Day</w:t>
      </w:r>
      <w:r w:rsidR="0086350D" w:rsidRPr="00436BC0">
        <w:rPr>
          <w:sz w:val="20"/>
        </w:rPr>
        <w:t> </w:t>
      </w:r>
      <w:r w:rsidRPr="00436BC0">
        <w:rPr>
          <w:sz w:val="20"/>
        </w:rPr>
        <w:t>–1. Note: Intranasal corticosteroids and inhaled corticosteroids for stable medical conditions are allowed if subject has been on a stable dose for at least 4</w:t>
      </w:r>
      <w:r w:rsidR="0086350D" w:rsidRPr="00436BC0">
        <w:rPr>
          <w:sz w:val="20"/>
        </w:rPr>
        <w:t> </w:t>
      </w:r>
      <w:r w:rsidRPr="00436BC0">
        <w:rPr>
          <w:sz w:val="20"/>
        </w:rPr>
        <w:t>weeks prior to Day</w:t>
      </w:r>
      <w:r w:rsidR="0086350D" w:rsidRPr="00436BC0">
        <w:rPr>
          <w:sz w:val="20"/>
        </w:rPr>
        <w:t> </w:t>
      </w:r>
      <w:r w:rsidRPr="00436BC0">
        <w:rPr>
          <w:sz w:val="20"/>
        </w:rPr>
        <w:t>–1 and will agree to maintain the same dose for the duration of the study. Eye drops containing corticosteroids are allowed.</w:t>
      </w:r>
    </w:p>
    <w:p w14:paraId="18F0B67A" w14:textId="28AB65D6" w:rsidR="003D3FC8" w:rsidRPr="00436BC0" w:rsidRDefault="003D3FC8" w:rsidP="00F81909">
      <w:pPr>
        <w:pStyle w:val="C-NumberedList"/>
        <w:spacing w:line="480" w:lineRule="auto"/>
        <w:rPr>
          <w:sz w:val="20"/>
        </w:rPr>
      </w:pPr>
      <w:r w:rsidRPr="00436BC0">
        <w:rPr>
          <w:sz w:val="20"/>
        </w:rPr>
        <w:t>Subject has used strong systemic cytochrome P450</w:t>
      </w:r>
      <w:r w:rsidR="0086350D" w:rsidRPr="00436BC0">
        <w:rPr>
          <w:sz w:val="20"/>
        </w:rPr>
        <w:t> </w:t>
      </w:r>
      <w:r w:rsidRPr="00436BC0">
        <w:rPr>
          <w:sz w:val="20"/>
        </w:rPr>
        <w:t>3A4/5 inhibitors or inducers within 4</w:t>
      </w:r>
      <w:r w:rsidR="0086350D" w:rsidRPr="00436BC0">
        <w:rPr>
          <w:sz w:val="20"/>
        </w:rPr>
        <w:t> </w:t>
      </w:r>
      <w:r w:rsidRPr="00436BC0">
        <w:rPr>
          <w:sz w:val="20"/>
        </w:rPr>
        <w:t>weeks or 5</w:t>
      </w:r>
      <w:r w:rsidR="0086350D" w:rsidRPr="00436BC0">
        <w:rPr>
          <w:sz w:val="20"/>
        </w:rPr>
        <w:t> </w:t>
      </w:r>
      <w:r w:rsidRPr="00436BC0">
        <w:rPr>
          <w:sz w:val="20"/>
        </w:rPr>
        <w:t>half-lives, whichever is longer, prior to baseline (Day</w:t>
      </w:r>
      <w:r w:rsidR="0086350D" w:rsidRPr="00436BC0">
        <w:rPr>
          <w:sz w:val="20"/>
        </w:rPr>
        <w:t> </w:t>
      </w:r>
      <w:r w:rsidRPr="00436BC0">
        <w:rPr>
          <w:sz w:val="20"/>
        </w:rPr>
        <w:t>–1) (topical cytochrome P450</w:t>
      </w:r>
      <w:r w:rsidR="0086350D" w:rsidRPr="00436BC0">
        <w:rPr>
          <w:sz w:val="20"/>
        </w:rPr>
        <w:t> </w:t>
      </w:r>
      <w:r w:rsidRPr="00436BC0">
        <w:rPr>
          <w:sz w:val="20"/>
        </w:rPr>
        <w:t xml:space="preserve">3A4/5 inducers or inhibitors with known limited systemic availability may be permitted). </w:t>
      </w:r>
    </w:p>
    <w:p w14:paraId="65951765" w14:textId="476B36EB" w:rsidR="003D3FC8" w:rsidRPr="00436BC0" w:rsidRDefault="003D3FC8" w:rsidP="00F81909">
      <w:pPr>
        <w:pStyle w:val="C-NumberedList"/>
        <w:spacing w:line="480" w:lineRule="auto"/>
        <w:rPr>
          <w:sz w:val="20"/>
        </w:rPr>
      </w:pPr>
      <w:r w:rsidRPr="00436BC0">
        <w:rPr>
          <w:sz w:val="20"/>
        </w:rPr>
        <w:t>Subject has received any UV</w:t>
      </w:r>
      <w:r w:rsidR="0086350D" w:rsidRPr="00436BC0">
        <w:rPr>
          <w:sz w:val="20"/>
        </w:rPr>
        <w:noBreakHyphen/>
      </w:r>
      <w:r w:rsidRPr="00436BC0">
        <w:rPr>
          <w:sz w:val="20"/>
        </w:rPr>
        <w:t>B phototherapy (including tanning beds) or excimer laser within 4</w:t>
      </w:r>
      <w:r w:rsidR="0086350D" w:rsidRPr="00436BC0">
        <w:rPr>
          <w:sz w:val="20"/>
        </w:rPr>
        <w:t> </w:t>
      </w:r>
      <w:r w:rsidRPr="00436BC0">
        <w:rPr>
          <w:sz w:val="20"/>
        </w:rPr>
        <w:t>weeks prior to Day</w:t>
      </w:r>
      <w:r w:rsidR="0086350D" w:rsidRPr="00436BC0">
        <w:rPr>
          <w:sz w:val="20"/>
        </w:rPr>
        <w:t> </w:t>
      </w:r>
      <w:r w:rsidRPr="00436BC0">
        <w:rPr>
          <w:sz w:val="20"/>
        </w:rPr>
        <w:t>–1.</w:t>
      </w:r>
    </w:p>
    <w:p w14:paraId="23AF7CEC" w14:textId="7CB4EA87" w:rsidR="003D3FC8" w:rsidRPr="00436BC0" w:rsidRDefault="003D3FC8" w:rsidP="00F81909">
      <w:pPr>
        <w:pStyle w:val="C-NumberedList"/>
        <w:spacing w:line="480" w:lineRule="auto"/>
        <w:rPr>
          <w:sz w:val="20"/>
        </w:rPr>
      </w:pPr>
      <w:r w:rsidRPr="00436BC0">
        <w:rPr>
          <w:sz w:val="20"/>
        </w:rPr>
        <w:t>Subject has had PUVA treatment within 4</w:t>
      </w:r>
      <w:r w:rsidR="0086350D" w:rsidRPr="00436BC0">
        <w:rPr>
          <w:sz w:val="20"/>
        </w:rPr>
        <w:t> </w:t>
      </w:r>
      <w:r w:rsidRPr="00436BC0">
        <w:rPr>
          <w:sz w:val="20"/>
        </w:rPr>
        <w:t>weeks prior to Day</w:t>
      </w:r>
      <w:r w:rsidR="0086350D" w:rsidRPr="00436BC0">
        <w:rPr>
          <w:sz w:val="20"/>
        </w:rPr>
        <w:t> </w:t>
      </w:r>
      <w:r w:rsidRPr="00436BC0">
        <w:rPr>
          <w:sz w:val="20"/>
        </w:rPr>
        <w:t>–1.</w:t>
      </w:r>
    </w:p>
    <w:p w14:paraId="102FA36B" w14:textId="13C53E5B" w:rsidR="003D3FC8" w:rsidRPr="00436BC0" w:rsidRDefault="003D3FC8" w:rsidP="00F81909">
      <w:pPr>
        <w:pStyle w:val="C-NumberedList"/>
        <w:spacing w:line="480" w:lineRule="auto"/>
        <w:rPr>
          <w:sz w:val="20"/>
        </w:rPr>
      </w:pPr>
      <w:r w:rsidRPr="00436BC0">
        <w:rPr>
          <w:sz w:val="20"/>
        </w:rPr>
        <w:t>Subject has received any marketed or investigational biological agent within 12</w:t>
      </w:r>
      <w:r w:rsidR="0086350D" w:rsidRPr="00436BC0">
        <w:rPr>
          <w:sz w:val="20"/>
        </w:rPr>
        <w:t> </w:t>
      </w:r>
      <w:r w:rsidRPr="00436BC0">
        <w:rPr>
          <w:sz w:val="20"/>
        </w:rPr>
        <w:t>weeks or 5</w:t>
      </w:r>
      <w:r w:rsidR="0086350D" w:rsidRPr="00436BC0">
        <w:rPr>
          <w:sz w:val="20"/>
        </w:rPr>
        <w:t> </w:t>
      </w:r>
      <w:r w:rsidRPr="00436BC0">
        <w:rPr>
          <w:sz w:val="20"/>
        </w:rPr>
        <w:t>half-lives (whichever is longer) prior to Day</w:t>
      </w:r>
      <w:r w:rsidR="0086350D" w:rsidRPr="00436BC0">
        <w:rPr>
          <w:sz w:val="20"/>
        </w:rPr>
        <w:t> </w:t>
      </w:r>
      <w:r w:rsidRPr="00436BC0">
        <w:rPr>
          <w:sz w:val="20"/>
        </w:rPr>
        <w:t>–1.</w:t>
      </w:r>
    </w:p>
    <w:p w14:paraId="59C4304A" w14:textId="24555D9D" w:rsidR="001F314E" w:rsidRPr="00436BC0" w:rsidRDefault="001F314E" w:rsidP="00F81909">
      <w:pPr>
        <w:pStyle w:val="C-NumberedList"/>
        <w:spacing w:line="480" w:lineRule="auto"/>
        <w:rPr>
          <w:sz w:val="20"/>
        </w:rPr>
      </w:pPr>
      <w:r w:rsidRPr="00436BC0">
        <w:rPr>
          <w:sz w:val="20"/>
        </w:rPr>
        <w:t>Subject is currently receiving a nonbiological investigational product or investigational device or has received one within 4</w:t>
      </w:r>
      <w:r w:rsidR="0086350D" w:rsidRPr="00436BC0">
        <w:rPr>
          <w:sz w:val="20"/>
        </w:rPr>
        <w:t> </w:t>
      </w:r>
      <w:r w:rsidRPr="00436BC0">
        <w:rPr>
          <w:sz w:val="20"/>
        </w:rPr>
        <w:t>weeks prior to Day</w:t>
      </w:r>
      <w:r w:rsidR="0086350D" w:rsidRPr="00436BC0">
        <w:rPr>
          <w:sz w:val="20"/>
        </w:rPr>
        <w:t> </w:t>
      </w:r>
      <w:r w:rsidRPr="00436BC0">
        <w:rPr>
          <w:sz w:val="20"/>
        </w:rPr>
        <w:t>–1.</w:t>
      </w:r>
    </w:p>
    <w:p w14:paraId="567D631E" w14:textId="178D529E" w:rsidR="001F314E" w:rsidRPr="00436BC0" w:rsidRDefault="001F314E" w:rsidP="00F81909">
      <w:pPr>
        <w:pStyle w:val="C-NumberedList"/>
        <w:spacing w:line="480" w:lineRule="auto"/>
        <w:rPr>
          <w:sz w:val="20"/>
        </w:rPr>
      </w:pPr>
      <w:r w:rsidRPr="00436BC0">
        <w:rPr>
          <w:sz w:val="20"/>
        </w:rPr>
        <w:t>Subject had excessive sun exposure or has used tanning booths within 4</w:t>
      </w:r>
      <w:r w:rsidR="0086350D" w:rsidRPr="00436BC0">
        <w:rPr>
          <w:sz w:val="20"/>
        </w:rPr>
        <w:t> </w:t>
      </w:r>
      <w:r w:rsidRPr="00436BC0">
        <w:rPr>
          <w:sz w:val="20"/>
        </w:rPr>
        <w:t>weeks prior to Day</w:t>
      </w:r>
      <w:r w:rsidR="0086350D" w:rsidRPr="00436BC0">
        <w:rPr>
          <w:sz w:val="20"/>
        </w:rPr>
        <w:t> </w:t>
      </w:r>
      <w:r w:rsidRPr="00436BC0">
        <w:rPr>
          <w:sz w:val="20"/>
        </w:rPr>
        <w:t>–1, or subject is planning a trip where excessive sun exposure is expected, or is not willing to minimize natural and artificial sunlight exposure during the study. Use of sunscreen products and protective apparel are recommended when exposure cannot be avoided.</w:t>
      </w:r>
    </w:p>
    <w:p w14:paraId="235066BE" w14:textId="008A6C6B" w:rsidR="001F314E" w:rsidRPr="00436BC0" w:rsidRDefault="001F314E" w:rsidP="00F81909">
      <w:pPr>
        <w:pStyle w:val="C-NumberedList"/>
        <w:spacing w:line="480" w:lineRule="auto"/>
        <w:rPr>
          <w:sz w:val="20"/>
        </w:rPr>
      </w:pPr>
      <w:r w:rsidRPr="00436BC0">
        <w:rPr>
          <w:sz w:val="20"/>
        </w:rPr>
        <w:t>Subject has a known or suspected allergy to RIST4721 or any component of the study drug.</w:t>
      </w:r>
    </w:p>
    <w:p w14:paraId="5E824FA1" w14:textId="62663F8A" w:rsidR="001F314E" w:rsidRPr="00436BC0" w:rsidRDefault="001F314E" w:rsidP="00F81909">
      <w:pPr>
        <w:pStyle w:val="C-NumberedList"/>
        <w:spacing w:line="480" w:lineRule="auto"/>
        <w:rPr>
          <w:sz w:val="20"/>
        </w:rPr>
      </w:pPr>
      <w:r w:rsidRPr="00436BC0">
        <w:rPr>
          <w:sz w:val="20"/>
        </w:rPr>
        <w:t>Subject has a known history of clinically significant drug or alcohol abuse in the last year prior to Day</w:t>
      </w:r>
      <w:r w:rsidR="0086350D" w:rsidRPr="00436BC0">
        <w:rPr>
          <w:sz w:val="20"/>
        </w:rPr>
        <w:t> </w:t>
      </w:r>
      <w:r w:rsidRPr="00436BC0">
        <w:rPr>
          <w:sz w:val="20"/>
        </w:rPr>
        <w:t>–1.</w:t>
      </w:r>
    </w:p>
    <w:p w14:paraId="4835ADB4" w14:textId="77971E67" w:rsidR="001F314E" w:rsidRPr="00436BC0" w:rsidRDefault="001F314E" w:rsidP="00F81909">
      <w:pPr>
        <w:pStyle w:val="C-NumberedList"/>
        <w:spacing w:line="480" w:lineRule="auto"/>
        <w:rPr>
          <w:sz w:val="20"/>
        </w:rPr>
      </w:pPr>
      <w:r w:rsidRPr="00436BC0">
        <w:rPr>
          <w:sz w:val="20"/>
        </w:rPr>
        <w:t>Close affiliation with the investigator (eg, a close relative), including any study staff of the sites or persons working at the CRO or subject is an employee of sponsor.</w:t>
      </w:r>
    </w:p>
    <w:p w14:paraId="088A4667" w14:textId="52252404" w:rsidR="001F314E" w:rsidRPr="00436BC0" w:rsidRDefault="001F314E" w:rsidP="00F81909">
      <w:pPr>
        <w:pStyle w:val="C-NumberedList"/>
        <w:spacing w:line="480" w:lineRule="auto"/>
        <w:rPr>
          <w:sz w:val="20"/>
        </w:rPr>
      </w:pPr>
      <w:r w:rsidRPr="00436BC0">
        <w:rPr>
          <w:sz w:val="20"/>
        </w:rPr>
        <w:t>Subject is institutionalized because of legal or regulatory order.</w:t>
      </w:r>
    </w:p>
    <w:p w14:paraId="75C8DEEF" w14:textId="77777777" w:rsidR="006F4531" w:rsidRPr="00436BC0" w:rsidRDefault="006F4531" w:rsidP="00F81909">
      <w:pPr>
        <w:pStyle w:val="C-NumberedList"/>
        <w:spacing w:line="480" w:lineRule="auto"/>
        <w:rPr>
          <w:sz w:val="20"/>
        </w:rPr>
      </w:pPr>
      <w:r w:rsidRPr="00436BC0">
        <w:rPr>
          <w:sz w:val="20"/>
          <w:u w:val="single"/>
        </w:rPr>
        <w:t>For subjects consenting to biopsies only</w:t>
      </w:r>
      <w:r w:rsidRPr="00436BC0">
        <w:rPr>
          <w:sz w:val="20"/>
        </w:rPr>
        <w:t>:</w:t>
      </w:r>
    </w:p>
    <w:p w14:paraId="361D7E5F" w14:textId="42850EC7" w:rsidR="006F4531" w:rsidRPr="00436BC0" w:rsidRDefault="006F4531" w:rsidP="00F81909">
      <w:pPr>
        <w:pStyle w:val="C-Bullet"/>
        <w:spacing w:line="480" w:lineRule="auto"/>
        <w:rPr>
          <w:sz w:val="20"/>
        </w:rPr>
      </w:pPr>
      <w:r w:rsidRPr="00436BC0">
        <w:rPr>
          <w:sz w:val="20"/>
        </w:rPr>
        <w:t>Subject has a history of an allergic reaction or significant sensitivity to lidocaine or other local anesthetics.</w:t>
      </w:r>
    </w:p>
    <w:p w14:paraId="2485CC9E" w14:textId="366429F9" w:rsidR="006F4531" w:rsidRPr="00436BC0" w:rsidRDefault="006F4531" w:rsidP="00F81909">
      <w:pPr>
        <w:pStyle w:val="C-Bullet"/>
        <w:spacing w:line="480" w:lineRule="auto"/>
        <w:rPr>
          <w:sz w:val="20"/>
        </w:rPr>
      </w:pPr>
      <w:r w:rsidRPr="00436BC0">
        <w:rPr>
          <w:sz w:val="20"/>
        </w:rPr>
        <w:t>Subject has a history of hypertrophic scarring or keloid formation in scars or suture sites.</w:t>
      </w:r>
    </w:p>
    <w:p w14:paraId="75E3809F" w14:textId="729ED0A3" w:rsidR="006F4531" w:rsidRPr="00436BC0" w:rsidRDefault="006F4531" w:rsidP="00F81909">
      <w:pPr>
        <w:pStyle w:val="C-Bullet"/>
        <w:spacing w:line="480" w:lineRule="auto"/>
        <w:rPr>
          <w:sz w:val="20"/>
        </w:rPr>
      </w:pPr>
      <w:r w:rsidRPr="00436BC0">
        <w:rPr>
          <w:sz w:val="20"/>
        </w:rPr>
        <w:t>Subject has taken anticoagulant medication, such as heparin, LMW heparin, warfarin, antiplatelets (except low-dose aspirin, which will be allowed), within 2</w:t>
      </w:r>
      <w:r w:rsidR="0086350D" w:rsidRPr="00436BC0">
        <w:rPr>
          <w:sz w:val="20"/>
        </w:rPr>
        <w:t> </w:t>
      </w:r>
      <w:r w:rsidRPr="00436BC0">
        <w:rPr>
          <w:sz w:val="20"/>
        </w:rPr>
        <w:t>weeks prior to Day</w:t>
      </w:r>
      <w:r w:rsidR="0086350D" w:rsidRPr="00436BC0">
        <w:rPr>
          <w:sz w:val="20"/>
        </w:rPr>
        <w:t> </w:t>
      </w:r>
      <w:r w:rsidRPr="00436BC0">
        <w:rPr>
          <w:sz w:val="20"/>
        </w:rPr>
        <w:t>–1, or has a contraindication to skin biopsies. NSAIDs will not be considered antiplatelets and will be allowed.</w:t>
      </w:r>
    </w:p>
    <w:p w14:paraId="51B6F879" w14:textId="7FB12769" w:rsidR="00E42695" w:rsidRDefault="00E42695" w:rsidP="00E42695">
      <w:pPr>
        <w:pStyle w:val="C-Bullet"/>
        <w:numPr>
          <w:ilvl w:val="0"/>
          <w:numId w:val="0"/>
        </w:numPr>
        <w:spacing w:line="480" w:lineRule="auto"/>
        <w:ind w:left="1080" w:hanging="360"/>
        <w:rPr>
          <w:sz w:val="20"/>
        </w:rPr>
      </w:pPr>
      <w:bookmarkStart w:id="0" w:name="_GoBack"/>
      <w:bookmarkEnd w:id="0"/>
    </w:p>
    <w:p w14:paraId="4A41DAFC" w14:textId="5CEC6AA9" w:rsidR="00E42695" w:rsidRDefault="00E42695" w:rsidP="00E42695">
      <w:pPr>
        <w:pStyle w:val="C-Bullet"/>
        <w:numPr>
          <w:ilvl w:val="0"/>
          <w:numId w:val="0"/>
        </w:numPr>
        <w:spacing w:line="480" w:lineRule="auto"/>
        <w:ind w:left="1080" w:hanging="360"/>
        <w:rPr>
          <w:sz w:val="20"/>
        </w:rPr>
      </w:pPr>
    </w:p>
    <w:p w14:paraId="74C4CDE0" w14:textId="4A4E8A93" w:rsidR="00E42695" w:rsidRDefault="00E42695" w:rsidP="00E42695">
      <w:pPr>
        <w:pStyle w:val="C-Bullet"/>
        <w:numPr>
          <w:ilvl w:val="0"/>
          <w:numId w:val="0"/>
        </w:numPr>
        <w:spacing w:line="480" w:lineRule="auto"/>
        <w:ind w:left="1080" w:hanging="360"/>
        <w:rPr>
          <w:sz w:val="20"/>
        </w:rPr>
      </w:pPr>
    </w:p>
    <w:p w14:paraId="4227027E" w14:textId="4E474A3B" w:rsidR="00E42695" w:rsidRDefault="00E42695" w:rsidP="00E42695">
      <w:pPr>
        <w:pStyle w:val="C-Bullet"/>
        <w:numPr>
          <w:ilvl w:val="0"/>
          <w:numId w:val="0"/>
        </w:numPr>
        <w:spacing w:line="480" w:lineRule="auto"/>
        <w:ind w:left="1080" w:hanging="360"/>
        <w:rPr>
          <w:sz w:val="20"/>
        </w:rPr>
      </w:pPr>
    </w:p>
    <w:p w14:paraId="1FF787F6" w14:textId="19C07D81" w:rsidR="00E42695" w:rsidRDefault="00E42695" w:rsidP="00E42695">
      <w:pPr>
        <w:pStyle w:val="C-Bullet"/>
        <w:numPr>
          <w:ilvl w:val="0"/>
          <w:numId w:val="0"/>
        </w:numPr>
        <w:spacing w:line="480" w:lineRule="auto"/>
        <w:ind w:left="1080" w:hanging="360"/>
        <w:rPr>
          <w:sz w:val="20"/>
        </w:rPr>
      </w:pPr>
    </w:p>
    <w:p w14:paraId="63988686" w14:textId="597657A0" w:rsidR="00E42695" w:rsidRPr="00B25D9A" w:rsidRDefault="00E42695" w:rsidP="00E42695">
      <w:pPr>
        <w:pStyle w:val="C-Bullet"/>
        <w:numPr>
          <w:ilvl w:val="0"/>
          <w:numId w:val="0"/>
        </w:numPr>
        <w:spacing w:line="480" w:lineRule="auto"/>
        <w:ind w:left="1080" w:hanging="360"/>
        <w:rPr>
          <w:sz w:val="20"/>
        </w:rPr>
      </w:pPr>
    </w:p>
    <w:sectPr w:rsidR="00E42695" w:rsidRPr="00B25D9A" w:rsidSect="00946590">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B03BA" w14:textId="77777777" w:rsidR="00C31930" w:rsidRDefault="00C31930" w:rsidP="00711AAE">
      <w:r>
        <w:separator/>
      </w:r>
    </w:p>
  </w:endnote>
  <w:endnote w:type="continuationSeparator" w:id="0">
    <w:p w14:paraId="6B7AAABF" w14:textId="77777777" w:rsidR="00C31930" w:rsidRDefault="00C31930" w:rsidP="0071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ahoma"/>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366763"/>
      <w:docPartObj>
        <w:docPartGallery w:val="Page Numbers (Bottom of Page)"/>
        <w:docPartUnique/>
      </w:docPartObj>
    </w:sdtPr>
    <w:sdtEndPr>
      <w:rPr>
        <w:noProof/>
      </w:rPr>
    </w:sdtEndPr>
    <w:sdtContent>
      <w:p w14:paraId="780CDF81" w14:textId="244923E6" w:rsidR="00711AAE" w:rsidRDefault="00711AAE">
        <w:pPr>
          <w:pStyle w:val="Footer"/>
          <w:jc w:val="right"/>
        </w:pPr>
        <w:r>
          <w:fldChar w:fldCharType="begin"/>
        </w:r>
        <w:r>
          <w:instrText xml:space="preserve"> PAGE   \* MERGEFORMAT </w:instrText>
        </w:r>
        <w:r>
          <w:fldChar w:fldCharType="separate"/>
        </w:r>
        <w:r w:rsidR="00E42695">
          <w:rPr>
            <w:noProof/>
          </w:rPr>
          <w:t>1</w:t>
        </w:r>
        <w:r>
          <w:rPr>
            <w:noProof/>
          </w:rPr>
          <w:fldChar w:fldCharType="end"/>
        </w:r>
      </w:p>
    </w:sdtContent>
  </w:sdt>
  <w:p w14:paraId="693A3AB9" w14:textId="77777777" w:rsidR="00711AAE" w:rsidRDefault="00711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FEA52" w14:textId="77777777" w:rsidR="00C31930" w:rsidRDefault="00C31930" w:rsidP="00711AAE">
      <w:r>
        <w:separator/>
      </w:r>
    </w:p>
  </w:footnote>
  <w:footnote w:type="continuationSeparator" w:id="0">
    <w:p w14:paraId="12368972" w14:textId="77777777" w:rsidR="00C31930" w:rsidRDefault="00C31930" w:rsidP="00711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10066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5E7B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562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82AC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1822C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4831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BC20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EC80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7617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72D9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outline w:val="0"/>
        <w:shadow w:val="0"/>
        <w:emboss w:val="0"/>
        <w:imprint w:val="0"/>
        <w:vanish w:val="0"/>
        <w:color w:val="auto"/>
        <w:sz w:val="24"/>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3B721A"/>
    <w:multiLevelType w:val="singleLevel"/>
    <w:tmpl w:val="29F2817E"/>
    <w:name w:val="TableNoteNumeric"/>
    <w:lvl w:ilvl="0">
      <w:start w:val="1"/>
      <w:numFmt w:val="decimal"/>
      <w:suff w:val="nothing"/>
      <w:lvlText w:val="%1"/>
      <w:lvlJc w:val="left"/>
      <w:pPr>
        <w:tabs>
          <w:tab w:val="num" w:pos="720"/>
        </w:tabs>
        <w:ind w:left="720" w:hanging="360"/>
      </w:pPr>
    </w:lvl>
  </w:abstractNum>
  <w:abstractNum w:abstractNumId="12" w15:restartNumberingAfterBreak="0">
    <w:nsid w:val="0D0364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181C02"/>
    <w:multiLevelType w:val="singleLevel"/>
    <w:tmpl w:val="B4EC40C4"/>
    <w:name w:val="TableNoteAlpha"/>
    <w:lvl w:ilvl="0">
      <w:start w:val="1"/>
      <w:numFmt w:val="lowerLetter"/>
      <w:suff w:val="nothing"/>
      <w:lvlText w:val="%1"/>
      <w:lvlJc w:val="left"/>
      <w:pPr>
        <w:tabs>
          <w:tab w:val="num" w:pos="720"/>
        </w:tabs>
        <w:ind w:left="720" w:hanging="360"/>
      </w:pPr>
    </w:lvl>
  </w:abstractNum>
  <w:abstractNum w:abstractNumId="15" w15:restartNumberingAfterBreak="0">
    <w:nsid w:val="2497758C"/>
    <w:multiLevelType w:val="hybridMultilevel"/>
    <w:tmpl w:val="016AAAE6"/>
    <w:lvl w:ilvl="0" w:tplc="D93EBD12">
      <w:start w:val="1"/>
      <w:numFmt w:val="decimal"/>
      <w:pStyle w:val="C-AppendixNumbered"/>
      <w:lvlText w:val="Appendix %1."/>
      <w:lvlJc w:val="left"/>
      <w:pPr>
        <w:ind w:left="135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2C433127"/>
    <w:multiLevelType w:val="multilevel"/>
    <w:tmpl w:val="F2F66A26"/>
    <w:numStyleLink w:val="SPNumberedTabs"/>
  </w:abstractNum>
  <w:abstractNum w:abstractNumId="17" w15:restartNumberingAfterBreak="0">
    <w:nsid w:val="32C60FEA"/>
    <w:multiLevelType w:val="hybridMultilevel"/>
    <w:tmpl w:val="6C9E5236"/>
    <w:lvl w:ilvl="0" w:tplc="CAA84086">
      <w:start w:val="1"/>
      <w:numFmt w:val="lowerLetter"/>
      <w:lvlText w:val="%1."/>
      <w:lvlJc w:val="left"/>
      <w:pPr>
        <w:tabs>
          <w:tab w:val="num" w:pos="1080"/>
        </w:tabs>
        <w:ind w:left="1080" w:hanging="360"/>
      </w:pPr>
      <w:rPr>
        <w:rFonts w:hint="default"/>
        <w:b w:val="0"/>
        <w:i w:val="0"/>
        <w:caps w:val="0"/>
        <w:strike w:val="0"/>
        <w:dstrike w:val="0"/>
        <w:outline w:val="0"/>
        <w:shadow w:val="0"/>
        <w:emboss w:val="0"/>
        <w:imprint w:val="0"/>
        <w:vanish w:val="0"/>
        <w:sz w:val="24"/>
        <w:u w:val="none"/>
        <w:vertAlign w:val="baseline"/>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4E75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20"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AE6311"/>
    <w:multiLevelType w:val="multilevel"/>
    <w:tmpl w:val="4FA4CF0A"/>
    <w:lvl w:ilvl="0">
      <w:start w:val="1"/>
      <w:numFmt w:val="bullet"/>
      <w:lvlText w:val=""/>
      <w:lvlJc w:val="left"/>
      <w:pPr>
        <w:tabs>
          <w:tab w:val="num" w:pos="1080"/>
        </w:tabs>
        <w:ind w:left="108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440" w:hanging="360"/>
      </w:pPr>
      <w:rPr>
        <w:rFonts w:ascii="Symbol" w:hAnsi="Symbol" w:hint="default"/>
      </w:rPr>
    </w:lvl>
    <w:lvl w:ilvl="6">
      <w:start w:val="1"/>
      <w:numFmt w:val="bullet"/>
      <w:lvlText w:val=""/>
      <w:lvlJc w:val="left"/>
      <w:pPr>
        <w:ind w:left="1440" w:hanging="360"/>
      </w:pPr>
      <w:rPr>
        <w:rFonts w:ascii="Symbol" w:hAnsi="Symbol" w:hint="default"/>
      </w:rPr>
    </w:lvl>
    <w:lvl w:ilvl="7">
      <w:start w:val="1"/>
      <w:numFmt w:val="bullet"/>
      <w:lvlText w:val=""/>
      <w:lvlJc w:val="left"/>
      <w:pPr>
        <w:ind w:left="1440" w:hanging="360"/>
      </w:pPr>
      <w:rPr>
        <w:rFonts w:ascii="Symbol" w:hAnsi="Symbol" w:hint="default"/>
      </w:rPr>
    </w:lvl>
    <w:lvl w:ilvl="8">
      <w:start w:val="1"/>
      <w:numFmt w:val="bullet"/>
      <w:lvlText w:val=""/>
      <w:lvlJc w:val="left"/>
      <w:pPr>
        <w:ind w:left="1440" w:hanging="360"/>
      </w:pPr>
      <w:rPr>
        <w:rFonts w:ascii="Symbol" w:hAnsi="Symbol" w:hint="default"/>
      </w:rPr>
    </w:lvl>
  </w:abstractNum>
  <w:abstractNum w:abstractNumId="22"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23"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24"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25" w15:restartNumberingAfterBreak="0">
    <w:nsid w:val="52FE2CFA"/>
    <w:multiLevelType w:val="hybridMultilevel"/>
    <w:tmpl w:val="EF5C1A9E"/>
    <w:lvl w:ilvl="0" w:tplc="474A4A64">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4"/>
        <w:u w:val="none"/>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3814F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28" w15:restartNumberingAfterBreak="0">
    <w:nsid w:val="5C980D01"/>
    <w:multiLevelType w:val="hybridMultilevel"/>
    <w:tmpl w:val="125466B8"/>
    <w:lvl w:ilvl="0" w:tplc="6DC22D0A">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sz w:val="24"/>
        <w:u w:val="none"/>
        <w:vertAlign w:val="baseline"/>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EAB1534"/>
    <w:multiLevelType w:val="multilevel"/>
    <w:tmpl w:val="88DCF0C0"/>
    <w:numStyleLink w:val="SPBulletTabs"/>
  </w:abstractNum>
  <w:abstractNum w:abstractNumId="30"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31"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1035A3"/>
    <w:multiLevelType w:val="multilevel"/>
    <w:tmpl w:val="51DE486A"/>
    <w:lvl w:ilvl="0">
      <w:start w:val="1"/>
      <w:numFmt w:val="upperLetter"/>
      <w:pStyle w:val="C-Appendix"/>
      <w:lvlText w:val="Appendix %1."/>
      <w:lvlJc w:val="left"/>
      <w:pPr>
        <w:tabs>
          <w:tab w:val="num" w:pos="1987"/>
        </w:tabs>
        <w:ind w:left="1987" w:hanging="198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num w:numId="1">
    <w:abstractNumId w:val="10"/>
  </w:num>
  <w:num w:numId="2">
    <w:abstractNumId w:val="28"/>
  </w:num>
  <w:num w:numId="3">
    <w:abstractNumId w:val="25"/>
  </w:num>
  <w:num w:numId="4">
    <w:abstractNumId w:val="19"/>
  </w:num>
  <w:num w:numId="5">
    <w:abstractNumId w:val="33"/>
  </w:num>
  <w:num w:numId="6">
    <w:abstractNumId w:val="31"/>
  </w:num>
  <w:num w:numId="7">
    <w:abstractNumId w:val="20"/>
  </w:num>
  <w:num w:numId="8">
    <w:abstractNumId w:val="17"/>
  </w:num>
  <w:num w:numId="9">
    <w:abstractNumId w:val="24"/>
  </w:num>
  <w:num w:numId="10">
    <w:abstractNumId w:val="34"/>
  </w:num>
  <w:num w:numId="11">
    <w:abstractNumId w:val="32"/>
  </w:num>
  <w:num w:numId="12">
    <w:abstractNumId w:val="11"/>
  </w:num>
  <w:num w:numId="13">
    <w:abstractNumId w:val="14"/>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26"/>
  </w:num>
  <w:num w:numId="27">
    <w:abstractNumId w:val="12"/>
  </w:num>
  <w:num w:numId="28">
    <w:abstractNumId w:val="23"/>
  </w:num>
  <w:num w:numId="29">
    <w:abstractNumId w:val="16"/>
  </w:num>
  <w:num w:numId="30">
    <w:abstractNumId w:val="27"/>
  </w:num>
  <w:num w:numId="31">
    <w:abstractNumId w:val="22"/>
  </w:num>
  <w:num w:numId="32">
    <w:abstractNumId w:val="29"/>
  </w:num>
  <w:num w:numId="33">
    <w:abstractNumId w:val="13"/>
  </w:num>
  <w:num w:numId="34">
    <w:abstractNumId w:val="30"/>
  </w:num>
  <w:num w:numId="35">
    <w:abstractNumId w:val="21"/>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B1"/>
    <w:rsid w:val="000801A6"/>
    <w:rsid w:val="000A6D34"/>
    <w:rsid w:val="000C5C87"/>
    <w:rsid w:val="000C76FF"/>
    <w:rsid w:val="0014178F"/>
    <w:rsid w:val="00151B48"/>
    <w:rsid w:val="001F314E"/>
    <w:rsid w:val="001F3173"/>
    <w:rsid w:val="00305F01"/>
    <w:rsid w:val="003A7A50"/>
    <w:rsid w:val="003D3FC8"/>
    <w:rsid w:val="00436BC0"/>
    <w:rsid w:val="00570FE9"/>
    <w:rsid w:val="0062478A"/>
    <w:rsid w:val="00672D7B"/>
    <w:rsid w:val="006E3306"/>
    <w:rsid w:val="006F4531"/>
    <w:rsid w:val="00711AAE"/>
    <w:rsid w:val="007556D0"/>
    <w:rsid w:val="007638B1"/>
    <w:rsid w:val="007E2009"/>
    <w:rsid w:val="007E52B9"/>
    <w:rsid w:val="00854C81"/>
    <w:rsid w:val="0086350D"/>
    <w:rsid w:val="00872F6E"/>
    <w:rsid w:val="008D22A4"/>
    <w:rsid w:val="0090787F"/>
    <w:rsid w:val="00946590"/>
    <w:rsid w:val="00981FA1"/>
    <w:rsid w:val="009F524B"/>
    <w:rsid w:val="00A519FA"/>
    <w:rsid w:val="00A76AA1"/>
    <w:rsid w:val="00B25D9A"/>
    <w:rsid w:val="00B33282"/>
    <w:rsid w:val="00B8403B"/>
    <w:rsid w:val="00BB63C1"/>
    <w:rsid w:val="00C31930"/>
    <w:rsid w:val="00CB16CF"/>
    <w:rsid w:val="00D16B45"/>
    <w:rsid w:val="00D472FE"/>
    <w:rsid w:val="00D547D3"/>
    <w:rsid w:val="00D80950"/>
    <w:rsid w:val="00DD3C41"/>
    <w:rsid w:val="00DD6FDA"/>
    <w:rsid w:val="00E1050D"/>
    <w:rsid w:val="00E42695"/>
    <w:rsid w:val="00EA7348"/>
    <w:rsid w:val="00EE7D84"/>
    <w:rsid w:val="00F05589"/>
    <w:rsid w:val="00F1555C"/>
    <w:rsid w:val="00F45620"/>
    <w:rsid w:val="00F8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9363"/>
  <w15:chartTrackingRefBased/>
  <w15:docId w15:val="{19BC3539-82DF-46F3-9899-44A7542D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73"/>
    <w:pPr>
      <w:spacing w:after="0" w:line="240" w:lineRule="auto"/>
    </w:pPr>
    <w:rPr>
      <w:rFonts w:ascii="Times New Roman" w:eastAsia="Times New Roman" w:hAnsi="Times New Roman" w:cs="Arial"/>
      <w:sz w:val="24"/>
      <w:szCs w:val="20"/>
    </w:rPr>
  </w:style>
  <w:style w:type="paragraph" w:styleId="Heading1">
    <w:name w:val="heading 1"/>
    <w:basedOn w:val="Normal"/>
    <w:next w:val="Normal"/>
    <w:link w:val="Heading1Char"/>
    <w:qFormat/>
    <w:rsid w:val="001F3173"/>
    <w:pPr>
      <w:keepNext/>
      <w:tabs>
        <w:tab w:val="num" w:pos="360"/>
      </w:tabs>
      <w:spacing w:before="480" w:after="240"/>
      <w:outlineLvl w:val="0"/>
    </w:pPr>
    <w:rPr>
      <w:b/>
      <w:bCs/>
      <w:caps/>
      <w:kern w:val="32"/>
      <w:sz w:val="28"/>
      <w:szCs w:val="32"/>
    </w:rPr>
  </w:style>
  <w:style w:type="paragraph" w:styleId="Heading2">
    <w:name w:val="heading 2"/>
    <w:basedOn w:val="Normal"/>
    <w:next w:val="Normal"/>
    <w:link w:val="Heading2Char"/>
    <w:qFormat/>
    <w:rsid w:val="001F3173"/>
    <w:pPr>
      <w:keepNext/>
      <w:tabs>
        <w:tab w:val="num" w:pos="360"/>
      </w:tabs>
      <w:spacing w:before="120" w:after="120"/>
      <w:outlineLvl w:val="1"/>
    </w:pPr>
    <w:rPr>
      <w:b/>
      <w:bCs/>
      <w:sz w:val="28"/>
      <w:szCs w:val="28"/>
    </w:rPr>
  </w:style>
  <w:style w:type="paragraph" w:styleId="Heading3">
    <w:name w:val="heading 3"/>
    <w:basedOn w:val="Normal"/>
    <w:next w:val="Normal"/>
    <w:link w:val="Heading3Char"/>
    <w:qFormat/>
    <w:rsid w:val="001F3173"/>
    <w:pPr>
      <w:keepNext/>
      <w:tabs>
        <w:tab w:val="num" w:pos="360"/>
      </w:tabs>
      <w:spacing w:after="120"/>
      <w:outlineLvl w:val="2"/>
    </w:pPr>
    <w:rPr>
      <w:b/>
    </w:rPr>
  </w:style>
  <w:style w:type="paragraph" w:styleId="Heading4">
    <w:name w:val="heading 4"/>
    <w:basedOn w:val="Normal"/>
    <w:next w:val="Normal"/>
    <w:link w:val="Heading4Char"/>
    <w:qFormat/>
    <w:rsid w:val="001F3173"/>
    <w:pPr>
      <w:keepNext/>
      <w:tabs>
        <w:tab w:val="num" w:pos="360"/>
      </w:tabs>
      <w:spacing w:after="120"/>
      <w:outlineLvl w:val="3"/>
    </w:pPr>
    <w:rPr>
      <w:rFonts w:cs="Times New Roman"/>
      <w:b/>
      <w:bCs/>
      <w:szCs w:val="28"/>
    </w:rPr>
  </w:style>
  <w:style w:type="paragraph" w:styleId="Heading5">
    <w:name w:val="heading 5"/>
    <w:basedOn w:val="Normal"/>
    <w:next w:val="Normal"/>
    <w:link w:val="Heading5Char"/>
    <w:qFormat/>
    <w:rsid w:val="001F3173"/>
    <w:pPr>
      <w:keepNext/>
      <w:tabs>
        <w:tab w:val="num" w:pos="360"/>
      </w:tabs>
      <w:spacing w:after="120"/>
      <w:outlineLvl w:val="4"/>
    </w:pPr>
    <w:rPr>
      <w:b/>
      <w:bCs/>
      <w:szCs w:val="26"/>
    </w:rPr>
  </w:style>
  <w:style w:type="paragraph" w:styleId="Heading6">
    <w:name w:val="heading 6"/>
    <w:basedOn w:val="Normal"/>
    <w:next w:val="Normal"/>
    <w:link w:val="Heading6Char"/>
    <w:qFormat/>
    <w:rsid w:val="001F3173"/>
    <w:pPr>
      <w:keepNext/>
      <w:tabs>
        <w:tab w:val="num" w:pos="360"/>
      </w:tabs>
      <w:spacing w:after="120"/>
      <w:outlineLvl w:val="5"/>
    </w:pPr>
    <w:rPr>
      <w:rFonts w:cs="Times New Roman"/>
      <w:b/>
      <w:bCs/>
      <w:szCs w:val="22"/>
    </w:rPr>
  </w:style>
  <w:style w:type="paragraph" w:styleId="Heading7">
    <w:name w:val="heading 7"/>
    <w:basedOn w:val="Normal"/>
    <w:next w:val="Normal"/>
    <w:link w:val="Heading7Char"/>
    <w:qFormat/>
    <w:rsid w:val="001F3173"/>
    <w:pPr>
      <w:tabs>
        <w:tab w:val="num" w:pos="360"/>
      </w:tabs>
      <w:spacing w:before="240" w:after="60"/>
      <w:outlineLvl w:val="6"/>
    </w:pPr>
    <w:rPr>
      <w:rFonts w:cs="Times New Roman"/>
      <w:szCs w:val="24"/>
    </w:rPr>
  </w:style>
  <w:style w:type="paragraph" w:styleId="Heading8">
    <w:name w:val="heading 8"/>
    <w:basedOn w:val="Normal"/>
    <w:next w:val="Normal"/>
    <w:link w:val="Heading8Char"/>
    <w:qFormat/>
    <w:rsid w:val="001F3173"/>
    <w:pPr>
      <w:tabs>
        <w:tab w:val="num" w:pos="360"/>
      </w:tabs>
      <w:spacing w:before="240" w:after="60"/>
      <w:outlineLvl w:val="7"/>
    </w:pPr>
    <w:rPr>
      <w:rFonts w:cs="Times New Roman"/>
      <w:i/>
      <w:iCs/>
      <w:szCs w:val="24"/>
    </w:rPr>
  </w:style>
  <w:style w:type="paragraph" w:styleId="Heading9">
    <w:name w:val="heading 9"/>
    <w:basedOn w:val="Normal"/>
    <w:next w:val="Normal"/>
    <w:link w:val="Heading9Char"/>
    <w:qFormat/>
    <w:rsid w:val="001F3173"/>
    <w:pPr>
      <w:tabs>
        <w:tab w:val="num" w:pos="360"/>
      </w:tabs>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14178F"/>
    <w:rPr>
      <w:rFonts w:ascii="Times New Roman" w:eastAsia="Times New Roman" w:hAnsi="Times New Roman" w:cs="Arial"/>
      <w:b/>
      <w:bCs/>
      <w:caps/>
      <w:kern w:val="32"/>
      <w:sz w:val="28"/>
      <w:szCs w:val="32"/>
    </w:rPr>
  </w:style>
  <w:style w:type="character" w:customStyle="1" w:styleId="Heading2Char">
    <w:name w:val="Heading 2 Char"/>
    <w:basedOn w:val="DefaultParagraphFont"/>
    <w:link w:val="Heading2"/>
    <w:rsid w:val="0014178F"/>
    <w:rPr>
      <w:rFonts w:ascii="Times New Roman" w:eastAsia="Times New Roman" w:hAnsi="Times New Roman" w:cs="Arial"/>
      <w:b/>
      <w:bCs/>
      <w:sz w:val="28"/>
      <w:szCs w:val="28"/>
    </w:rPr>
  </w:style>
  <w:style w:type="character" w:customStyle="1" w:styleId="Heading3Char">
    <w:name w:val="Heading 3 Char"/>
    <w:basedOn w:val="DefaultParagraphFont"/>
    <w:link w:val="Heading3"/>
    <w:rsid w:val="0014178F"/>
    <w:rPr>
      <w:rFonts w:ascii="Times New Roman" w:eastAsia="Times New Roman" w:hAnsi="Times New Roman" w:cs="Arial"/>
      <w:b/>
      <w:sz w:val="24"/>
      <w:szCs w:val="20"/>
    </w:rPr>
  </w:style>
  <w:style w:type="character" w:customStyle="1" w:styleId="Heading4Char">
    <w:name w:val="Heading 4 Char"/>
    <w:basedOn w:val="DefaultParagraphFont"/>
    <w:link w:val="Heading4"/>
    <w:rsid w:val="0014178F"/>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14178F"/>
    <w:rPr>
      <w:rFonts w:ascii="Times New Roman" w:eastAsia="Times New Roman" w:hAnsi="Times New Roman" w:cs="Arial"/>
      <w:b/>
      <w:bCs/>
      <w:sz w:val="24"/>
      <w:szCs w:val="26"/>
    </w:rPr>
  </w:style>
  <w:style w:type="character" w:customStyle="1" w:styleId="Heading6Char">
    <w:name w:val="Heading 6 Char"/>
    <w:basedOn w:val="DefaultParagraphFont"/>
    <w:link w:val="Heading6"/>
    <w:rsid w:val="0014178F"/>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14178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4178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4178F"/>
    <w:rPr>
      <w:rFonts w:ascii="Arial" w:eastAsia="Times New Roman" w:hAnsi="Arial" w:cs="Arial"/>
    </w:rPr>
  </w:style>
  <w:style w:type="paragraph" w:styleId="Caption">
    <w:name w:val="caption"/>
    <w:next w:val="C-BodyText"/>
    <w:qFormat/>
    <w:rsid w:val="001F3173"/>
    <w:pPr>
      <w:keepNext/>
      <w:spacing w:before="120" w:after="120" w:line="280" w:lineRule="atLeast"/>
      <w:ind w:left="1440" w:hanging="1440"/>
    </w:pPr>
    <w:rPr>
      <w:rFonts w:ascii="Times New Roman" w:eastAsia="Times New Roman" w:hAnsi="Times New Roman" w:cs="Times New Roman"/>
      <w:b/>
      <w:bCs/>
      <w:sz w:val="24"/>
      <w:szCs w:val="24"/>
    </w:rPr>
  </w:style>
  <w:style w:type="paragraph" w:customStyle="1" w:styleId="C-BodyText">
    <w:name w:val="C-Body Text"/>
    <w:rsid w:val="001F3173"/>
    <w:pPr>
      <w:spacing w:before="120" w:after="120" w:line="280" w:lineRule="atLeast"/>
    </w:pPr>
    <w:rPr>
      <w:rFonts w:ascii="Times New Roman" w:eastAsia="Times New Roman" w:hAnsi="Times New Roman" w:cs="Times New Roman"/>
      <w:sz w:val="24"/>
      <w:szCs w:val="20"/>
    </w:rPr>
  </w:style>
  <w:style w:type="paragraph" w:styleId="TOC1">
    <w:name w:val="toc 1"/>
    <w:next w:val="C-BodyText"/>
    <w:rsid w:val="001F3173"/>
    <w:pPr>
      <w:tabs>
        <w:tab w:val="left" w:pos="1152"/>
        <w:tab w:val="right" w:leader="dot" w:pos="9360"/>
      </w:tabs>
      <w:spacing w:before="120" w:after="0" w:line="240" w:lineRule="auto"/>
      <w:ind w:left="1152" w:right="792" w:hanging="1152"/>
    </w:pPr>
    <w:rPr>
      <w:rFonts w:ascii="Times New Roman" w:eastAsia="Times New Roman" w:hAnsi="Times New Roman" w:cs="Arial"/>
      <w:caps/>
      <w:color w:val="0000FF"/>
      <w:sz w:val="24"/>
      <w:szCs w:val="24"/>
    </w:rPr>
  </w:style>
  <w:style w:type="paragraph" w:styleId="TOC2">
    <w:name w:val="toc 2"/>
    <w:basedOn w:val="TOC1"/>
    <w:next w:val="C-BodyText"/>
    <w:rsid w:val="001F3173"/>
    <w:rPr>
      <w:caps w:val="0"/>
    </w:rPr>
  </w:style>
  <w:style w:type="paragraph" w:styleId="TOC3">
    <w:name w:val="toc 3"/>
    <w:basedOn w:val="TOC1"/>
    <w:next w:val="C-BodyText"/>
    <w:rsid w:val="001F3173"/>
    <w:rPr>
      <w:caps w:val="0"/>
    </w:rPr>
  </w:style>
  <w:style w:type="paragraph" w:styleId="TOC4">
    <w:name w:val="toc 4"/>
    <w:basedOn w:val="TOC1"/>
    <w:next w:val="C-BodyText"/>
    <w:rsid w:val="001F3173"/>
    <w:rPr>
      <w:caps w:val="0"/>
    </w:rPr>
  </w:style>
  <w:style w:type="paragraph" w:customStyle="1" w:styleId="C-Heading1">
    <w:name w:val="C-Heading 1"/>
    <w:next w:val="C-BodyText"/>
    <w:link w:val="C-Heading1Char"/>
    <w:rsid w:val="001F3173"/>
    <w:pPr>
      <w:keepNext/>
      <w:pageBreakBefore/>
      <w:numPr>
        <w:numId w:val="4"/>
      </w:numPr>
      <w:spacing w:before="480" w:after="120" w:line="240" w:lineRule="auto"/>
      <w:outlineLvl w:val="0"/>
    </w:pPr>
    <w:rPr>
      <w:rFonts w:ascii="Times New Roman" w:eastAsia="Times New Roman" w:hAnsi="Times New Roman" w:cs="Times New Roman"/>
      <w:b/>
      <w:caps/>
      <w:sz w:val="28"/>
      <w:szCs w:val="20"/>
    </w:rPr>
  </w:style>
  <w:style w:type="paragraph" w:customStyle="1" w:styleId="C-Heading2">
    <w:name w:val="C-Heading 2"/>
    <w:next w:val="C-BodyText"/>
    <w:rsid w:val="001F3173"/>
    <w:pPr>
      <w:keepNext/>
      <w:numPr>
        <w:ilvl w:val="1"/>
        <w:numId w:val="4"/>
      </w:numPr>
      <w:spacing w:before="240" w:after="0" w:line="240" w:lineRule="auto"/>
      <w:outlineLvl w:val="1"/>
    </w:pPr>
    <w:rPr>
      <w:rFonts w:ascii="Times New Roman" w:eastAsia="Times New Roman" w:hAnsi="Times New Roman" w:cs="Times New Roman"/>
      <w:b/>
      <w:sz w:val="28"/>
      <w:szCs w:val="20"/>
    </w:rPr>
  </w:style>
  <w:style w:type="paragraph" w:customStyle="1" w:styleId="C-Heading3">
    <w:name w:val="C-Heading 3"/>
    <w:next w:val="C-BodyText"/>
    <w:rsid w:val="001F3173"/>
    <w:pPr>
      <w:keepNext/>
      <w:numPr>
        <w:ilvl w:val="2"/>
        <w:numId w:val="4"/>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1F3173"/>
    <w:pPr>
      <w:keepNext/>
      <w:numPr>
        <w:ilvl w:val="3"/>
        <w:numId w:val="4"/>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1F3173"/>
    <w:pPr>
      <w:keepNext/>
      <w:numPr>
        <w:ilvl w:val="4"/>
        <w:numId w:val="4"/>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1F3173"/>
    <w:pPr>
      <w:keepNext/>
      <w:numPr>
        <w:ilvl w:val="5"/>
        <w:numId w:val="4"/>
      </w:numPr>
      <w:tabs>
        <w:tab w:val="clear" w:pos="1080"/>
        <w:tab w:val="num" w:pos="1224"/>
      </w:tabs>
      <w:spacing w:before="240" w:after="0" w:line="240" w:lineRule="auto"/>
      <w:ind w:left="1224" w:hanging="1224"/>
      <w:outlineLvl w:val="5"/>
    </w:pPr>
    <w:rPr>
      <w:rFonts w:ascii="Times New Roman" w:eastAsia="Times New Roman" w:hAnsi="Times New Roman" w:cs="Times New Roman"/>
      <w:b/>
      <w:sz w:val="24"/>
      <w:szCs w:val="20"/>
    </w:rPr>
  </w:style>
  <w:style w:type="paragraph" w:customStyle="1" w:styleId="C-BodyTextIndent">
    <w:name w:val="C-Body Text Indent"/>
    <w:rsid w:val="001F3173"/>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1F3173"/>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1F3173"/>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1F3173"/>
    <w:pPr>
      <w:keepNext/>
      <w:spacing w:before="60" w:after="60" w:line="240" w:lineRule="auto"/>
    </w:pPr>
    <w:rPr>
      <w:rFonts w:ascii="Times New Roman" w:eastAsia="Times New Roman" w:hAnsi="Times New Roman" w:cs="Times New Roman"/>
      <w:b/>
      <w:szCs w:val="20"/>
    </w:rPr>
  </w:style>
  <w:style w:type="paragraph" w:customStyle="1" w:styleId="C-TableText">
    <w:name w:val="C-Table Text"/>
    <w:rsid w:val="001F3173"/>
    <w:pPr>
      <w:spacing w:before="60" w:after="60" w:line="240" w:lineRule="auto"/>
    </w:pPr>
    <w:rPr>
      <w:rFonts w:ascii="Times New Roman" w:eastAsia="Times New Roman" w:hAnsi="Times New Roman" w:cs="Times New Roman"/>
      <w:szCs w:val="20"/>
    </w:rPr>
  </w:style>
  <w:style w:type="paragraph" w:customStyle="1" w:styleId="C-TableFootnote">
    <w:name w:val="C-Table Footnote"/>
    <w:next w:val="C-BodyText"/>
    <w:rsid w:val="001F3173"/>
    <w:pPr>
      <w:tabs>
        <w:tab w:val="left" w:pos="144"/>
      </w:tabs>
      <w:spacing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rsid w:val="001F3173"/>
    <w:rPr>
      <w:caps w:val="0"/>
    </w:rPr>
  </w:style>
  <w:style w:type="paragraph" w:styleId="TOC6">
    <w:name w:val="toc 6"/>
    <w:basedOn w:val="TOC1"/>
    <w:next w:val="C-BodyText"/>
    <w:rsid w:val="001F3173"/>
    <w:rPr>
      <w:caps w:val="0"/>
    </w:rPr>
  </w:style>
  <w:style w:type="paragraph" w:styleId="TOC7">
    <w:name w:val="toc 7"/>
    <w:basedOn w:val="TOC1"/>
    <w:next w:val="C-BodyText"/>
    <w:rsid w:val="001F3173"/>
    <w:rPr>
      <w:caps w:val="0"/>
    </w:rPr>
  </w:style>
  <w:style w:type="paragraph" w:styleId="TOC8">
    <w:name w:val="toc 8"/>
    <w:basedOn w:val="TOC1"/>
    <w:next w:val="C-BodyText"/>
    <w:rsid w:val="001F3173"/>
    <w:rPr>
      <w:caps w:val="0"/>
    </w:rPr>
  </w:style>
  <w:style w:type="paragraph" w:styleId="TOC9">
    <w:name w:val="toc 9"/>
    <w:basedOn w:val="TOC1"/>
    <w:next w:val="C-BodyText"/>
    <w:rsid w:val="001F3173"/>
  </w:style>
  <w:style w:type="paragraph" w:styleId="TableofFigures">
    <w:name w:val="table of figures"/>
    <w:next w:val="C-BodyText"/>
    <w:rsid w:val="001F3173"/>
    <w:pPr>
      <w:tabs>
        <w:tab w:val="left" w:pos="1152"/>
        <w:tab w:val="right" w:leader="dot" w:pos="9360"/>
      </w:tabs>
      <w:spacing w:before="120" w:after="0" w:line="280" w:lineRule="atLeast"/>
      <w:ind w:left="1152" w:right="792" w:hanging="1152"/>
    </w:pPr>
    <w:rPr>
      <w:rFonts w:ascii="Times New Roman" w:eastAsia="Times New Roman" w:hAnsi="Times New Roman" w:cs="Arial"/>
      <w:color w:val="0000FF"/>
      <w:sz w:val="24"/>
      <w:szCs w:val="20"/>
    </w:rPr>
  </w:style>
  <w:style w:type="paragraph" w:customStyle="1" w:styleId="C-TOCTitle">
    <w:name w:val="C-TOC Title"/>
    <w:next w:val="C-BodyText"/>
    <w:rsid w:val="001F3173"/>
    <w:pPr>
      <w:spacing w:after="120" w:line="240" w:lineRule="auto"/>
      <w:jc w:val="center"/>
      <w:outlineLvl w:val="0"/>
    </w:pPr>
    <w:rPr>
      <w:rFonts w:ascii="Times New Roman" w:eastAsia="Times New Roman" w:hAnsi="Times New Roman" w:cs="Times New Roman"/>
      <w:b/>
      <w:caps/>
      <w:sz w:val="28"/>
      <w:szCs w:val="28"/>
    </w:rPr>
  </w:style>
  <w:style w:type="paragraph" w:customStyle="1" w:styleId="C-CaptionContinued">
    <w:name w:val="C-Caption Continued"/>
    <w:next w:val="C-BodyText"/>
    <w:rsid w:val="001F3173"/>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1F3173"/>
    <w:pPr>
      <w:numPr>
        <w:numId w:val="31"/>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1F3173"/>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1F3173"/>
    <w:pPr>
      <w:spacing w:before="120"/>
    </w:pPr>
    <w:rPr>
      <w:rFonts w:ascii="Arial" w:hAnsi="Arial"/>
      <w:b/>
      <w:bCs/>
      <w:szCs w:val="24"/>
    </w:rPr>
  </w:style>
  <w:style w:type="paragraph" w:customStyle="1" w:styleId="C-Title">
    <w:name w:val="C-Title"/>
    <w:next w:val="C-BodyText"/>
    <w:rsid w:val="001F3173"/>
    <w:pPr>
      <w:spacing w:after="120" w:line="240" w:lineRule="auto"/>
      <w:jc w:val="center"/>
    </w:pPr>
    <w:rPr>
      <w:rFonts w:ascii="Times New Roman" w:eastAsia="Times New Roman" w:hAnsi="Times New Roman" w:cs="Times New Roman"/>
      <w:b/>
      <w:caps/>
      <w:sz w:val="36"/>
      <w:szCs w:val="20"/>
    </w:rPr>
  </w:style>
  <w:style w:type="paragraph" w:customStyle="1" w:styleId="C-Header">
    <w:name w:val="C-Header"/>
    <w:rsid w:val="001F3173"/>
    <w:pPr>
      <w:spacing w:after="0" w:line="240" w:lineRule="auto"/>
    </w:pPr>
    <w:rPr>
      <w:rFonts w:ascii="Times New Roman" w:eastAsia="Times New Roman" w:hAnsi="Times New Roman" w:cs="Times New Roman"/>
      <w:sz w:val="24"/>
      <w:szCs w:val="20"/>
    </w:rPr>
  </w:style>
  <w:style w:type="paragraph" w:customStyle="1" w:styleId="C-Footer">
    <w:name w:val="C-Footer"/>
    <w:rsid w:val="001F3173"/>
    <w:pPr>
      <w:spacing w:after="0" w:line="240" w:lineRule="auto"/>
    </w:pPr>
    <w:rPr>
      <w:rFonts w:ascii="Times New Roman" w:eastAsia="Times New Roman" w:hAnsi="Times New Roman" w:cs="Times New Roman"/>
      <w:sz w:val="24"/>
      <w:szCs w:val="20"/>
    </w:rPr>
  </w:style>
  <w:style w:type="paragraph" w:customStyle="1" w:styleId="C-Heading1non-numbered">
    <w:name w:val="C-Heading 1 (non-numbered)"/>
    <w:basedOn w:val="C-Heading1"/>
    <w:next w:val="C-BodyText"/>
    <w:rsid w:val="001F3173"/>
    <w:pPr>
      <w:numPr>
        <w:numId w:val="0"/>
      </w:numPr>
      <w:tabs>
        <w:tab w:val="left" w:pos="1080"/>
      </w:tabs>
      <w:ind w:left="1080" w:hanging="1080"/>
    </w:pPr>
  </w:style>
  <w:style w:type="paragraph" w:customStyle="1" w:styleId="C-Heading2non-numbered">
    <w:name w:val="C-Heading 2 (non-numbered)"/>
    <w:basedOn w:val="C-Heading2"/>
    <w:next w:val="C-BodyText"/>
    <w:rsid w:val="001F3173"/>
    <w:pPr>
      <w:numPr>
        <w:ilvl w:val="0"/>
        <w:numId w:val="0"/>
      </w:numPr>
      <w:tabs>
        <w:tab w:val="left" w:pos="1080"/>
      </w:tabs>
      <w:ind w:left="1080" w:hanging="1080"/>
    </w:pPr>
  </w:style>
  <w:style w:type="paragraph" w:customStyle="1" w:styleId="C-Heading3non-numbered">
    <w:name w:val="C-Heading 3 (non-numbered)"/>
    <w:basedOn w:val="C-Heading3"/>
    <w:next w:val="C-BodyText"/>
    <w:rsid w:val="001F3173"/>
    <w:pPr>
      <w:numPr>
        <w:ilvl w:val="0"/>
        <w:numId w:val="0"/>
      </w:numPr>
      <w:tabs>
        <w:tab w:val="left" w:pos="1080"/>
      </w:tabs>
      <w:ind w:left="1080" w:hanging="1080"/>
    </w:pPr>
  </w:style>
  <w:style w:type="paragraph" w:customStyle="1" w:styleId="C-Heading4non-numbered">
    <w:name w:val="C-Heading 4 (non-numbered)"/>
    <w:basedOn w:val="C-Heading4"/>
    <w:next w:val="C-BodyText"/>
    <w:rsid w:val="001F3173"/>
    <w:pPr>
      <w:numPr>
        <w:ilvl w:val="0"/>
        <w:numId w:val="0"/>
      </w:numPr>
      <w:tabs>
        <w:tab w:val="left" w:pos="1080"/>
      </w:tabs>
      <w:ind w:left="1080" w:hanging="1080"/>
    </w:pPr>
  </w:style>
  <w:style w:type="paragraph" w:customStyle="1" w:styleId="C-Heading5non-numbered">
    <w:name w:val="C-Heading 5 (non-numbered)"/>
    <w:basedOn w:val="C-Heading5"/>
    <w:next w:val="C-BodyText"/>
    <w:rsid w:val="001F3173"/>
    <w:pPr>
      <w:numPr>
        <w:ilvl w:val="0"/>
        <w:numId w:val="0"/>
      </w:numPr>
      <w:tabs>
        <w:tab w:val="left" w:pos="1080"/>
      </w:tabs>
      <w:ind w:left="1080" w:hanging="1080"/>
    </w:pPr>
  </w:style>
  <w:style w:type="paragraph" w:customStyle="1" w:styleId="C-Heading6non-numbered">
    <w:name w:val="C-Heading 6 (non-numbered)"/>
    <w:basedOn w:val="C-Heading6"/>
    <w:next w:val="C-BodyText"/>
    <w:rsid w:val="001F3173"/>
    <w:pPr>
      <w:numPr>
        <w:ilvl w:val="0"/>
        <w:numId w:val="0"/>
      </w:numPr>
      <w:tabs>
        <w:tab w:val="left" w:pos="1080"/>
      </w:tabs>
      <w:ind w:left="1080" w:hanging="1080"/>
    </w:pPr>
  </w:style>
  <w:style w:type="character" w:styleId="Hyperlink">
    <w:name w:val="Hyperlink"/>
    <w:rsid w:val="001F3173"/>
    <w:rPr>
      <w:color w:val="0000FF"/>
      <w:u w:val="single"/>
    </w:rPr>
  </w:style>
  <w:style w:type="paragraph" w:customStyle="1" w:styleId="C-Heading1nopagebreak">
    <w:name w:val="C-Heading 1 (no page break)"/>
    <w:basedOn w:val="C-Heading1"/>
    <w:next w:val="C-BodyText"/>
    <w:rsid w:val="001F3173"/>
    <w:pPr>
      <w:pageBreakBefore w:val="0"/>
    </w:pPr>
  </w:style>
  <w:style w:type="paragraph" w:customStyle="1" w:styleId="C-Heading1nopagebreak0">
    <w:name w:val="C-Heading 1 (no page break"/>
    <w:aliases w:val="non-numbered)"/>
    <w:basedOn w:val="C-Heading1non-numbered"/>
    <w:next w:val="C-BodyText"/>
    <w:rsid w:val="001F3173"/>
    <w:pPr>
      <w:pageBreakBefore w:val="0"/>
    </w:pPr>
  </w:style>
  <w:style w:type="character" w:styleId="HTMLKeyboard">
    <w:name w:val="HTML Keyboard"/>
    <w:rsid w:val="001F3173"/>
    <w:rPr>
      <w:rFonts w:ascii="Courier New" w:hAnsi="Courier New"/>
      <w:sz w:val="20"/>
      <w:szCs w:val="20"/>
    </w:rPr>
  </w:style>
  <w:style w:type="paragraph" w:customStyle="1" w:styleId="C-AlphabeticList">
    <w:name w:val="C-Alphabetic List"/>
    <w:rsid w:val="001F3173"/>
    <w:pPr>
      <w:numPr>
        <w:ilvl w:val="1"/>
        <w:numId w:val="31"/>
      </w:numPr>
      <w:spacing w:after="0" w:line="240" w:lineRule="auto"/>
    </w:pPr>
    <w:rPr>
      <w:rFonts w:ascii="Times New Roman" w:eastAsia="Times New Roman" w:hAnsi="Times New Roman" w:cs="Times New Roman"/>
      <w:sz w:val="24"/>
      <w:szCs w:val="20"/>
    </w:rPr>
  </w:style>
  <w:style w:type="paragraph" w:customStyle="1" w:styleId="C-Appendix">
    <w:name w:val="C-Appendix"/>
    <w:next w:val="C-BodyText"/>
    <w:rsid w:val="001F3173"/>
    <w:pPr>
      <w:keepNext/>
      <w:pageBreakBefore/>
      <w:numPr>
        <w:numId w:val="5"/>
      </w:numPr>
      <w:spacing w:before="480" w:after="120" w:line="240" w:lineRule="auto"/>
      <w:outlineLvl w:val="0"/>
    </w:pPr>
    <w:rPr>
      <w:rFonts w:ascii="Times New Roman" w:eastAsia="Times New Roman" w:hAnsi="Times New Roman" w:cs="Times New Roman"/>
      <w:b/>
      <w:caps/>
      <w:sz w:val="28"/>
      <w:szCs w:val="20"/>
    </w:rPr>
  </w:style>
  <w:style w:type="paragraph" w:customStyle="1" w:styleId="C-PLR-NumberedList">
    <w:name w:val="C-PLR-Numbered List"/>
    <w:rsid w:val="001F3173"/>
    <w:pPr>
      <w:numPr>
        <w:numId w:val="11"/>
      </w:numPr>
      <w:spacing w:after="0" w:line="240" w:lineRule="auto"/>
    </w:pPr>
    <w:rPr>
      <w:rFonts w:ascii="Times New Roman" w:eastAsia="Times New Roman" w:hAnsi="Times New Roman" w:cs="Times New Roman"/>
      <w:sz w:val="16"/>
      <w:szCs w:val="20"/>
    </w:rPr>
  </w:style>
  <w:style w:type="paragraph" w:customStyle="1" w:styleId="C-PLR-BodyText">
    <w:name w:val="C-PLR-Body Text"/>
    <w:rsid w:val="001F3173"/>
    <w:pPr>
      <w:spacing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1F3173"/>
    <w:pPr>
      <w:spacing w:after="0" w:line="240" w:lineRule="auto"/>
      <w:ind w:left="360"/>
    </w:pPr>
    <w:rPr>
      <w:rFonts w:ascii="Times New Roman" w:eastAsia="Times New Roman" w:hAnsi="Times New Roman" w:cs="Times New Roman"/>
      <w:sz w:val="16"/>
      <w:szCs w:val="20"/>
    </w:rPr>
  </w:style>
  <w:style w:type="paragraph" w:customStyle="1" w:styleId="C-PLR-Bullet">
    <w:name w:val="C-PLR-Bullet"/>
    <w:rsid w:val="001F3173"/>
    <w:pPr>
      <w:numPr>
        <w:numId w:val="6"/>
      </w:numPr>
      <w:spacing w:after="0" w:line="240" w:lineRule="auto"/>
    </w:pPr>
    <w:rPr>
      <w:rFonts w:ascii="Times New Roman" w:eastAsia="Times New Roman" w:hAnsi="Times New Roman" w:cs="Times New Roman"/>
      <w:sz w:val="16"/>
      <w:szCs w:val="20"/>
    </w:rPr>
  </w:style>
  <w:style w:type="paragraph" w:customStyle="1" w:styleId="C-PLR-BulletIndented">
    <w:name w:val="C-PLR-Bullet Indented"/>
    <w:rsid w:val="001F3173"/>
    <w:pPr>
      <w:numPr>
        <w:numId w:val="7"/>
      </w:numPr>
      <w:spacing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1F3173"/>
    <w:pPr>
      <w:keepNext/>
      <w:spacing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1F3173"/>
  </w:style>
  <w:style w:type="paragraph" w:customStyle="1" w:styleId="C-PLR-Heading2non-numbered">
    <w:name w:val="C-PLR-Heading 2 (non-numbered)"/>
    <w:basedOn w:val="C-PLR-Heading2"/>
    <w:next w:val="C-PLR-BodyText"/>
    <w:rsid w:val="001F3173"/>
    <w:pPr>
      <w:numPr>
        <w:ilvl w:val="0"/>
        <w:numId w:val="0"/>
      </w:numPr>
      <w:ind w:left="720" w:hanging="720"/>
    </w:pPr>
  </w:style>
  <w:style w:type="paragraph" w:customStyle="1" w:styleId="C-PLR-TableHeader">
    <w:name w:val="C-PLR-Table Header"/>
    <w:next w:val="C-PLR-TableText"/>
    <w:rsid w:val="001F3173"/>
    <w:pPr>
      <w:keepNext/>
      <w:spacing w:after="0" w:line="240" w:lineRule="auto"/>
    </w:pPr>
    <w:rPr>
      <w:rFonts w:ascii="Times New Roman" w:eastAsia="Times New Roman" w:hAnsi="Times New Roman" w:cs="Times New Roman"/>
      <w:b/>
      <w:sz w:val="16"/>
      <w:szCs w:val="20"/>
    </w:rPr>
  </w:style>
  <w:style w:type="paragraph" w:customStyle="1" w:styleId="C-PLR-TableText">
    <w:name w:val="C-PLR-Table Text"/>
    <w:rsid w:val="001F3173"/>
    <w:pPr>
      <w:spacing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1F3173"/>
    <w:pPr>
      <w:spacing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1F3173"/>
    <w:pPr>
      <w:tabs>
        <w:tab w:val="center" w:leader="underscore" w:pos="2520"/>
        <w:tab w:val="right" w:leader="underscore" w:pos="5040"/>
      </w:tabs>
      <w:spacing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1F3173"/>
    <w:pPr>
      <w:spacing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1F3173"/>
    <w:pPr>
      <w:ind w:left="864"/>
    </w:pPr>
    <w:rPr>
      <w:rFonts w:ascii="Times New Roman" w:hAnsi="Times New Roman"/>
      <w:b w:val="0"/>
      <w:caps w:val="0"/>
    </w:rPr>
  </w:style>
  <w:style w:type="paragraph" w:customStyle="1" w:styleId="C-PLR-TableFootnote">
    <w:name w:val="C-PLR-Table Footnote"/>
    <w:next w:val="C-PLR-BodyText"/>
    <w:rsid w:val="001F3173"/>
    <w:pPr>
      <w:tabs>
        <w:tab w:val="left" w:pos="432"/>
      </w:tabs>
      <w:spacing w:after="0" w:line="240" w:lineRule="auto"/>
      <w:ind w:left="432" w:hanging="432"/>
    </w:pPr>
    <w:rPr>
      <w:rFonts w:ascii="Times New Roman" w:eastAsia="Times New Roman" w:hAnsi="Times New Roman" w:cs="Times New Roman"/>
      <w:sz w:val="16"/>
      <w:szCs w:val="20"/>
    </w:rPr>
  </w:style>
  <w:style w:type="character" w:customStyle="1" w:styleId="C-Hyperlink">
    <w:name w:val="C-Hyperlink"/>
    <w:rsid w:val="001F3173"/>
    <w:rPr>
      <w:color w:val="0000FF"/>
    </w:rPr>
  </w:style>
  <w:style w:type="table" w:customStyle="1" w:styleId="C-Table">
    <w:name w:val="C-Table"/>
    <w:basedOn w:val="TableNormal"/>
    <w:rsid w:val="001F3173"/>
    <w:pPr>
      <w:spacing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character" w:customStyle="1" w:styleId="C-TableCallout">
    <w:name w:val="C-Table Callout"/>
    <w:rsid w:val="001F3173"/>
    <w:rPr>
      <w:rFonts w:ascii="Times New Roman" w:hAnsi="Times New Roman"/>
      <w:dstrike w:val="0"/>
      <w:color w:val="auto"/>
      <w:spacing w:val="0"/>
      <w:w w:val="100"/>
      <w:position w:val="-1"/>
      <w:sz w:val="22"/>
      <w:szCs w:val="22"/>
      <w:u w:val="none"/>
      <w:effect w:val="none"/>
      <w:vertAlign w:val="superscript"/>
      <w:em w:val="none"/>
    </w:rPr>
  </w:style>
  <w:style w:type="paragraph" w:styleId="CommentText">
    <w:name w:val="annotation text"/>
    <w:basedOn w:val="Normal"/>
    <w:link w:val="CommentTextChar"/>
    <w:rsid w:val="001F3173"/>
    <w:rPr>
      <w:sz w:val="20"/>
    </w:rPr>
  </w:style>
  <w:style w:type="character" w:customStyle="1" w:styleId="CommentTextChar">
    <w:name w:val="Comment Text Char"/>
    <w:basedOn w:val="DefaultParagraphFont"/>
    <w:link w:val="CommentText"/>
    <w:rsid w:val="0014178F"/>
    <w:rPr>
      <w:rFonts w:ascii="Times New Roman" w:eastAsia="Times New Roman" w:hAnsi="Times New Roman" w:cs="Arial"/>
      <w:sz w:val="20"/>
      <w:szCs w:val="20"/>
    </w:rPr>
  </w:style>
  <w:style w:type="paragraph" w:styleId="CommentSubject">
    <w:name w:val="annotation subject"/>
    <w:basedOn w:val="CommentText"/>
    <w:next w:val="CommentText"/>
    <w:link w:val="CommentSubjectChar"/>
    <w:rsid w:val="001F3173"/>
    <w:rPr>
      <w:b/>
      <w:bCs/>
    </w:rPr>
  </w:style>
  <w:style w:type="character" w:customStyle="1" w:styleId="CommentSubjectChar">
    <w:name w:val="Comment Subject Char"/>
    <w:basedOn w:val="CommentTextChar"/>
    <w:link w:val="CommentSubject"/>
    <w:rsid w:val="0014178F"/>
    <w:rPr>
      <w:rFonts w:ascii="Times New Roman" w:eastAsia="Times New Roman" w:hAnsi="Times New Roman" w:cs="Arial"/>
      <w:b/>
      <w:bCs/>
      <w:sz w:val="20"/>
      <w:szCs w:val="20"/>
    </w:rPr>
  </w:style>
  <w:style w:type="paragraph" w:customStyle="1" w:styleId="C-PLR-AlphabeticList">
    <w:name w:val="C-PLR-Alphabetic List"/>
    <w:rsid w:val="001F3173"/>
    <w:pPr>
      <w:numPr>
        <w:numId w:val="10"/>
      </w:numPr>
      <w:spacing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1F3173"/>
    <w:pPr>
      <w:keepNext/>
      <w:spacing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1F3173"/>
    <w:pPr>
      <w:keepNext/>
      <w:numPr>
        <w:numId w:val="9"/>
      </w:numPr>
      <w:tabs>
        <w:tab w:val="clear" w:pos="1080"/>
        <w:tab w:val="left" w:pos="720"/>
      </w:tabs>
      <w:spacing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1F3173"/>
  </w:style>
  <w:style w:type="paragraph" w:customStyle="1" w:styleId="C-PLR-Heading2">
    <w:name w:val="C-PLR-Heading 2"/>
    <w:next w:val="C-PLR-BodyText"/>
    <w:rsid w:val="001F3173"/>
    <w:pPr>
      <w:numPr>
        <w:ilvl w:val="1"/>
        <w:numId w:val="9"/>
      </w:numPr>
      <w:tabs>
        <w:tab w:val="clear" w:pos="1080"/>
        <w:tab w:val="left" w:pos="720"/>
      </w:tabs>
      <w:spacing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1F3173"/>
    <w:pPr>
      <w:numPr>
        <w:ilvl w:val="2"/>
        <w:numId w:val="9"/>
      </w:numPr>
      <w:tabs>
        <w:tab w:val="clear" w:pos="1080"/>
        <w:tab w:val="left" w:pos="720"/>
      </w:tabs>
      <w:spacing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1F3173"/>
    <w:pPr>
      <w:numPr>
        <w:ilvl w:val="0"/>
        <w:numId w:val="0"/>
      </w:numPr>
      <w:ind w:left="720" w:hanging="720"/>
    </w:pPr>
  </w:style>
  <w:style w:type="paragraph" w:customStyle="1" w:styleId="C-PLR-Heading4">
    <w:name w:val="C-PLR-Heading 4"/>
    <w:next w:val="C-PLR-BodyText"/>
    <w:rsid w:val="001F3173"/>
    <w:pPr>
      <w:numPr>
        <w:ilvl w:val="3"/>
        <w:numId w:val="9"/>
      </w:numPr>
      <w:tabs>
        <w:tab w:val="clear" w:pos="1080"/>
        <w:tab w:val="left" w:pos="720"/>
      </w:tabs>
      <w:spacing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1F3173"/>
    <w:pPr>
      <w:numPr>
        <w:ilvl w:val="0"/>
        <w:numId w:val="0"/>
      </w:numPr>
      <w:ind w:left="720" w:hanging="720"/>
    </w:pPr>
  </w:style>
  <w:style w:type="paragraph" w:customStyle="1" w:styleId="C-PLR-Heading5">
    <w:name w:val="C-PLR-Heading 5"/>
    <w:next w:val="C-PLR-BodyText"/>
    <w:rsid w:val="001F3173"/>
    <w:pPr>
      <w:numPr>
        <w:ilvl w:val="4"/>
        <w:numId w:val="9"/>
      </w:numPr>
      <w:tabs>
        <w:tab w:val="clear" w:pos="1080"/>
        <w:tab w:val="left" w:pos="720"/>
      </w:tabs>
      <w:spacing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1F3173"/>
    <w:pPr>
      <w:numPr>
        <w:ilvl w:val="0"/>
        <w:numId w:val="0"/>
      </w:numPr>
      <w:ind w:left="720" w:hanging="720"/>
    </w:pPr>
  </w:style>
  <w:style w:type="paragraph" w:customStyle="1" w:styleId="C-PLR-Heading6">
    <w:name w:val="C-PLR-Heading 6"/>
    <w:next w:val="C-PLR-BodyText"/>
    <w:rsid w:val="001F3173"/>
    <w:pPr>
      <w:numPr>
        <w:ilvl w:val="5"/>
        <w:numId w:val="9"/>
      </w:numPr>
      <w:tabs>
        <w:tab w:val="clear" w:pos="1080"/>
        <w:tab w:val="left" w:pos="864"/>
      </w:tabs>
      <w:spacing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1F3173"/>
    <w:pPr>
      <w:numPr>
        <w:ilvl w:val="0"/>
        <w:numId w:val="0"/>
      </w:numPr>
      <w:ind w:left="864" w:hanging="864"/>
    </w:pPr>
  </w:style>
  <w:style w:type="paragraph" w:customStyle="1" w:styleId="C-PLR-InstructionText">
    <w:name w:val="C-PLR-Instruction Text"/>
    <w:rsid w:val="001F3173"/>
    <w:pPr>
      <w:spacing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1F3173"/>
    <w:pPr>
      <w:tabs>
        <w:tab w:val="left" w:pos="432"/>
      </w:tabs>
      <w:ind w:left="864"/>
    </w:pPr>
    <w:rPr>
      <w:rFonts w:ascii="Times New Roman" w:hAnsi="Times New Roman"/>
      <w:b w:val="0"/>
      <w:caps w:val="0"/>
    </w:rPr>
  </w:style>
  <w:style w:type="paragraph" w:customStyle="1" w:styleId="C-PLR-TOC4">
    <w:name w:val="C-PLR-TOC 4"/>
    <w:basedOn w:val="C-PLR-TOC1"/>
    <w:next w:val="C-PLR-BodyText"/>
    <w:rsid w:val="001F3173"/>
    <w:pPr>
      <w:tabs>
        <w:tab w:val="left" w:pos="432"/>
      </w:tabs>
      <w:ind w:left="864"/>
    </w:pPr>
    <w:rPr>
      <w:rFonts w:ascii="Times New Roman" w:hAnsi="Times New Roman"/>
      <w:b w:val="0"/>
      <w:caps w:val="0"/>
    </w:rPr>
  </w:style>
  <w:style w:type="paragraph" w:styleId="BodyTextIndent">
    <w:name w:val="Body Text Indent"/>
    <w:basedOn w:val="Normal"/>
    <w:link w:val="BodyTextIndentChar"/>
    <w:rsid w:val="001F3173"/>
    <w:pPr>
      <w:spacing w:after="120"/>
      <w:ind w:left="360"/>
    </w:pPr>
  </w:style>
  <w:style w:type="character" w:customStyle="1" w:styleId="BodyTextIndentChar">
    <w:name w:val="Body Text Indent Char"/>
    <w:basedOn w:val="DefaultParagraphFont"/>
    <w:link w:val="BodyTextIndent"/>
    <w:rsid w:val="0014178F"/>
    <w:rPr>
      <w:rFonts w:ascii="Times New Roman" w:eastAsia="Times New Roman" w:hAnsi="Times New Roman" w:cs="Arial"/>
      <w:sz w:val="24"/>
      <w:szCs w:val="20"/>
    </w:rPr>
  </w:style>
  <w:style w:type="paragraph" w:styleId="BodyTextFirstIndent2">
    <w:name w:val="Body Text First Indent 2"/>
    <w:basedOn w:val="BodyTextIndent"/>
    <w:link w:val="BodyTextFirstIndent2Char"/>
    <w:rsid w:val="001F3173"/>
    <w:pPr>
      <w:ind w:firstLine="210"/>
    </w:pPr>
  </w:style>
  <w:style w:type="character" w:customStyle="1" w:styleId="BodyTextFirstIndent2Char">
    <w:name w:val="Body Text First Indent 2 Char"/>
    <w:basedOn w:val="BodyTextIndentChar"/>
    <w:link w:val="BodyTextFirstIndent2"/>
    <w:rsid w:val="0014178F"/>
    <w:rPr>
      <w:rFonts w:ascii="Times New Roman" w:eastAsia="Times New Roman" w:hAnsi="Times New Roman" w:cs="Arial"/>
      <w:sz w:val="24"/>
      <w:szCs w:val="20"/>
    </w:rPr>
  </w:style>
  <w:style w:type="paragraph" w:customStyle="1" w:styleId="C-PLR-Heading1non-numbered">
    <w:name w:val="C-PLR-Heading 1 (non-numbered)"/>
    <w:basedOn w:val="C-PLR-Heading1"/>
    <w:next w:val="C-PLR-BodyText"/>
    <w:rsid w:val="001F3173"/>
    <w:pPr>
      <w:numPr>
        <w:numId w:val="0"/>
      </w:numPr>
      <w:ind w:left="720" w:hanging="720"/>
    </w:pPr>
  </w:style>
  <w:style w:type="paragraph" w:customStyle="1" w:styleId="C-AppendixNumbered">
    <w:name w:val="C-Appendix (Numbered)"/>
    <w:basedOn w:val="C-Appendix"/>
    <w:next w:val="C-BodyText"/>
    <w:rsid w:val="001F3173"/>
    <w:pPr>
      <w:numPr>
        <w:numId w:val="25"/>
      </w:numPr>
      <w:tabs>
        <w:tab w:val="left" w:pos="1987"/>
      </w:tabs>
      <w:ind w:left="1987" w:hanging="1987"/>
    </w:pPr>
  </w:style>
  <w:style w:type="numbering" w:customStyle="1" w:styleId="SPNumberedTabs">
    <w:name w:val="SP Numbered Tabs"/>
    <w:rsid w:val="001F3173"/>
    <w:pPr>
      <w:numPr>
        <w:numId w:val="28"/>
      </w:numPr>
    </w:pPr>
  </w:style>
  <w:style w:type="numbering" w:customStyle="1" w:styleId="SPBulletTabs">
    <w:name w:val="SP Bullet Tabs"/>
    <w:rsid w:val="001F3173"/>
    <w:pPr>
      <w:numPr>
        <w:numId w:val="30"/>
      </w:numPr>
    </w:pPr>
  </w:style>
  <w:style w:type="paragraph" w:customStyle="1" w:styleId="C-Alphabetic">
    <w:name w:val="C-Alphabetic"/>
    <w:basedOn w:val="C-Heading1"/>
    <w:next w:val="C-BodyText"/>
    <w:link w:val="C-AlphabeticChar"/>
    <w:qFormat/>
    <w:rsid w:val="001F3173"/>
    <w:pPr>
      <w:numPr>
        <w:numId w:val="33"/>
      </w:numPr>
      <w:tabs>
        <w:tab w:val="left" w:pos="1080"/>
      </w:tabs>
      <w:ind w:left="1080" w:hanging="1080"/>
    </w:pPr>
  </w:style>
  <w:style w:type="paragraph" w:customStyle="1" w:styleId="C-Footnote">
    <w:name w:val="C-Footnote"/>
    <w:basedOn w:val="C-TableFootnote"/>
    <w:qFormat/>
    <w:rsid w:val="001F3173"/>
    <w:pPr>
      <w:ind w:left="0" w:firstLine="0"/>
    </w:pPr>
  </w:style>
  <w:style w:type="character" w:customStyle="1" w:styleId="C-Heading1Char">
    <w:name w:val="C-Heading 1 Char"/>
    <w:link w:val="C-Heading1"/>
    <w:rsid w:val="001F3173"/>
    <w:rPr>
      <w:rFonts w:ascii="Times New Roman" w:eastAsia="Times New Roman" w:hAnsi="Times New Roman" w:cs="Times New Roman"/>
      <w:b/>
      <w:caps/>
      <w:sz w:val="28"/>
      <w:szCs w:val="20"/>
    </w:rPr>
  </w:style>
  <w:style w:type="character" w:customStyle="1" w:styleId="C-AlphabeticChar">
    <w:name w:val="C-Alphabetic Char"/>
    <w:basedOn w:val="C-Heading1Char"/>
    <w:link w:val="C-Alphabetic"/>
    <w:rsid w:val="001F3173"/>
    <w:rPr>
      <w:rFonts w:ascii="Times New Roman" w:eastAsia="Times New Roman" w:hAnsi="Times New Roman" w:cs="Times New Roman"/>
      <w:b/>
      <w:caps/>
      <w:sz w:val="28"/>
      <w:szCs w:val="20"/>
    </w:rPr>
  </w:style>
  <w:style w:type="table" w:styleId="TableGrid">
    <w:name w:val="Table Grid"/>
    <w:basedOn w:val="TableNormal"/>
    <w:uiPriority w:val="39"/>
    <w:rsid w:val="00CB1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16CF"/>
    <w:rPr>
      <w:sz w:val="16"/>
      <w:szCs w:val="16"/>
    </w:rPr>
  </w:style>
  <w:style w:type="character" w:styleId="LineNumber">
    <w:name w:val="line number"/>
    <w:basedOn w:val="DefaultParagraphFont"/>
    <w:uiPriority w:val="99"/>
    <w:semiHidden/>
    <w:unhideWhenUsed/>
    <w:rsid w:val="009F524B"/>
  </w:style>
  <w:style w:type="paragraph" w:styleId="Header">
    <w:name w:val="header"/>
    <w:basedOn w:val="Normal"/>
    <w:link w:val="HeaderChar"/>
    <w:uiPriority w:val="99"/>
    <w:unhideWhenUsed/>
    <w:rsid w:val="00711AAE"/>
    <w:pPr>
      <w:tabs>
        <w:tab w:val="center" w:pos="4680"/>
        <w:tab w:val="right" w:pos="9360"/>
      </w:tabs>
    </w:pPr>
  </w:style>
  <w:style w:type="character" w:customStyle="1" w:styleId="HeaderChar">
    <w:name w:val="Header Char"/>
    <w:basedOn w:val="DefaultParagraphFont"/>
    <w:link w:val="Header"/>
    <w:uiPriority w:val="99"/>
    <w:rsid w:val="00711AAE"/>
    <w:rPr>
      <w:rFonts w:ascii="Times New Roman" w:eastAsia="Times New Roman" w:hAnsi="Times New Roman" w:cs="Arial"/>
      <w:sz w:val="24"/>
      <w:szCs w:val="20"/>
    </w:rPr>
  </w:style>
  <w:style w:type="paragraph" w:styleId="Footer">
    <w:name w:val="footer"/>
    <w:basedOn w:val="Normal"/>
    <w:link w:val="FooterChar"/>
    <w:uiPriority w:val="99"/>
    <w:unhideWhenUsed/>
    <w:rsid w:val="00711AAE"/>
    <w:pPr>
      <w:tabs>
        <w:tab w:val="center" w:pos="4680"/>
        <w:tab w:val="right" w:pos="9360"/>
      </w:tabs>
    </w:pPr>
  </w:style>
  <w:style w:type="character" w:customStyle="1" w:styleId="FooterChar">
    <w:name w:val="Footer Char"/>
    <w:basedOn w:val="DefaultParagraphFont"/>
    <w:link w:val="Footer"/>
    <w:uiPriority w:val="99"/>
    <w:rsid w:val="00711AAE"/>
    <w:rPr>
      <w:rFonts w:ascii="Times New Roman" w:eastAsia="Times New Roman" w:hAnsi="Times New Roman"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vika%20Patel\Desktop\Autho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0FA93CE8DE7444B41A186592B8F4A4" ma:contentTypeVersion="11" ma:contentTypeDescription="Create a new document." ma:contentTypeScope="" ma:versionID="3dd37e1a2a602c83a3953823920c5930">
  <xsd:schema xmlns:xsd="http://www.w3.org/2001/XMLSchema" xmlns:xs="http://www.w3.org/2001/XMLSchema" xmlns:p="http://schemas.microsoft.com/office/2006/metadata/properties" xmlns:ns2="2b2205fd-7ee4-42ed-b4be-a94de381285b" xmlns:ns3="46a82694-09b0-4b34-b2c1-0f2ac55e5ac8" targetNamespace="http://schemas.microsoft.com/office/2006/metadata/properties" ma:root="true" ma:fieldsID="34a0653fe69bc53b9356cd1522333a05" ns2:_="" ns3:_="">
    <xsd:import namespace="2b2205fd-7ee4-42ed-b4be-a94de381285b"/>
    <xsd:import namespace="46a82694-09b0-4b34-b2c1-0f2ac55e5a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205fd-7ee4-42ed-b4be-a94de38128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a82694-09b0-4b34-b2c1-0f2ac55e5a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3577CC-FA77-4B67-B28E-CB53DF37A7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A3C53E-867F-4DA9-817F-4EF1841FC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205fd-7ee4-42ed-b4be-a94de381285b"/>
    <ds:schemaRef ds:uri="46a82694-09b0-4b34-b2c1-0f2ac55e5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A34BA-0BB3-48F8-9B0F-456409222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Author.dotm</Template>
  <TotalTime>59</TotalTime>
  <Pages>1</Pages>
  <Words>1434</Words>
  <Characters>8180</Characters>
  <Application>Microsoft Office Word</Application>
  <DocSecurity>0</DocSecurity>
  <Lines>68</Lines>
  <Paragraphs>19</Paragraphs>
  <ScaleCrop>false</ScaleCrop>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Bhavika Patel</dc:creator>
  <cp:keywords/>
  <dc:description/>
  <cp:lastModifiedBy>Paul Alexander D.</cp:lastModifiedBy>
  <cp:revision>42</cp:revision>
  <dcterms:created xsi:type="dcterms:W3CDTF">2021-05-10T20:34:00Z</dcterms:created>
  <dcterms:modified xsi:type="dcterms:W3CDTF">2021-10-08T04:53:00Z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0x010100D40FA93CE8DE7444B41A186592B8F4A4</vt:lpwstr>
  </property>
</Properties>
</file>