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76" w:rsidRPr="007117FF" w:rsidRDefault="00094576" w:rsidP="00094576">
      <w:pPr>
        <w:rPr>
          <w:rFonts w:ascii="Mongolian Baiti" w:hAnsi="Mongolian Baiti" w:cs="Mongolian Baiti"/>
          <w:sz w:val="18"/>
          <w:szCs w:val="18"/>
          <w:lang w:val="en-GB"/>
        </w:rPr>
      </w:pPr>
      <w:bookmarkStart w:id="0" w:name="_Toc43137205"/>
      <w:r w:rsidRPr="007117FF">
        <w:rPr>
          <w:rStyle w:val="Heading1Char"/>
          <w:rFonts w:ascii="Mongolian Baiti" w:hAnsi="Mongolian Baiti" w:cs="Mongolian Baiti"/>
          <w:b/>
          <w:bCs/>
          <w:sz w:val="18"/>
          <w:szCs w:val="18"/>
          <w:lang w:val="en-GB"/>
        </w:rPr>
        <w:t xml:space="preserve">Appendix </w:t>
      </w:r>
      <w:proofErr w:type="gramStart"/>
      <w:r w:rsidRPr="007117FF">
        <w:rPr>
          <w:rStyle w:val="Heading1Char"/>
          <w:rFonts w:ascii="Mongolian Baiti" w:hAnsi="Mongolian Baiti" w:cs="Mongolian Baiti"/>
          <w:b/>
          <w:bCs/>
          <w:sz w:val="18"/>
          <w:szCs w:val="18"/>
          <w:lang w:val="en-GB"/>
        </w:rPr>
        <w:t>A</w:t>
      </w:r>
      <w:bookmarkEnd w:id="0"/>
      <w:proofErr w:type="gramEnd"/>
      <w:r w:rsidRPr="007117FF">
        <w:rPr>
          <w:rStyle w:val="Heading1Char"/>
          <w:rFonts w:ascii="Mongolian Baiti" w:hAnsi="Mongolian Baiti" w:cs="Mongolian Baiti"/>
          <w:b/>
          <w:bCs/>
          <w:sz w:val="18"/>
          <w:szCs w:val="18"/>
          <w:lang w:val="en-GB"/>
        </w:rPr>
        <w:t xml:space="preserve"> </w:t>
      </w:r>
      <w:r w:rsidRPr="007117FF">
        <w:rPr>
          <w:rFonts w:ascii="Mongolian Baiti" w:hAnsi="Mongolian Baiti" w:cs="Mongolian Baiti"/>
          <w:sz w:val="18"/>
          <w:szCs w:val="18"/>
          <w:lang w:val="en-GB"/>
        </w:rPr>
        <w:t>Types of prediction models included in the revision according to TRIPOD Statement and their validations</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094576" w:rsidRPr="00D02987" w:rsidTr="005A57E2">
        <w:trPr>
          <w:trHeight w:val="1177"/>
        </w:trPr>
        <w:tc>
          <w:tcPr>
            <w:tcW w:w="1980"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rsidR="00094576" w:rsidRPr="00D02987" w:rsidRDefault="00094576" w:rsidP="005A57E2">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rsidR="00094576" w:rsidRPr="00D02987" w:rsidRDefault="00094576" w:rsidP="005A57E2">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rsidR="00094576" w:rsidRPr="00D02987" w:rsidRDefault="00094576" w:rsidP="005A57E2">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094576" w:rsidRPr="00D02987" w:rsidTr="005A57E2">
        <w:trPr>
          <w:trHeight w:val="400"/>
        </w:trPr>
        <w:tc>
          <w:tcPr>
            <w:tcW w:w="1980" w:type="dxa"/>
            <w:tcBorders>
              <w:top w:val="single" w:sz="4" w:space="0" w:color="auto"/>
            </w:tcBorders>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 xml:space="preserve">M. Jacob et al. </w:t>
            </w:r>
          </w:p>
          <w:p w:rsidR="00094576" w:rsidRPr="003B60B9"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(2020)</w:t>
            </w:r>
            <w:r w:rsidRPr="003B60B9">
              <w:rPr>
                <w:rFonts w:ascii="Mongolian Baiti" w:hAnsi="Mongolian Baiti" w:cs="Mongolian Baiti"/>
                <w:sz w:val="18"/>
                <w:szCs w:val="18"/>
              </w:rPr>
              <w:t xml:space="preserve"> </w:t>
            </w:r>
            <w:r w:rsidRPr="003B60B9">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{"citationItems":[{"id":"ITEM-1","itemData":{"DOI":"10.1016/j.pulmoe.2020.06.011","ISSN":"25310437","PMID":"32739327","abstract":"Background: It is critical to developing an accurate method for differentiating between malignant and benign solitary pulmonary nodules. This study aimed was to establish a predicting model of lung nodules malignancy in a real-world setting. Methods: The authors retrospectively analysed the clinical and computed tomography (CT) data of 121 patients with lung nodules, submitted to percutaneous CT-guided transthoracic biopsy, between 2014 and 2015. Multiple logistic regression was used to screen independent predictors for malignancy and to establish a clinical prediction model to evaluate the probability of malignancy. Results: From a total of 121 patients, 75 (62%) were men and with a mean age of 64.7 years old. Multivariate logistic regression analysis identified six independent predictors of malignancy: age, gender, smoking status, current extra-pulmonary cancer, air bronchogram and nodule size (p&lt;0.05). The area under the curve (AUC) was 0.8573. Conclusions: The prediction model established in this study can be used to assess the probability of malignancy in the Portuguese population, thereby providing help for the diagnosis of lung nodules and the selection of follow-up interventions.","author":[{"dropping-particle":"","family":"Jacob","given":"M.","non-dropping-particle":"","parse-names":false,"suffix":""},{"dropping-particle":"","family":"Romano","given":"J.","non-dropping-particle":"","parse-names":false,"suffix":""},{"dropping-particle":"","family":"Araújo","given":"D.","non-dropping-particle":"","parse-names":false,"suffix":""},{"dropping-particle":"","family":"Pereira","given":"J. M.","non-dropping-particle":"","parse-names":false,"suffix":""},{"dropping-particle":"","family":"Ramos","given":"I.","non-dropping-particle":"","parse-names":false,"suffix":""},{"dropping-particle":"","family":"Hespanhol","given":"V.","non-dropping-particle":"","parse-names":false,"suffix":""}],"container-title":"Pulmonology","id":"ITEM-1","issue":"xx","issued":{"date-parts":[["2020"]]},"page":"1-7","title":"Predicting lung nodules malignancy","type":"article-journal"},"uris":["http://www.mendeley.com/documents/?uuid=a8851438-23c9-4ba9-b91c-7b67c37229d0"]}],"mendeley":{"formattedCitation":"(26)","plainTextFormattedCitation":"(26)","previouslyFormattedCitation":"&lt;sup&gt;27&lt;/sup&gt;"},"properties":{"noteIndex":0},"schema":"https://github.com/citation-style-language/schema/raw/master/csl-citation.json"}</w:instrText>
            </w:r>
            <w:r w:rsidRPr="003B60B9">
              <w:rPr>
                <w:rFonts w:ascii="Mongolian Baiti" w:hAnsi="Mongolian Baiti" w:cs="Mongolian Baiti"/>
                <w:sz w:val="18"/>
                <w:szCs w:val="18"/>
              </w:rPr>
              <w:fldChar w:fldCharType="separate"/>
            </w:r>
            <w:r w:rsidRPr="00A0798D">
              <w:rPr>
                <w:rFonts w:ascii="Mongolian Baiti" w:hAnsi="Mongolian Baiti" w:cs="Mongolian Baiti"/>
                <w:noProof/>
                <w:sz w:val="18"/>
                <w:szCs w:val="18"/>
              </w:rPr>
              <w:t>(26)</w:t>
            </w:r>
            <w:r w:rsidRPr="003B60B9">
              <w:rPr>
                <w:rFonts w:ascii="Mongolian Baiti" w:hAnsi="Mongolian Baiti" w:cs="Mongolian Baiti"/>
                <w:sz w:val="18"/>
                <w:szCs w:val="18"/>
              </w:rPr>
              <w:fldChar w:fldCharType="end"/>
            </w:r>
          </w:p>
        </w:tc>
        <w:tc>
          <w:tcPr>
            <w:tcW w:w="1984" w:type="dxa"/>
            <w:tcBorders>
              <w:top w:val="single" w:sz="4" w:space="0" w:color="auto"/>
            </w:tcBorders>
          </w:tcPr>
          <w:p w:rsidR="00094576" w:rsidRPr="003B60B9"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Borders>
              <w:top w:val="single" w:sz="4" w:space="0" w:color="auto"/>
            </w:tcBorders>
          </w:tcPr>
          <w:p w:rsidR="00094576" w:rsidRPr="003B60B9" w:rsidRDefault="00094576" w:rsidP="005A57E2">
            <w:pPr>
              <w:rPr>
                <w:rFonts w:ascii="Mongolian Baiti" w:hAnsi="Mongolian Baiti" w:cs="Mongolian Baiti"/>
                <w:sz w:val="18"/>
                <w:szCs w:val="18"/>
                <w:lang w:val="en-GB"/>
              </w:rPr>
            </w:pPr>
          </w:p>
        </w:tc>
        <w:tc>
          <w:tcPr>
            <w:tcW w:w="2693" w:type="dxa"/>
            <w:tcBorders>
              <w:top w:val="single" w:sz="4" w:space="0" w:color="auto"/>
            </w:tcBorders>
          </w:tcPr>
          <w:p w:rsidR="00094576" w:rsidRPr="003B60B9" w:rsidRDefault="00094576" w:rsidP="005A57E2">
            <w:pPr>
              <w:rPr>
                <w:rFonts w:ascii="Mongolian Baiti" w:hAnsi="Mongolian Baiti" w:cs="Mongolian Baiti"/>
                <w:sz w:val="18"/>
                <w:szCs w:val="18"/>
                <w:lang w:val="en-GB"/>
              </w:rPr>
            </w:pPr>
          </w:p>
        </w:tc>
        <w:tc>
          <w:tcPr>
            <w:tcW w:w="1985" w:type="dxa"/>
            <w:tcBorders>
              <w:top w:val="single" w:sz="4" w:space="0" w:color="auto"/>
            </w:tcBorders>
          </w:tcPr>
          <w:p w:rsidR="00094576" w:rsidRPr="003B60B9" w:rsidRDefault="00094576" w:rsidP="005A57E2">
            <w:pPr>
              <w:rPr>
                <w:rFonts w:ascii="Mongolian Baiti" w:hAnsi="Mongolian Baiti" w:cs="Mongolian Baiti"/>
                <w:sz w:val="18"/>
                <w:szCs w:val="18"/>
                <w:lang w:val="en-GB"/>
              </w:rPr>
            </w:pPr>
          </w:p>
        </w:tc>
      </w:tr>
      <w:tr w:rsidR="00094576" w:rsidRPr="00D02987" w:rsidTr="005A57E2">
        <w:trPr>
          <w:trHeight w:val="345"/>
        </w:trPr>
        <w:tc>
          <w:tcPr>
            <w:tcW w:w="1980"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 xml:space="preserve">Chen W et al. </w:t>
            </w:r>
          </w:p>
          <w:p w:rsidR="00094576" w:rsidRPr="003B60B9"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 xml:space="preserve">(2020) </w:t>
            </w:r>
            <w:r>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{"citationItems":[{"id":"ITEM-1","itemData":{"DOI":"10.1097/MD.0000000000019452","ISBN":"0000000000","ISSN":"15365964","PMID":"32282697","abstract":"There is some doubt that all nodules &lt;8</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 xml:space="preserve">mm are really mainly benign and that simple follow-up is adequate in all cases. The purpose of this study is to create a predictive model for the diagnosis of benign and malignant small pulmonary nodules.This was a retrospective case-control study of patients who had undergone pulmonary nodule resection at the Zhejiang University Jinhua Hospital. Patients with pulmonary nodules of </w:instrText>
            </w:r>
            <w:r>
              <w:rPr>
                <w:rFonts w:ascii="Times New Roman" w:hAnsi="Times New Roman" w:cs="Times New Roman"/>
                <w:sz w:val="18"/>
                <w:szCs w:val="18"/>
                <w:lang w:val="en-GB"/>
              </w:rPr>
              <w:instrText>≤</w:instrText>
            </w:r>
            <w:r>
              <w:rPr>
                <w:rFonts w:ascii="Mongolian Baiti" w:hAnsi="Mongolian Baiti" w:cs="Mongolian Baiti"/>
                <w:sz w:val="18"/>
                <w:szCs w:val="18"/>
                <w:lang w:val="en-GB"/>
              </w:rPr>
              <w:instrText>10</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mm in size on chest high-resolution computed tomography were included. Patients' demographic characteristics, clinical features, and high-resolution computed tomography findings were collected. Logistic regression and receiver-operating characteristic analysis were used to create a predictive model for malignancy.A total of 216 patients were included: 160 with malignant and 56 with benign nodules. Nodule density (odds ratio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0.996, 95% confidence interval [CI]: 0.993-0.998,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.001), vascular penetration sign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3.49, 95% CI: 1.39-8.76,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.008), nodule type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4.27, 95% CI: 1.48-12.29,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.007), and incisure surrounding nodules (OR</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0.18, 95% CI: 0.04-0.84, P</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w:instrText>
            </w:r>
            <w:r>
              <w:rPr>
                <w:rFonts w:ascii="Times New Roman" w:hAnsi="Times New Roman" w:cs="Times New Roman"/>
                <w:sz w:val="18"/>
                <w:szCs w:val="18"/>
                <w:lang w:val="en-GB"/>
              </w:rPr>
              <w:instrText> </w:instrText>
            </w:r>
            <w:r>
              <w:rPr>
                <w:rFonts w:ascii="Mongolian Baiti" w:hAnsi="Mongolian Baiti" w:cs="Mongolian Baiti"/>
                <w:sz w:val="18"/>
                <w:szCs w:val="18"/>
                <w:lang w:val="en-GB"/>
              </w:rPr>
              <w:instrText>.03) were independently associated with malignant nodules. These factors were used to create a mathematical model that had an area under the receiver-operating characteristic curve of 0.744. Using a cut-off of 0.762 resulted in 63.1% sensitivity and 75.0% specificity.This study proposes a pulmonary nodule prediction model that can estimate benign/malignant lung nodules with good sensitivity and specificity. Mixed ground-glass nodules, vascular penetration sign, density of lung nodules, and the absence of incisure signs are independently associated with malignant lung nodules.","author":[{"dropping-particle":"","family":"Chen","given":"Weisong","non-dropping-particle":"","parse-names":false,"suffix":""},{"dropping-particle":"","family":"Zhu","given":"Dan","non-dropping-particle":"","parse-names":false,"suffix":""},{"dropping-particle":"","family":"Chen","given":"Hui","non-dropping-particle":"","parse-names":false,"suffix":""},{"dropping-particle":"","family":"Luo","given":"Jianfeng","non-dropping-particle":"","parse-names":false,"suffix":""},{"dropping-particle":"","family":"Fu","given":"Haiwei","non-dropping-particle":"","parse-names":false,"suffix":""}],"container-title":"Medicine","id":"ITEM-1","issue":"15","issued":{"date-parts":[["2020"]]},"page":"e19452","title":"Predictive model for the diagnosis of benign/malignant small pulmonary nodules","type":"article-journal","volume":"99"},"uris":["http://www.mendeley.com/documents/?uuid=924828e1-00a3-4545-b9d3-bfd2529742c4"]}],"mendeley":{"formattedCitation":"(23)","plainTextFormattedCitation":"(23)","previouslyFormattedCitation":"&lt;sup&gt;23&lt;/sup&gt;"},"properties":{"noteIndex":0},"schema":"https://github.com/citation-style-language/schema/raw/master/csl-citation.json"}</w:instrText>
            </w:r>
            <w:r>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(23)</w:t>
            </w:r>
            <w:r>
              <w:rPr>
                <w:rFonts w:ascii="Mongolian Baiti" w:hAnsi="Mongolian Baiti" w:cs="Mongolian Baiti"/>
                <w:sz w:val="18"/>
                <w:szCs w:val="18"/>
                <w:lang w:val="en-GB"/>
              </w:rPr>
              <w:fldChar w:fldCharType="end"/>
            </w:r>
          </w:p>
        </w:tc>
        <w:tc>
          <w:tcPr>
            <w:tcW w:w="1984" w:type="dxa"/>
          </w:tcPr>
          <w:p w:rsidR="00094576" w:rsidRPr="003B60B9"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rsidR="00094576" w:rsidRPr="003B60B9" w:rsidRDefault="00094576" w:rsidP="005A57E2">
            <w:pPr>
              <w:rPr>
                <w:rFonts w:ascii="Mongolian Baiti" w:hAnsi="Mongolian Baiti" w:cs="Mongolian Baiti"/>
                <w:sz w:val="18"/>
                <w:szCs w:val="18"/>
                <w:lang w:val="en-GB"/>
              </w:rPr>
            </w:pPr>
          </w:p>
        </w:tc>
        <w:tc>
          <w:tcPr>
            <w:tcW w:w="2693" w:type="dxa"/>
          </w:tcPr>
          <w:p w:rsidR="00094576" w:rsidRPr="003B60B9" w:rsidRDefault="00094576" w:rsidP="005A57E2">
            <w:pPr>
              <w:rPr>
                <w:rFonts w:ascii="Mongolian Baiti" w:hAnsi="Mongolian Baiti" w:cs="Mongolian Baiti"/>
                <w:sz w:val="18"/>
                <w:szCs w:val="18"/>
                <w:lang w:val="en-GB"/>
              </w:rPr>
            </w:pPr>
          </w:p>
        </w:tc>
        <w:tc>
          <w:tcPr>
            <w:tcW w:w="1985" w:type="dxa"/>
          </w:tcPr>
          <w:p w:rsidR="00094576" w:rsidRPr="003B60B9" w:rsidRDefault="00094576" w:rsidP="005A57E2">
            <w:pPr>
              <w:rPr>
                <w:rFonts w:ascii="Mongolian Baiti" w:hAnsi="Mongolian Baiti" w:cs="Mongolian Baiti"/>
                <w:sz w:val="18"/>
                <w:szCs w:val="18"/>
                <w:lang w:val="en-GB"/>
              </w:rPr>
            </w:pPr>
          </w:p>
        </w:tc>
      </w:tr>
      <w:tr w:rsidR="00094576" w:rsidRPr="00F50225" w:rsidTr="005A57E2">
        <w:trPr>
          <w:trHeight w:val="414"/>
        </w:trPr>
        <w:tc>
          <w:tcPr>
            <w:tcW w:w="1980" w:type="dxa"/>
          </w:tcPr>
          <w:p w:rsidR="00094576" w:rsidRPr="003B60B9" w:rsidRDefault="00094576" w:rsidP="005A57E2">
            <w:pPr>
              <w:rPr>
                <w:rFonts w:ascii="Mongolian Baiti" w:hAnsi="Mongolian Baiti" w:cs="Mongolian Baiti"/>
                <w:sz w:val="18"/>
                <w:szCs w:val="18"/>
              </w:rPr>
            </w:pPr>
            <w:proofErr w:type="spellStart"/>
            <w:r w:rsidRPr="003B60B9">
              <w:rPr>
                <w:rFonts w:ascii="Mongolian Baiti" w:hAnsi="Mongolian Baiti" w:cs="Mongolian Baiti"/>
                <w:sz w:val="18"/>
                <w:szCs w:val="18"/>
              </w:rPr>
              <w:t>Wu</w:t>
            </w:r>
            <w:proofErr w:type="spellEnd"/>
            <w:r w:rsidRPr="003B60B9">
              <w:rPr>
                <w:rFonts w:ascii="Mongolian Baiti" w:hAnsi="Mongolian Baiti" w:cs="Mongolian Baiti"/>
                <w:sz w:val="18"/>
                <w:szCs w:val="18"/>
              </w:rPr>
              <w:t xml:space="preserve"> Z et al. </w:t>
            </w:r>
          </w:p>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 xml:space="preserve">(2020) </w:t>
            </w:r>
            <w:r>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{"citationItems":[{"id":"ITEM-1","itemData":{"DOI":"10.1007/s00432-020-03408-2","ISBN":"0123456789","ISSN":"14321335","abstract":"Purpose: Lung cancer is the leading cause of cancer death and there have been clinical prediction models. This study aimed to evaluate the diagnostic performance of published models and create new models to evaluate the probability of malignant solitary pulmonary nodules (SPNs) in Chinese population. Methods: We consecutively enrolled 2061 patients with SPNs from West China Hospital between January 2008 and December 2016, each SPN was pathologically confirmed. First, four published prediction models, Mayo clinic model, Veterans Affairs (VA) model, Brock model and People’s Hospital of Peking University (PEH) model were validated in our patients. Then, utilizing logistic regression, decision tree and random forest (RF), we developed three new models and internally validated them. Results: Area under the receiver operating characteristic curve (AUC) values of four published models were as follows: Mayo 0.705 (95% CI 0.658–0.752, n = 726), VA 0.64 6 (95% CI 0.598–0.695, n = 800), Brock 0.575 (95% CI 0.502–0.648, n = 550) and PEH 0.675 (95% CI 0.627–0.723, n = 726). Logistic regression model, decision tree model and RF model were developed, AUC values of these models were 0.842 (95% CI 0.778–0.906), 0.734 (95% CI 0.647–0.821), 0.851 (95% CI 0.789–0.914), respectively. Conclusion: The four published lung cancer prediction models do not apply to our population, and we have established new models that can be used to predict the probability of malignant SPNs.","author":[{"dropping-particle":"","family":"Wu","given":"Zuohong","non-dropping-particle":"","parse-names":false,"suffix":""},{"dropping-particle":"","family":"Huang","given":"Tingting","non-dropping-particle":"","parse-names":false,"suffix":""},{"dropping-particle":"","family":"Zhang","given":"Shiqi","non-dropping-particle":"","parse-names":false,"suffix":""},{"dropping-particle":"","family":"Cheng","given":"Deyun","non-dropping-particle":"","parse-names":false,"suffix":""},{"dropping-particle":"","family":"Li","given":"Weimin","non-dropping-particle":"","parse-names":false,"suffix":""},{"dropping-particle":"","family":"Chen","given":"Bojiang","non-dropping-particle":"","parse-names":false,"suffix":""}],"container-title":"Journal of Cancer Research and Clinical Oncology","id":"ITEM-1","issue":"37","issued":{"date-parts":[["2020"]]},"publisher":"Springer Berlin Heidelberg","title":"A prediction model to evaluate the pretest risk of malignancy in solitary pulmonary nodules: evidence from a large Chinese southwestern population","type":"article-journal"},"uris":["http://www.mendeley.com/documents/?uuid=90808cd3-6332-4295-b61e-eedbc4b06697"]}],"mendeley":{"formattedCitation":"(22)","plainTextFormattedCitation":"(22)","previouslyFormattedCitation":"&lt;sup&gt;22&lt;/sup&gt;"},"properties":{"noteIndex":0},"schema":"https://github.com/citation-style-language/schema/raw/master/csl-citation.json"}</w:instrText>
            </w:r>
            <w:r>
              <w:rPr>
                <w:rFonts w:ascii="Mongolian Baiti" w:hAnsi="Mongolian Baiti" w:cs="Mongolian Baiti"/>
                <w:sz w:val="18"/>
                <w:szCs w:val="18"/>
              </w:rPr>
              <w:fldChar w:fldCharType="separate"/>
            </w:r>
            <w:r w:rsidRPr="00A0798D">
              <w:rPr>
                <w:rFonts w:ascii="Mongolian Baiti" w:hAnsi="Mongolian Baiti" w:cs="Mongolian Baiti"/>
                <w:noProof/>
                <w:sz w:val="18"/>
                <w:szCs w:val="18"/>
              </w:rPr>
              <w:t>(22)</w:t>
            </w:r>
            <w:r>
              <w:rPr>
                <w:rFonts w:ascii="Mongolian Baiti" w:hAnsi="Mongolian Baiti" w:cs="Mongolian Baiti"/>
                <w:sz w:val="18"/>
                <w:szCs w:val="18"/>
              </w:rPr>
              <w:fldChar w:fldCharType="end"/>
            </w:r>
          </w:p>
        </w:tc>
        <w:tc>
          <w:tcPr>
            <w:tcW w:w="1984"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094576" w:rsidRPr="008110F3" w:rsidTr="005A57E2">
        <w:trPr>
          <w:trHeight w:val="262"/>
        </w:trPr>
        <w:tc>
          <w:tcPr>
            <w:tcW w:w="1980"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Chen et al. </w:t>
            </w:r>
          </w:p>
          <w:p w:rsidR="00094576" w:rsidRPr="00D02987" w:rsidRDefault="00094576" w:rsidP="005A57E2">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 xml:space="preserve">019)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{"citationItems":[{"id":"ITEM-1","itemData":{"DOI":"10.2147/CMAR.S225739","ISSN":"11791322","abstract":"Purpose: This study aimed to develop and validate a nomogram for predicting the malignancy of small (8-20 mm) solid indeterminate solitary pulmonary nodules (SPNs) in a Chinese population by using routine clinical and computed tomography data. Methods: The prediction model was developed using a retrospective cohort that comprised 493 consecutive patients with small indeterminate SPNs who were treated between December 2012 and December 2016. The model was independently validated using a second retrospective cohort comprising 216 consecutive patients treated between January 2017 and May 2018. The investigated variables included patient characteristics (e.g., age and smoking history), nodule parameters (e.g., marginal spiculation and significant enhancement), and tumor biomarker levels (e.g., carcinoembryonic antigen). A prediction model was developed by using multivariable logistic regression analysis, and the model’s performance was presented as a nomogram. The model was evaluated based on its discriminative ability, calibration, and clinical usefulness. Results: The developed nomogram was ultimately based on age, marginal spiculation, significant enhancement, and pleural indentation. The Harrell concordance index values were 0.869 in the training cohort (95% confidence interval: 0.837-0.901) and 0.847 in the validation cohort (95% confidence interval: 0.792-0.902). The Hosmer-Lemeshow test revealed good calibration in each of the training and validation cohorts. Decision curve analysis confirmed that the nomogram was clinically useful (risk threshold from 0.10 to 0.85). Conclusion: Patient age, marginal spiculation, significant enhancement, and pleural indentation are independent predictors of malignancy in small indeterminate solid SPNs. The developed nomogram is easy-to-use and may allow the accurate prediction of malignancy in small indeterminate solid SPNs among Chinese patients.","author":[{"dropping-particle":"","family":"Chen","given":"Xiao Bo","non-dropping-particle":"","parse-names":false,"suffix":""},{"dropping-particle":"","family":"Yan","given":"Rui Ying","non-dropping-particle":"","parse-names":false,"suffix":""},{"dropping-particle":"","family":"Zhao","given":"Ke","non-dropping-particle":"","parse-names":false,"suffix":""},{"dropping-particle":"","family":"Zhang","given":"Da Fu","non-dropping-particle":"","parse-names":false,"suffix":""},{"dropping-particle":"","family":"Li","given":"Ya Jun","non-dropping-particle":"","parse-names":false,"suffix":""},{"dropping-particle":"","family":"Wu","given":"Lin","non-dropping-particle":"","parse-names":false,"suffix":""},{"dropping-particle":"","family":"Dong","given":"Xing Xiang","non-dropping-particle":"","parse-names":false,"suffix":""},{"dropping-particle":"","family":"Chen","given":"Ying","non-dropping-particle":"","parse-names":false,"suffix":""},{"dropping-particle":"","family":"Gao","given":"De Pei","non-dropping-particle":"","parse-names":false,"suffix":""},{"dropping-particle":"","family":"Ding","given":"Ying Ying","non-dropping-particle":"","parse-names":false,"suffix":""},{"dropping-particle":"","family":"Wang","given":"Xi Cai","non-dropping-particle":"","parse-names":false,"suffix":""},{"dropping-particle":"","family":"Li","given":"Zhen Hui","non-dropping-particle":"","parse-names":false,"suffix":""}],"container-title":"Cancer Management and Research","id":"ITEM-1","issued":{"date-parts":[["2019"]]},"page":"9439-9448","title":"Nomogram for the prediction of malignancy in small (8-20 mm) indeterminate solid solitary pulmonary nodules in chinese populations","type":"article-journal","volume":"11"},"uris":["http://www.mendeley.com/documents/?uuid=791fb744-eea0-40fc-83d0-b5d84f22968c"]}],"mendeley":{"formattedCitation":"(21)","plainTextFormattedCitation":"(21)","previouslyFormattedCitation":"&lt;sup&gt;21&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(21)</w:t>
            </w:r>
            <w:r w:rsidRPr="00D02987">
              <w:rPr>
                <w:rFonts w:ascii="Mongolian Baiti" w:hAnsi="Mongolian Baiti" w:cs="Mongolian Baiti"/>
                <w:sz w:val="18"/>
                <w:szCs w:val="18"/>
                <w:lang w:val="en-GB"/>
              </w:rPr>
              <w:fldChar w:fldCharType="end"/>
            </w:r>
          </w:p>
        </w:tc>
        <w:tc>
          <w:tcPr>
            <w:tcW w:w="1984" w:type="dxa"/>
            <w:vMerge w:val="restart"/>
          </w:tcPr>
          <w:p w:rsidR="00094576" w:rsidRPr="00D02987" w:rsidRDefault="00094576" w:rsidP="005A57E2">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3</w:t>
            </w:r>
          </w:p>
        </w:tc>
        <w:tc>
          <w:tcPr>
            <w:tcW w:w="2410"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(without CEA level) :216</w:t>
            </w:r>
          </w:p>
        </w:tc>
        <w:tc>
          <w:tcPr>
            <w:tcW w:w="2693" w:type="dxa"/>
          </w:tcPr>
          <w:p w:rsidR="00094576" w:rsidRPr="00D02987" w:rsidRDefault="00094576" w:rsidP="005A57E2">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0.847 (C-index)</w:t>
            </w:r>
          </w:p>
        </w:tc>
        <w:tc>
          <w:tcPr>
            <w:tcW w:w="1985"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0.928 </w:t>
            </w:r>
          </w:p>
          <w:p w:rsidR="00094576" w:rsidRPr="00D02987" w:rsidRDefault="00094576" w:rsidP="005A57E2">
            <w:pPr>
              <w:rPr>
                <w:rFonts w:ascii="Mongolian Baiti" w:hAnsi="Mongolian Baiti" w:cs="Mongolian Baiti"/>
                <w:b/>
                <w:bCs/>
                <w:sz w:val="18"/>
                <w:szCs w:val="18"/>
                <w:lang w:val="en-GB"/>
              </w:rPr>
            </w:pPr>
          </w:p>
        </w:tc>
      </w:tr>
      <w:tr w:rsidR="00094576" w:rsidRPr="008110F3" w:rsidTr="005A57E2">
        <w:trPr>
          <w:trHeight w:val="256"/>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(with CEA level) :216</w:t>
            </w:r>
          </w:p>
        </w:tc>
        <w:tc>
          <w:tcPr>
            <w:tcW w:w="2693" w:type="dxa"/>
          </w:tcPr>
          <w:p w:rsidR="00094576" w:rsidRPr="00D02987" w:rsidRDefault="00094576" w:rsidP="005A57E2">
            <w:pPr>
              <w:rPr>
                <w:rFonts w:ascii="Mongolian Baiti" w:hAnsi="Mongolian Baiti" w:cs="Mongolian Baiti"/>
                <w:b/>
                <w:bCs/>
                <w:sz w:val="18"/>
                <w:szCs w:val="18"/>
                <w:lang w:val="en-GB"/>
              </w:rPr>
            </w:pPr>
            <w:r w:rsidRPr="00D02987">
              <w:rPr>
                <w:rFonts w:ascii="Mongolian Baiti" w:hAnsi="Mongolian Baiti" w:cs="Mongolian Baiti"/>
                <w:sz w:val="18"/>
                <w:szCs w:val="18"/>
                <w:lang w:val="en-GB"/>
              </w:rPr>
              <w:t>Chen et al</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0.848 (C-index)</w:t>
            </w:r>
          </w:p>
        </w:tc>
        <w:tc>
          <w:tcPr>
            <w:tcW w:w="1985"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0.866 </w:t>
            </w:r>
          </w:p>
          <w:p w:rsidR="00094576" w:rsidRPr="00D02987" w:rsidRDefault="00094576" w:rsidP="005A57E2">
            <w:pPr>
              <w:rPr>
                <w:rFonts w:ascii="Mongolian Baiti" w:hAnsi="Mongolian Baiti" w:cs="Mongolian Baiti"/>
                <w:b/>
                <w:bCs/>
                <w:sz w:val="18"/>
                <w:szCs w:val="18"/>
                <w:lang w:val="en-GB"/>
              </w:rPr>
            </w:pPr>
          </w:p>
        </w:tc>
      </w:tr>
      <w:tr w:rsidR="00094576" w:rsidRPr="00D02987" w:rsidTr="005A57E2">
        <w:trPr>
          <w:trHeight w:val="377"/>
        </w:trPr>
        <w:tc>
          <w:tcPr>
            <w:tcW w:w="1980" w:type="dxa"/>
          </w:tcPr>
          <w:p w:rsidR="00094576" w:rsidRPr="002E731C" w:rsidRDefault="00094576" w:rsidP="005A57E2">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Wang et al. </w:t>
            </w:r>
          </w:p>
          <w:p w:rsidR="00094576" w:rsidRPr="002E731C" w:rsidRDefault="00094576" w:rsidP="005A57E2">
            <w:pPr>
              <w:rPr>
                <w:rFonts w:ascii="Mongolian Baiti" w:hAnsi="Mongolian Baiti" w:cs="Mongolian Baiti"/>
                <w:sz w:val="18"/>
                <w:szCs w:val="18"/>
                <w:lang w:val="en-GB"/>
              </w:rPr>
            </w:pPr>
            <w:r w:rsidRPr="002E731C">
              <w:rPr>
                <w:rFonts w:ascii="Mongolian Baiti" w:hAnsi="Mongolian Baiti" w:cs="Mongolian Baiti"/>
                <w:sz w:val="18"/>
                <w:szCs w:val="18"/>
                <w:lang w:val="en-GB"/>
              </w:rPr>
              <w:t>(</w:t>
            </w:r>
            <w:r w:rsidRPr="00727766">
              <w:rPr>
                <w:rFonts w:ascii="Mongolian Baiti" w:hAnsi="Mongolian Baiti" w:cs="Mongolian Baiti"/>
                <w:sz w:val="18"/>
                <w:szCs w:val="18"/>
                <w:lang w:val="en-GB"/>
              </w:rPr>
              <w:t>2018</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{"citationItems":[{"id":"ITEM-1","itemData":{"DOI":"10.1155/2018/9453967","ISSN":"23146141","PMID":"29789808","abstract":"Purpose. To establish an 18F-fluorodeoxyglucose (18F-FDG) positron emission tomography/computed tomography (PET/CT) mathematical prediction model to improve the diagnosis of solitary pulmonary nodules (SPNs). Materials and Methods. We retrospectively reviewed 177 consecutive patients who underwent 18F-FDG PET/CT for evaluation of SPNs. The mathematical model was established by logistic regression analysis. The diagnostic capabilities of the model were calculated, and the areas under the receiver operating characteristic curve (AUC) were compared with Mayo and VA model. Results. The mathematical model was y=expx/[1+exp(x)], x = -7.363 + 0.079 × age + 1.900 × lobulation + 1.024 × vascular convergence + 1.530 × pleural retraction + 0.359 × the maximum of standardized uptake value (SUVmax). When the cut-off value was set at 0.56, the sensitivity, specificity, and accuracy of our model were 86.55%, 74.14%, and 81.4%, respectively. The area under the receiver operating characteristic curve (AUC) of our model was 0.903 (95% confidence interval (CI): 0.860 to 0.946). The AUC of our model was greater than that of the Mayo model, the VA model, and PET (P&lt;0.05) and has no difference with that of PET/CT (P&gt;0.05). Conclusion. The mathematical predictive model has high accuracy in estimating the malignant probability of patients with SPNs.","author":[{"dropping-particle":"","family":"Wang","given":"Ling","non-dropping-particle":"","parse-names":false,"suffix":""},{"dropping-particle":"","family":"Chen","given":"Yao","non-dropping-particle":"","parse-names":false,"suffix":""},{"dropping-particle":"","family":"Tang","given":"Kun","non-dropping-particle":"","parse-names":false,"suffix":""},{"dropping-particle":"","family":"Lin","given":"Jie","non-dropping-particle":"","parse-names":false,"suffix":""},{"dropping-particle":"","family":"Zhang","given":"Hong","non-dropping-particle":"","parse-names":false,"suffix":""}],"container-title":"BioMed Research International","id":"ITEM-1","issued":{"date-parts":[["2018"]]},"title":"The Value of 18F-FDG PET/CT Mathematical Prediction Model in Diagnosis of Solitary Pulmonary Nodules","type":"article-journal","volume":"2018"},"uris":["http://www.mendeley.com/documents/?uuid=6acdd9e9-49ea-48eb-9d62-629a564c7de4"]}],"mendeley":{"formattedCitation":"(29)","plainTextFormattedCitation":"(29)","previouslyFormattedCitation":"&lt;sup&gt;26&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(29)</w:t>
            </w:r>
            <w:r w:rsidRPr="002E731C">
              <w:rPr>
                <w:rFonts w:ascii="Mongolian Baiti" w:hAnsi="Mongolian Baiti" w:cs="Mongolian Baiti"/>
                <w:sz w:val="18"/>
                <w:szCs w:val="18"/>
                <w:lang w:val="en-GB"/>
              </w:rPr>
              <w:fldChar w:fldCharType="end"/>
            </w:r>
          </w:p>
        </w:tc>
        <w:tc>
          <w:tcPr>
            <w:tcW w:w="1984"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1a</w:t>
            </w:r>
          </w:p>
        </w:tc>
        <w:tc>
          <w:tcPr>
            <w:tcW w:w="2410"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094576" w:rsidRPr="00D02987" w:rsidTr="005A57E2">
        <w:trPr>
          <w:trHeight w:val="377"/>
        </w:trPr>
        <w:tc>
          <w:tcPr>
            <w:tcW w:w="1980" w:type="dxa"/>
          </w:tcPr>
          <w:p w:rsidR="00094576" w:rsidRPr="002E731C" w:rsidRDefault="00094576" w:rsidP="005A57E2">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She et al. </w:t>
            </w:r>
          </w:p>
          <w:p w:rsidR="00094576" w:rsidRPr="002E731C" w:rsidRDefault="00094576" w:rsidP="005A57E2">
            <w:pPr>
              <w:rPr>
                <w:rFonts w:ascii="Mongolian Baiti" w:hAnsi="Mongolian Baiti" w:cs="Mongolian Baiti"/>
                <w:sz w:val="18"/>
                <w:szCs w:val="18"/>
                <w:lang w:val="en-GB"/>
              </w:rPr>
            </w:pPr>
            <w:r w:rsidRPr="00727766">
              <w:rPr>
                <w:rFonts w:ascii="Mongolian Baiti" w:hAnsi="Mongolian Baiti" w:cs="Mongolian Baiti"/>
                <w:sz w:val="18"/>
                <w:szCs w:val="18"/>
                <w:lang w:val="en-GB"/>
              </w:rPr>
              <w:t>(2017)</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{"citationItems":[{"id":"ITEM-1","itemData":{"DOI":"10.1002/jso.24704","ISSN":"10969098","abstract":"Objectives: To develop and validate a nomogram to estimate the pretest probability of malignancy in Chinese patients with solid solitary pulmonary nodule (SPN). Materials and Methods: A primary cohort of 1798 patients with pathologically confirmed solid SPNs after surgery was retrospectively studied at five institutions from January 2014 to December 2015. A nomogram based on independent prediction factors of malignant solid SPN was developed. Predictive performance also was evaluated using the calibration curve and the area under the receiver operating characteristic curve (AUC). Results: The mean age of the cohort was 58.9 ± 10.7 years. In univariate and multivariate analysis, age; history of cancer; the log base 10 transformations of serum carcinoembryonic antigen value; nodule diameter; the presence of spiculation, pleural indentation, and calcification remained the predictive factors of malignancy. A nomogram was developed, and the AUC value (0.85; 95%CI, 0.83-0.88) was significantly higher than other three models. The calibration cure showed optimal agreement between the malignant probability as predicted by nomogram and the actual probability. Conclusions: We developed and validated a nomogram that can estimate the pretest probability of malignant solid SPNs, which can assist clinical physicians to select and interpret the results of subsequent diagnostic tests.","author":[{"dropping-particle":"","family":"She","given":"Yunlang","non-dropping-particle":"","parse-names":false,"suffix":""},{"dropping-particle":"","family":"Zhao","given":"Lilan","non-dropping-particle":"","parse-names":false,"suffix":""},{"dropping-particle":"","family":"Dai","given":"Chenyang","non-dropping-particle":"","parse-names":false,"suffix":""},{"dropping-particle":"","family":"Ren","given":"Yijiu","non-dropping-particle":"","parse-names":false,"suffix":""},{"dropping-particle":"","family":"Jiang","given":"Gening","non-dropping-particle":"","parse-names":false,"suffix":""},{"dropping-particle":"","family":"Xie","given":"Huikang","non-dropping-particle":"","parse-names":false,"suffix":""},{"dropping-particle":"","family":"Zhu","given":"Huiyuan","non-dropping-particle":"","parse-names":false,"suffix":""},{"dropping-particle":"","family":"Sun","given":"Xiwen","non-dropping-particle":"","parse-names":false,"suffix":""},{"dropping-particle":"","family":"Yang","given":"Ping","non-dropping-particle":"","parse-names":false,"suffix":""},{"dropping-particle":"","family":"Chen","given":"Yongbing","non-dropping-particle":"","parse-names":false,"suffix":""},{"dropping-particle":"","family":"Shi","given":"Shunbin","non-dropping-particle":"","parse-names":false,"suffix":""},{"dropping-particle":"","family":"Shi","given":"Weirong","non-dropping-particle":"","parse-names":false,"suffix":""},{"dropping-particle":"","family":"Yu","given":"Bing","non-dropping-particle":"","parse-names":false,"suffix":""},{"dropping-particle":"","family":"Xie","given":"Dong","non-dropping-particle":"","parse-names":false,"suffix":""},{"dropping-particle":"","family":"Chen","given":"Chang","non-dropping-particle":"","parse-names":false,"suffix":""}],"container-title":"Journal of Surgical Oncology","id":"ITEM-1","issue":"6","issued":{"date-parts":[["2017"]]},"page":"756-762","title":"Development and validation of a nomogram to estimate the pretest probability of cancer in Chinese patients with solid solitary pulmonary nodules: A multi-institutional study","type":"article-journal","volume":"116"},"uris":["http://www.mendeley.com/documents/?uuid=60cb406c-b1bf-4677-bf94-e28cf9060d04"]}],"mendeley":{"formattedCitation":"(24)","plainTextFormattedCitation":"(24)","previouslyFormattedCitation":"&lt;sup&gt;24&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(24)</w:t>
            </w:r>
            <w:r w:rsidRPr="002E731C">
              <w:rPr>
                <w:rFonts w:ascii="Mongolian Baiti" w:hAnsi="Mongolian Baiti" w:cs="Mongolian Baiti"/>
                <w:sz w:val="18"/>
                <w:szCs w:val="18"/>
                <w:lang w:val="en-GB"/>
              </w:rPr>
              <w:fldChar w:fldCharType="end"/>
            </w:r>
          </w:p>
        </w:tc>
        <w:tc>
          <w:tcPr>
            <w:tcW w:w="1984"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094576" w:rsidRPr="00D02987" w:rsidTr="005A57E2">
        <w:trPr>
          <w:trHeight w:val="140"/>
        </w:trPr>
        <w:tc>
          <w:tcPr>
            <w:tcW w:w="1980" w:type="dxa"/>
            <w:vMerge w:val="restart"/>
          </w:tcPr>
          <w:p w:rsidR="00094576" w:rsidRPr="002E731C" w:rsidRDefault="00094576" w:rsidP="005A57E2">
            <w:pPr>
              <w:rPr>
                <w:rFonts w:ascii="Mongolian Baiti" w:hAnsi="Mongolian Baiti" w:cs="Mongolian Baiti"/>
                <w:sz w:val="18"/>
                <w:szCs w:val="18"/>
                <w:lang w:val="en-GB"/>
              </w:rPr>
            </w:pPr>
            <w:r w:rsidRPr="002E731C">
              <w:rPr>
                <w:rFonts w:ascii="Mongolian Baiti" w:hAnsi="Mongolian Baiti" w:cs="Mongolian Baiti"/>
                <w:sz w:val="18"/>
                <w:szCs w:val="18"/>
                <w:lang w:val="en-GB"/>
              </w:rPr>
              <w:t xml:space="preserve">Yang et al. </w:t>
            </w:r>
          </w:p>
          <w:p w:rsidR="00094576" w:rsidRPr="003B60B9" w:rsidRDefault="00094576" w:rsidP="005A57E2">
            <w:pPr>
              <w:rPr>
                <w:rFonts w:ascii="Mongolian Baiti" w:hAnsi="Mongolian Baiti" w:cs="Mongolian Baiti"/>
                <w:sz w:val="18"/>
                <w:szCs w:val="18"/>
              </w:rPr>
            </w:pPr>
            <w:r w:rsidRPr="00727766">
              <w:rPr>
                <w:rFonts w:ascii="Mongolian Baiti" w:hAnsi="Mongolian Baiti" w:cs="Mongolian Baiti"/>
                <w:sz w:val="18"/>
                <w:szCs w:val="18"/>
                <w:lang w:val="en-GB"/>
              </w:rPr>
              <w:t>(2017)</w:t>
            </w:r>
            <w:r w:rsidRPr="002E731C">
              <w:rPr>
                <w:rFonts w:ascii="Mongolian Baiti" w:hAnsi="Mongolian Baiti" w:cs="Mongolian Baiti"/>
                <w:sz w:val="18"/>
                <w:szCs w:val="18"/>
                <w:lang w:val="en-GB"/>
              </w:rPr>
              <w:t xml:space="preserve"> </w:t>
            </w:r>
            <w:r w:rsidRPr="002E731C">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{"citationItems":[{"id":"ITEM-1","itemData":{"DOI":"10.18632/oncotarget.16426","ISSN":"19492553","abstract":"There are no large samples or exact prediction models for assessing the cancer risk factors of solitary pulmonary nodules (SPNs) in the Chinese population. We retrospectively analyzed the clinical and imaging data of patients with SPNs who underwent computer tomography guided needle biopsy in our hospital from Jan 1st of 2011 to March 30th of 2016. These patients were divided into a development data set and a validation data set. These groups included 1078 and 344 patients, respectively. A prediction model was developed from the development data set and was validated with the validation data set using logistic regression. The predictors of cancer in our model included female gender, age, pack-years of smoking, a previous history of malignancy, nodule size, lobulated and spiculated edges, lobulation alone and spiculation alone. The Area Under the Curves, sensitivity and specificity of our model in the development and validation data sets were significantly higher than those of the Mayo model and VA model (p &lt; 0.001). We established the largest sampling risk prediction model of SPNs in a Chinese cohort. This model is particularly applicable to SPNs &gt; 8 mm in size. SPNs in female patients, as well as SPNs featuring a combination of lobulated and spiculated edges or lobulated edges alone, should be evaluated carefully due to the probability that they are malignant.","author":[{"dropping-particle":"","family":"Yang","given":"Li","non-dropping-particle":"","parse-names":false,"suffix":""}</w:instrText>
            </w:r>
            <w:r w:rsidRPr="00A0798D">
              <w:rPr>
                <w:rFonts w:ascii="Mongolian Baiti" w:hAnsi="Mongolian Baiti" w:cs="Mongolian Baiti"/>
                <w:sz w:val="18"/>
                <w:szCs w:val="18"/>
              </w:rPr>
              <w:instrText>,{"dropping-particle":"","family":"Zhang","given":"Qiao","non-dropping-particle":"","parse-names":false,"suffix":""},{"dropping-particle":"","family":"Bai","given":"Li","non-dropping-particle":"","parse-names":false,"suffix":""},{"dropping-particle":"","family":"Li","given":"Ting Yuan","non-dropping-particle":"","parse-names":false,"suffix":""},{"dropping-particle":"","family":"He","given":"Chuang","non-dropping-particle":"","parse-names":false,"suffix":""},{"dropping-particle":"","family":"Ma","given":"Qian Li","non-dropping-particle":"","parse-names":false,"suffix":""},{"dropping-particle":"","family":"Li","given":"Liangshan","non-dropping-particle":"","parse-names":false,"suffix":""},{"dropping-particle":"","family":"Huang","given":"Xue Quan","non-dropping-particle":"","parse-names":false,"suffix":""},{"dropping-particle":"","family":"Qian","given":"Gui Sheng","non-dropping-particle":"","parse-names":false,"suffix":""}],"container-title":"Oncotarget","id":"ITEM-1","issue":"17","issued":{"date-parts":[["2017"]]},"page":"29318-29327","title":"Assessment of the cancer risk factors of solitary pulmonary nodules","type":"article-journal","volume":"8"},"uris":["http://www.mendeley.com/documents/?uuid=41fc7f7b-3aa5-46d9-8b67-69594f69d8cb"]}],"mendeley":{"formattedCitation":"(28)","plainTextFormattedCitation":"(28)","previouslyFormattedCitation":"&lt;sup&gt;25&lt;/sup&gt;"},"properties":{"noteIndex":0},"schema":"https://github.com/citation-style-language/schema/raw/master/csl-citation.json"}</w:instrText>
            </w:r>
            <w:r w:rsidRPr="002E731C">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rPr>
              <w:t>(28)</w:t>
            </w:r>
            <w:r w:rsidRPr="002E731C">
              <w:rPr>
                <w:rFonts w:ascii="Mongolian Baiti" w:hAnsi="Mongolian Baiti" w:cs="Mongolian Baiti"/>
                <w:sz w:val="18"/>
                <w:szCs w:val="18"/>
                <w:lang w:val="en-GB"/>
              </w:rPr>
              <w:fldChar w:fldCharType="end"/>
            </w:r>
          </w:p>
        </w:tc>
        <w:tc>
          <w:tcPr>
            <w:tcW w:w="1984" w:type="dxa"/>
            <w:vMerge w:val="restart"/>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3</w:t>
            </w:r>
          </w:p>
        </w:tc>
        <w:tc>
          <w:tcPr>
            <w:tcW w:w="2410" w:type="dxa"/>
            <w:vMerge w:val="restart"/>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344</w:t>
            </w:r>
          </w:p>
        </w:tc>
        <w:tc>
          <w:tcPr>
            <w:tcW w:w="2693"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Yang et al.: 0.784</w:t>
            </w:r>
          </w:p>
        </w:tc>
        <w:tc>
          <w:tcPr>
            <w:tcW w:w="1985" w:type="dxa"/>
            <w:vMerge w:val="restart"/>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w:t>
            </w:r>
          </w:p>
        </w:tc>
      </w:tr>
      <w:tr w:rsidR="00094576" w:rsidRPr="00D02987" w:rsidTr="005A57E2">
        <w:trPr>
          <w:trHeight w:val="140"/>
        </w:trPr>
        <w:tc>
          <w:tcPr>
            <w:tcW w:w="1980" w:type="dxa"/>
            <w:vMerge/>
          </w:tcPr>
          <w:p w:rsidR="00094576" w:rsidRPr="003B60B9" w:rsidRDefault="00094576" w:rsidP="005A57E2">
            <w:pPr>
              <w:rPr>
                <w:rFonts w:ascii="Mongolian Baiti" w:hAnsi="Mongolian Baiti" w:cs="Mongolian Baiti"/>
                <w:sz w:val="18"/>
                <w:szCs w:val="18"/>
              </w:rPr>
            </w:pPr>
          </w:p>
        </w:tc>
        <w:tc>
          <w:tcPr>
            <w:tcW w:w="1984" w:type="dxa"/>
            <w:vMerge/>
          </w:tcPr>
          <w:p w:rsidR="00094576" w:rsidRPr="003B60B9" w:rsidRDefault="00094576" w:rsidP="005A57E2">
            <w:pPr>
              <w:rPr>
                <w:rFonts w:ascii="Mongolian Baiti" w:hAnsi="Mongolian Baiti" w:cs="Mongolian Baiti"/>
                <w:sz w:val="18"/>
                <w:szCs w:val="18"/>
              </w:rPr>
            </w:pPr>
          </w:p>
        </w:tc>
        <w:tc>
          <w:tcPr>
            <w:tcW w:w="2410" w:type="dxa"/>
            <w:vMerge/>
          </w:tcPr>
          <w:p w:rsidR="00094576" w:rsidRPr="003B60B9" w:rsidRDefault="00094576" w:rsidP="005A57E2">
            <w:pPr>
              <w:rPr>
                <w:rFonts w:ascii="Mongolian Baiti" w:hAnsi="Mongolian Baiti" w:cs="Mongolian Baiti"/>
                <w:sz w:val="18"/>
                <w:szCs w:val="18"/>
              </w:rPr>
            </w:pPr>
          </w:p>
        </w:tc>
        <w:tc>
          <w:tcPr>
            <w:tcW w:w="2693" w:type="dxa"/>
          </w:tcPr>
          <w:p w:rsidR="00094576" w:rsidRPr="003B60B9" w:rsidRDefault="00094576" w:rsidP="005A57E2">
            <w:pPr>
              <w:rPr>
                <w:rFonts w:ascii="Mongolian Baiti" w:hAnsi="Mongolian Baiti" w:cs="Mongolian Baiti"/>
                <w:sz w:val="18"/>
                <w:szCs w:val="18"/>
              </w:rPr>
            </w:pPr>
            <w:proofErr w:type="spellStart"/>
            <w:r w:rsidRPr="003B60B9">
              <w:rPr>
                <w:rFonts w:ascii="Mongolian Baiti" w:hAnsi="Mongolian Baiti" w:cs="Mongolian Baiti"/>
                <w:sz w:val="18"/>
                <w:szCs w:val="18"/>
              </w:rPr>
              <w:t>Swensen</w:t>
            </w:r>
            <w:proofErr w:type="spellEnd"/>
            <w:r w:rsidRPr="003B60B9">
              <w:rPr>
                <w:rFonts w:ascii="Mongolian Baiti" w:hAnsi="Mongolian Baiti" w:cs="Mongolian Baiti"/>
                <w:sz w:val="18"/>
                <w:szCs w:val="18"/>
              </w:rPr>
              <w:t xml:space="preserve"> et al.:0.649</w:t>
            </w:r>
          </w:p>
        </w:tc>
        <w:tc>
          <w:tcPr>
            <w:tcW w:w="1985" w:type="dxa"/>
            <w:vMerge/>
          </w:tcPr>
          <w:p w:rsidR="00094576" w:rsidRPr="003B60B9" w:rsidRDefault="00094576" w:rsidP="005A57E2">
            <w:pPr>
              <w:rPr>
                <w:rFonts w:ascii="Mongolian Baiti" w:hAnsi="Mongolian Baiti" w:cs="Mongolian Baiti"/>
                <w:sz w:val="18"/>
                <w:szCs w:val="18"/>
              </w:rPr>
            </w:pPr>
          </w:p>
        </w:tc>
      </w:tr>
      <w:tr w:rsidR="00094576" w:rsidRPr="00D02987" w:rsidTr="005A57E2">
        <w:trPr>
          <w:trHeight w:val="140"/>
        </w:trPr>
        <w:tc>
          <w:tcPr>
            <w:tcW w:w="1980" w:type="dxa"/>
            <w:vMerge/>
          </w:tcPr>
          <w:p w:rsidR="00094576" w:rsidRPr="003B60B9" w:rsidRDefault="00094576" w:rsidP="005A57E2">
            <w:pPr>
              <w:rPr>
                <w:rFonts w:ascii="Mongolian Baiti" w:hAnsi="Mongolian Baiti" w:cs="Mongolian Baiti"/>
                <w:sz w:val="18"/>
                <w:szCs w:val="18"/>
              </w:rPr>
            </w:pPr>
          </w:p>
        </w:tc>
        <w:tc>
          <w:tcPr>
            <w:tcW w:w="1984" w:type="dxa"/>
            <w:vMerge/>
          </w:tcPr>
          <w:p w:rsidR="00094576" w:rsidRPr="003B60B9" w:rsidRDefault="00094576" w:rsidP="005A57E2">
            <w:pPr>
              <w:rPr>
                <w:rFonts w:ascii="Mongolian Baiti" w:hAnsi="Mongolian Baiti" w:cs="Mongolian Baiti"/>
                <w:sz w:val="18"/>
                <w:szCs w:val="18"/>
              </w:rPr>
            </w:pPr>
          </w:p>
        </w:tc>
        <w:tc>
          <w:tcPr>
            <w:tcW w:w="2410" w:type="dxa"/>
            <w:vMerge/>
          </w:tcPr>
          <w:p w:rsidR="00094576" w:rsidRPr="003B60B9" w:rsidRDefault="00094576" w:rsidP="005A57E2">
            <w:pPr>
              <w:rPr>
                <w:rFonts w:ascii="Mongolian Baiti" w:hAnsi="Mongolian Baiti" w:cs="Mongolian Baiti"/>
                <w:sz w:val="18"/>
                <w:szCs w:val="18"/>
              </w:rPr>
            </w:pPr>
          </w:p>
        </w:tc>
        <w:tc>
          <w:tcPr>
            <w:tcW w:w="2693" w:type="dxa"/>
          </w:tcPr>
          <w:p w:rsidR="00094576" w:rsidRPr="003B60B9" w:rsidRDefault="00094576" w:rsidP="005A57E2">
            <w:pPr>
              <w:rPr>
                <w:rFonts w:ascii="Mongolian Baiti" w:hAnsi="Mongolian Baiti" w:cs="Mongolian Baiti"/>
                <w:sz w:val="18"/>
                <w:szCs w:val="18"/>
              </w:rPr>
            </w:pPr>
            <w:proofErr w:type="spellStart"/>
            <w:r w:rsidRPr="003B60B9">
              <w:rPr>
                <w:rFonts w:ascii="Mongolian Baiti" w:hAnsi="Mongolian Baiti" w:cs="Mongolian Baiti"/>
                <w:sz w:val="18"/>
                <w:szCs w:val="18"/>
              </w:rPr>
              <w:t>Gould</w:t>
            </w:r>
            <w:proofErr w:type="spellEnd"/>
            <w:r w:rsidRPr="003B60B9">
              <w:rPr>
                <w:rFonts w:ascii="Mongolian Baiti" w:hAnsi="Mongolian Baiti" w:cs="Mongolian Baiti"/>
                <w:sz w:val="18"/>
                <w:szCs w:val="18"/>
              </w:rPr>
              <w:t xml:space="preserve"> et al.: 0.599</w:t>
            </w:r>
          </w:p>
        </w:tc>
        <w:tc>
          <w:tcPr>
            <w:tcW w:w="1985" w:type="dxa"/>
            <w:vMerge/>
          </w:tcPr>
          <w:p w:rsidR="00094576" w:rsidRPr="003B60B9" w:rsidRDefault="00094576" w:rsidP="005A57E2">
            <w:pPr>
              <w:rPr>
                <w:rFonts w:ascii="Mongolian Baiti" w:hAnsi="Mongolian Baiti" w:cs="Mongolian Baiti"/>
                <w:sz w:val="18"/>
                <w:szCs w:val="18"/>
              </w:rPr>
            </w:pPr>
          </w:p>
        </w:tc>
      </w:tr>
      <w:tr w:rsidR="00094576" w:rsidRPr="00D02987" w:rsidTr="005A57E2">
        <w:trPr>
          <w:trHeight w:val="377"/>
        </w:trPr>
        <w:tc>
          <w:tcPr>
            <w:tcW w:w="1980"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Van Gómez López et al. (2015)</w:t>
            </w:r>
            <w:r w:rsidRPr="002E731C">
              <w:rPr>
                <w:rFonts w:ascii="Mongolian Baiti" w:hAnsi="Mongolian Baiti" w:cs="Mongolian Baiti"/>
                <w:sz w:val="18"/>
                <w:szCs w:val="18"/>
              </w:rPr>
              <w:t xml:space="preserve"> </w:t>
            </w:r>
            <w:r w:rsidRPr="002E731C">
              <w:rPr>
                <w:rFonts w:ascii="Mongolian Baiti" w:hAnsi="Mongolian Baiti" w:cs="Mongolian Baiti"/>
                <w:sz w:val="18"/>
                <w:szCs w:val="18"/>
              </w:rPr>
              <w:fldChar w:fldCharType="begin" w:fldLock="1"/>
            </w:r>
            <w:r>
              <w:rPr>
                <w:rFonts w:ascii="Mongolian Baiti" w:hAnsi="Mongolian Baiti" w:cs="Mongolian Baiti"/>
                <w:sz w:val="18"/>
                <w:szCs w:val="18"/>
              </w:rPr>
              <w:instrText>ADDIN CSL_CITATION {"citationItems":[{"id":"ITEM-1","itemData":{"DOI":"10.3978/j.issn.2218-6751.2015.05.07","ISSN":"22264477","abstract":"Objective: To compare the diagnostic performance of different metabolical, morphological and clinical criteria for correct presurgical classification of the solitary pulmonary nodule (SPN). Methods: Fifty-five patients, with SPN were retrospectively analyzed. All patients underwent preoperative 18F-fluorodeoxyglucose (FDG)-positron emission tomography (PET)/computed tomography (CT). Maximum diameter in CT, maximum standard uptake value (SUVmax), histopathologic result, age, smoking history and gender were obtained. Different criteria were established to classify a SPN as malignant: (I) visually detectable metabolism, (II) SUVmax &gt;2.5 regardless of SPN diameter, (III) SUVmax threshold depending of SPN diameter, and (IV) ratio SUVmax/diameter greater than 1. For each criterion, statistical diagnostic parameters were obtained. Receiver operating characteristic (ROC) analysis was performed to select the best diagnostic SUVmax and SUVmax/diameter cutoff. Additionally, a predictive model of malignancy of the SPN was derived by multivariate logistic regression. Results: Fifteen SPN (27.3%) were benign and 40 (72.7%) malignant. The mean values ± standard deviation (SD) of SPN diameter and SUVmax were 1.93±0.57 cm and 3.93±2.67 respectively. Sensitivity (Se) and specificity (Sp) of the different diagnostic criteria were (I): 97.5% and 13.1%; (II) 67.5% and 53.3%; (III) 70% and 53.3%; and (IV) 85% and 33.3%, respectively. The SUVmax cut-off value with the best diagnostic performance was 1.95 (Se: 80%; Sp: 53.3%). The predictive model had a Se of 87.5% and Sp of 46.7%. The SUVmax was independent variables to predict malignancy. Conclusions: The assessment by semiquantitative methods did not improve the Se of visual analysis. The limited Sp was independent on the method used. However, the predictive model combining SUVmax and age was the best diagnostic approach.","author":[{"dropping-particle":"","family":"López","given":"Ober van Gómez","non-dropping-particle":"","parse-names":false,"suffix":""},{"dropping-particle":"","family":"Vicente","given":"Ana María García","non-dropping-particle":"","parse-names":false,"suffix":""},{"dropping-particle":"","family":"Martínez","given":"Antonio Francisco Honguero","non-dropping-particle":"","parse-names":false,"suffix":""},{"dropping-particle":"","family":"Londoño","given":"Germán Andrés Jiménez","non-dropping-particle":"","parse-names":false,"suffix":""},{"dropping-particle":"","family":"Caicedo","given":"Carlos Hugo Vega","non-dropping-particle":"","parse-names":false,"suffix":""},{"dropping-particle":"","family":"Atance","given":"Pablo León","non-dropping-particle":"","parse-names":false,"suffix":""},{"dropping-particle":"","family":"Castrejón","given":"Ángel María Soriano","non-dropping-particle":"","parse-names":false,"suffix":""}],"container-title":"Translational Lung Cancer Research","id":"ITEM-1","issue":"3","issued":{"date-parts":[["2015"]]},"page":"228-235","title":"18F-FDG-PET/CT in the assessment of pulmonary solitary nodules: Comparison of different analysis methods and risk variables in the prediction of malignancy","type":"article-journal","volume":"4"},"uris":["http://www.mendeley.com/documents/?uuid=d9f81f04-6cce-44ae-9e13-7bd7b37a2dad"]}],"mendeley":{"formattedCitation":"(16)","plainTextFormattedCitation":"(16)","previouslyFormattedCitation":"&lt;sup&gt;16&lt;/sup&gt;"},"properties":{"noteIndex":0},"schema":"https://github.com/citation-style-language/schema/raw/master/csl-citation.json"}</w:instrText>
            </w:r>
            <w:r w:rsidRPr="002E731C">
              <w:rPr>
                <w:rFonts w:ascii="Mongolian Baiti" w:hAnsi="Mongolian Baiti" w:cs="Mongolian Baiti"/>
                <w:sz w:val="18"/>
                <w:szCs w:val="18"/>
              </w:rPr>
              <w:fldChar w:fldCharType="separate"/>
            </w:r>
            <w:r w:rsidRPr="00A0798D">
              <w:rPr>
                <w:rFonts w:ascii="Mongolian Baiti" w:hAnsi="Mongolian Baiti" w:cs="Mongolian Baiti"/>
                <w:noProof/>
                <w:sz w:val="18"/>
                <w:szCs w:val="18"/>
              </w:rPr>
              <w:t>(16)</w:t>
            </w:r>
            <w:r w:rsidRPr="002E731C">
              <w:rPr>
                <w:rFonts w:ascii="Mongolian Baiti" w:hAnsi="Mongolian Baiti" w:cs="Mongolian Baiti"/>
                <w:sz w:val="18"/>
                <w:szCs w:val="18"/>
              </w:rPr>
              <w:fldChar w:fldCharType="end"/>
            </w:r>
          </w:p>
        </w:tc>
        <w:tc>
          <w:tcPr>
            <w:tcW w:w="1984"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1a</w:t>
            </w:r>
          </w:p>
        </w:tc>
        <w:tc>
          <w:tcPr>
            <w:tcW w:w="2410"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w:t>
            </w:r>
          </w:p>
        </w:tc>
        <w:tc>
          <w:tcPr>
            <w:tcW w:w="2693"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w:t>
            </w:r>
          </w:p>
        </w:tc>
        <w:tc>
          <w:tcPr>
            <w:tcW w:w="1985" w:type="dxa"/>
          </w:tcPr>
          <w:p w:rsidR="00094576" w:rsidRPr="003B60B9" w:rsidRDefault="00094576" w:rsidP="005A57E2">
            <w:pPr>
              <w:rPr>
                <w:rFonts w:ascii="Mongolian Baiti" w:hAnsi="Mongolian Baiti" w:cs="Mongolian Baiti"/>
                <w:sz w:val="18"/>
                <w:szCs w:val="18"/>
              </w:rPr>
            </w:pPr>
            <w:r w:rsidRPr="003B60B9">
              <w:rPr>
                <w:rFonts w:ascii="Mongolian Baiti" w:hAnsi="Mongolian Baiti" w:cs="Mongolian Baiti"/>
                <w:sz w:val="18"/>
                <w:szCs w:val="18"/>
              </w:rPr>
              <w:t>-</w:t>
            </w:r>
          </w:p>
        </w:tc>
      </w:tr>
      <w:tr w:rsidR="00094576" w:rsidRPr="00D02987" w:rsidTr="005A57E2">
        <w:trPr>
          <w:trHeight w:val="377"/>
        </w:trPr>
        <w:tc>
          <w:tcPr>
            <w:tcW w:w="1980" w:type="dxa"/>
          </w:tcPr>
          <w:p w:rsidR="00094576" w:rsidRPr="003B60B9" w:rsidRDefault="00094576" w:rsidP="005A57E2">
            <w:pPr>
              <w:rPr>
                <w:rFonts w:ascii="Mongolian Baiti" w:hAnsi="Mongolian Baiti" w:cs="Mongolian Baiti"/>
                <w:sz w:val="18"/>
                <w:szCs w:val="18"/>
              </w:rPr>
            </w:pPr>
            <w:proofErr w:type="spellStart"/>
            <w:r w:rsidRPr="003B60B9">
              <w:rPr>
                <w:rFonts w:ascii="Mongolian Baiti" w:hAnsi="Mongolian Baiti" w:cs="Mongolian Baiti"/>
                <w:sz w:val="18"/>
                <w:szCs w:val="18"/>
              </w:rPr>
              <w:t>Zheng</w:t>
            </w:r>
            <w:proofErr w:type="spellEnd"/>
            <w:r w:rsidRPr="003B60B9">
              <w:rPr>
                <w:rFonts w:ascii="Mongolian Baiti" w:hAnsi="Mongolian Baiti" w:cs="Mongolian Baiti"/>
                <w:sz w:val="18"/>
                <w:szCs w:val="18"/>
              </w:rPr>
              <w:t xml:space="preserve"> et al. </w:t>
            </w:r>
          </w:p>
          <w:p w:rsidR="00094576" w:rsidRPr="00D02987" w:rsidRDefault="00094576" w:rsidP="005A57E2">
            <w:pPr>
              <w:rPr>
                <w:rFonts w:ascii="Mongolian Baiti" w:hAnsi="Mongolian Baiti" w:cs="Mongolian Baiti"/>
                <w:sz w:val="18"/>
                <w:szCs w:val="18"/>
                <w:lang w:val="en-GB"/>
              </w:rPr>
            </w:pPr>
            <w:r w:rsidRPr="003B60B9">
              <w:rPr>
                <w:rFonts w:ascii="Mongolian Baiti" w:hAnsi="Mongolian Baiti" w:cs="Mongolian Baiti"/>
                <w:sz w:val="18"/>
                <w:szCs w:val="18"/>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rPr>
              <w:instrText>ADDIN CSL_CITATION {"citationItems":[{"id":"ITEM-1","itemData":{"DOI":"10.1016/j.athoracsur.2015.03.071","ISSN":"15526259","abstract":"Background With the recent widespread use of computed tomography, interest in ground glass opacity pulmonary lesions has increased. We aimed to develop a model for predicting the probability of malignancy in solitary pulmonary nodules. Methods We assessed 846 patients with newly discovered solitary pulmonary nodules referred to Fujian Medical University Union Hospital. Data on 18 clinical and 13 radiologic variables were collected. Two thirds of the patients were randomly selected to derive the prediction model (derivation set); the remaining one third provided a validation set. The lesions were divided according to proportion of ground glass opacity (less than 50% or 50% or greater). Univariate analysis of significant covariates for their relationship to the presence of malignancy was performed. An equation expressing the probability of malignancy was derived from these findings and tested on data from the validation group. Receiver-operating characteristic curves were constructed using the prediction model and the Mayo Clinic model. Results In lesions with less than 50% ground glass opacity, three clinical characteristics (age, presence of symptoms, total protein) and three radiologic characteristics (diameter, lobulation, calcified nodes) were independent predictors of malignancy. In lesions with 50% or more ground glass opacity, two clinical characteristics (sex, percent of forced expiratory volume in 1 second accounting for expected value) and two radiologic characteristics (diameter, calcified nodes) were independent predictors of malignancy. Our prediction model was better than the Mayo Clinic model to distinguish between benign and malignant solitary pulmonary nodules (p &lt; 0.05). Conclusions Our prediction model could accurately identify malignancy in patients with solitary pulmonary nodules, especially in lesions with 50% or more ground glass opacity.","author":[{"dropping-particle":"","family":"Zheng","given":"Bin","non-dropping-particle":"","parse-names":false,"suffix":""},{"dropping-particle":"","family":"Zhou","given":"Xiwen","non-dropping-particle":"","parse-names":false,"suffix":""},{"dropping-particle":"","family":"Chen","given":"Jianhua","non-dropping-particle":"","parse-names":false,"suffix":""},{"dropping-particle":"","family":"Zheng","given":"Wei","non-dropping-particle":"","parse-names":false,"suffix":""},{"dropping-particle":"","family":"Duan","given":"Qing","non-dropping-particle":"","parse-names":false,"suffix":""},{"dropping-particle":"","family":"Chen","given":"Chun","non-dropping-particle":"","parse-names":false,"suffix":""}],"container-title":"Annals of Thoracic Surgery","id":"ITEM-1","issue":"1","issued":{"date-parts":[["2015"]]},"page":"288-294","publisher":"Elsevier","title":"A Modified Model for Preoperatively Predicting Malignancy of Solitary Pulmonary Nodules: An Asia Cohort Study","type":"article-journal","volume":"100"},"uris":["http://www.mendeley.com/documents/?uuid=a4fdf408-e981-4af7-89f8-a23ea2ab1e96"]}],"mendeley":{"formattedCitation":"(20)","plainTextFormattedCitation":"(20)","previouslyFormattedCitation":"&lt;sup&gt;20&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(20)</w:t>
            </w:r>
            <w:r w:rsidRPr="00D02987">
              <w:rPr>
                <w:rFonts w:ascii="Mongolian Baiti" w:hAnsi="Mongolian Baiti" w:cs="Mongolian Baiti"/>
                <w:sz w:val="18"/>
                <w:szCs w:val="18"/>
                <w:lang w:val="en-GB"/>
              </w:rPr>
              <w:fldChar w:fldCharType="end"/>
            </w:r>
          </w:p>
        </w:tc>
        <w:tc>
          <w:tcPr>
            <w:tcW w:w="1984"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094576" w:rsidRPr="008110F3" w:rsidTr="005A57E2">
        <w:trPr>
          <w:trHeight w:val="181"/>
        </w:trPr>
        <w:tc>
          <w:tcPr>
            <w:tcW w:w="1980"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Zhang et al. </w:t>
            </w:r>
          </w:p>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(2015)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{"citationItems":[{"id":"ITEM-1","itemData":{"DOI":"10.3978/j.issn.2072-1439.2015.10.56","ISSN":"20776624","abstract":"Background: The aim of this study was to establish a model for predicting the probability of malignancy in solitary pulmonary nodules (SPNs) and provide guidance for the diagnosis and follow-up intervention of SPNs. Methods: We retrospectively analyzed the clinical data and computed tomography (CT) images of 294 patients with a clear pathological diagnosis of SPN. Multivariate logistic regression analysis was used to screen independent predictors of the probability of malignancy in the SPN and to establish a model for predicting malignancy in SPNs. Then, another 120 SPN patients who did not participate in the model establishment were chosen as group B and used to verify the accuracy of the prediction model. Results: Multivariate logistic regression analysis showed that there were significant differences in age, smoking history, maximum diameter of nodules, spiculation, clear borders, and Cyfra21-1 levels between subgroups with benign and malignant SPNs (P&lt;0.05). These factors were identified as independent predictors of malignancy in SPNs. The area under the curve (AUC) was 0.910 [95% confidence interval (CI), 0.857-0.963] in model with Cyfra21-1 significantly better than 0.812 (95% CI, 0.763-0.861) in model without Cyfra21-1 (P=0.008). The area under receiver operating characteristic (ROC) curve of our model is significantly higher than the Mayo model, VA model and Peking University People's (PKUPH) model. Our model (AUC =0.910) compared with Brock model (AUC =0.878, P=0.350), the difference was not statistically significant. Conclusions: The model added Cyfra21-1 could improve prediction. The prediction model established in this study can be used to assess the probability of malignancy in SPNs, thereby providing help for the diagnosis of SPNs and the selection of follow-up interventions.","author":[{"dropping-particle":"","family":"Zhang","given":"Man","non-dropping-particle":"","parse-names":false,"suffix":""},{"dropping-particle":"","family":"Zhuo","given":"Na","non-dropping-particle":"","parse-names":false,"suffix":""},{"dropping-particle":"","family":"Guo","given":"Zhanlin","non-dropping-particle":"","parse-names":false,"suffix":""},{"dropping-particle":"","family":"Zhang","given":"Xingguang","non-dropping-particle":"","parse-names":false,"suffix":""},{"dropping-particle":"","family":"Liang","given":"Wenhua","non-dropping-particle":"","parse-names":false,"suffix":""},{"dropping-particle":"","family":"Zhao","given":"Sheng","non-dropping-particle":"","parse-names":false,"suffix":""},{"dropping-particle":"","family":"He","given":"Jianxing","non-dropping-particle":"","parse-names":false,"suffix":""}],"container-title":"Journal of Thoracic Disease","id":"ITEM-1","issue":"10","issued":{"date-parts":[["2015"]]},"page":"1833-1841","title":"Establishment of a mathematic model for predicting malignancy in solitary pulmonary nodules","type":"article-journal","volume":"7"},"uris":["http://www.mendeley.com/documents/?uuid=53b41c62-f341-4dcf-9c60-ad17475ef972"]}],"mendeley":{"formattedCitation":"(25)","plainTextFormattedCitation":"(25)","previouslyFormattedCitation":"&lt;sup&gt;29&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(25)</w:t>
            </w:r>
            <w:r w:rsidRPr="00D02987">
              <w:rPr>
                <w:rFonts w:ascii="Mongolian Baiti" w:hAnsi="Mongolian Baiti" w:cs="Mongolian Baiti"/>
                <w:sz w:val="18"/>
                <w:szCs w:val="18"/>
                <w:lang w:val="en-GB"/>
              </w:rPr>
              <w:fldChar w:fldCharType="end"/>
            </w:r>
          </w:p>
          <w:p w:rsidR="00094576" w:rsidRPr="00D02987" w:rsidRDefault="00094576" w:rsidP="005A57E2">
            <w:pPr>
              <w:rPr>
                <w:rFonts w:ascii="Mongolian Baiti" w:hAnsi="Mongolian Baiti" w:cs="Mongolian Baiti"/>
                <w:sz w:val="18"/>
                <w:szCs w:val="18"/>
                <w:lang w:val="en-GB"/>
              </w:rPr>
            </w:pPr>
          </w:p>
          <w:p w:rsidR="00094576" w:rsidRPr="00D02987" w:rsidRDefault="00094576" w:rsidP="005A57E2">
            <w:pPr>
              <w:rPr>
                <w:rFonts w:ascii="Mongolian Baiti" w:hAnsi="Mongolian Baiti" w:cs="Mongolian Baiti"/>
                <w:sz w:val="18"/>
                <w:szCs w:val="18"/>
                <w:lang w:val="en-GB"/>
              </w:rPr>
            </w:pPr>
          </w:p>
          <w:p w:rsidR="00094576" w:rsidRPr="00D02987" w:rsidRDefault="00094576" w:rsidP="005A57E2">
            <w:pPr>
              <w:jc w:val="center"/>
              <w:rPr>
                <w:rFonts w:ascii="Mongolian Baiti" w:hAnsi="Mongolian Baiti" w:cs="Mongolian Baiti"/>
                <w:sz w:val="18"/>
                <w:szCs w:val="18"/>
                <w:lang w:val="en-GB"/>
              </w:rPr>
            </w:pPr>
          </w:p>
        </w:tc>
        <w:tc>
          <w:tcPr>
            <w:tcW w:w="1984"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120</w:t>
            </w: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Zhang et al.</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0.910</w:t>
            </w:r>
          </w:p>
        </w:tc>
        <w:tc>
          <w:tcPr>
            <w:tcW w:w="1985"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094576" w:rsidRPr="008110F3" w:rsidTr="005A57E2">
        <w:trPr>
          <w:trHeight w:val="477"/>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Zhang et al. (without CYFRA 21-1): 0.812</w:t>
            </w:r>
          </w:p>
        </w:tc>
        <w:tc>
          <w:tcPr>
            <w:tcW w:w="1985" w:type="dxa"/>
            <w:vMerge/>
          </w:tcPr>
          <w:p w:rsidR="00094576" w:rsidRPr="00D02987" w:rsidRDefault="00094576" w:rsidP="005A57E2">
            <w:pPr>
              <w:rPr>
                <w:rFonts w:ascii="Mongolian Baiti" w:hAnsi="Mongolian Baiti" w:cs="Mongolian Baiti"/>
                <w:sz w:val="18"/>
                <w:szCs w:val="18"/>
                <w:lang w:val="en-GB"/>
              </w:rPr>
            </w:pPr>
          </w:p>
        </w:tc>
      </w:tr>
      <w:tr w:rsidR="00094576" w:rsidRPr="008110F3" w:rsidTr="005A57E2">
        <w:trPr>
          <w:trHeight w:val="160"/>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Swensen</w:t>
            </w:r>
            <w:proofErr w:type="spellEnd"/>
            <w:r w:rsidRPr="00D02987">
              <w:rPr>
                <w:rFonts w:ascii="Mongolian Baiti" w:hAnsi="Mongolian Baiti" w:cs="Mongolian Baiti"/>
                <w:sz w:val="18"/>
                <w:szCs w:val="18"/>
                <w:lang w:val="en-GB"/>
              </w:rPr>
              <w:t xml:space="preserve"> et al.: 0.752</w:t>
            </w:r>
          </w:p>
        </w:tc>
        <w:tc>
          <w:tcPr>
            <w:tcW w:w="1985" w:type="dxa"/>
            <w:vMerge/>
          </w:tcPr>
          <w:p w:rsidR="00094576" w:rsidRPr="00D02987" w:rsidRDefault="00094576" w:rsidP="005A57E2">
            <w:pPr>
              <w:rPr>
                <w:rFonts w:ascii="Mongolian Baiti" w:hAnsi="Mongolian Baiti" w:cs="Mongolian Baiti"/>
                <w:sz w:val="18"/>
                <w:szCs w:val="18"/>
                <w:lang w:val="en-GB"/>
              </w:rPr>
            </w:pPr>
          </w:p>
        </w:tc>
      </w:tr>
      <w:tr w:rsidR="00094576" w:rsidRPr="008110F3" w:rsidTr="005A57E2">
        <w:trPr>
          <w:trHeight w:val="250"/>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0.730</w:t>
            </w:r>
          </w:p>
        </w:tc>
        <w:tc>
          <w:tcPr>
            <w:tcW w:w="1985" w:type="dxa"/>
            <w:vMerge/>
          </w:tcPr>
          <w:p w:rsidR="00094576" w:rsidRPr="00D02987" w:rsidRDefault="00094576" w:rsidP="005A57E2">
            <w:pPr>
              <w:rPr>
                <w:rFonts w:ascii="Mongolian Baiti" w:hAnsi="Mongolian Baiti" w:cs="Mongolian Baiti"/>
                <w:sz w:val="18"/>
                <w:szCs w:val="18"/>
                <w:lang w:val="en-GB"/>
              </w:rPr>
            </w:pPr>
          </w:p>
        </w:tc>
      </w:tr>
      <w:tr w:rsidR="00094576" w:rsidRPr="008110F3" w:rsidTr="005A57E2">
        <w:trPr>
          <w:trHeight w:val="188"/>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0.833</w:t>
            </w:r>
          </w:p>
        </w:tc>
        <w:tc>
          <w:tcPr>
            <w:tcW w:w="1985" w:type="dxa"/>
            <w:vMerge/>
          </w:tcPr>
          <w:p w:rsidR="00094576" w:rsidRPr="00D02987" w:rsidRDefault="00094576" w:rsidP="005A57E2">
            <w:pPr>
              <w:rPr>
                <w:rFonts w:ascii="Mongolian Baiti" w:hAnsi="Mongolian Baiti" w:cs="Mongolian Baiti"/>
                <w:sz w:val="18"/>
                <w:szCs w:val="18"/>
                <w:lang w:val="en-GB"/>
              </w:rPr>
            </w:pPr>
          </w:p>
        </w:tc>
      </w:tr>
      <w:tr w:rsidR="00094576" w:rsidRPr="00D02987" w:rsidTr="005A57E2">
        <w:trPr>
          <w:trHeight w:val="210"/>
        </w:trPr>
        <w:tc>
          <w:tcPr>
            <w:tcW w:w="1980"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Li et al. </w:t>
            </w:r>
          </w:p>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(2012)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{"citationItems":[{"id":"ITEM-1","itemData":{"DOI":"10.1007/s00268-012-1449-8","ISSN":"03642313","abstract":"Background: The goal of the present study was to differentiate between benign and malignant solitary pulmonary nodules (SPN) by developing a mathematical prediction model. Methods: Records from 371 patients (197 male, 174 female) with SPN between January 2000 and September 2009 were reviewed (group A). Clinical data were collected to estimate the independent predictors of malignancy of SPN with multivariate logistic regression analysis. A clinical prediction model was subsequently developed. Between October 2009 and May 2011, data from an additional 145 patients with SPN were used to validate this new clinical prediction model (group B). The same data were also estimated with two previously published models for comparison with our new model. Results: The median patient age was 57.1 years in group A; 54% of the nodules were malignant and 46% were benign. Logistic regression analysis identified six clinical characteristics (age, diameter, border, calcification, spiculation, and family history of tumor) as independent predictors of malignancy in patients with SPN. The area under the receiver operator characteristic (ROC) curve for our model (0.874 ± 0.028) was higher than those generated using the other two reported models. In our model, sensitivity = 94.5%, specificity = 70.0%, positive predictive value = 87.8%, and negative predictive value = 84.8%). Conclusions: Age, diameter, border, calcification, spiculation, and family history of tumor were independent predictors of malignancy in patients with SPN. Our prediction model was sufficient to estimate malignancy in patients with SPN and proved to be more accurate than the two existing models. © Société Internationale de Chirurgie 2012.","author":[{"dropping-particle":"","family":"Li","given":"Yun","non-dropping-particle":"","parse-names":false,"suffix":""},{"dropping-particle":"","family":"Wang","given":"Jun","non-dropping-particle":"","parse-names":false,"suffix":""}],"container-title":"World Journal of Surgery","id":"ITEM-1","issue":"4","issued":{"date-parts":[["2012"]]},"page":"830-835","title":"A mathematical model for predicting malignancy of solitary pulmonary nodules","type":"article-journal","volume":"36"},"uris":["http://www.mendeley.com/documents/?uuid=6325fd04-5165-4daf-98dc-403701ff12b1"]}],"mendeley":{"formattedCitation":"(19)","plainTextFormattedCitation":"(19)","previouslyFormattedCitation":"&lt;sup&gt;19&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(19)</w:t>
            </w:r>
            <w:r w:rsidRPr="00D02987">
              <w:rPr>
                <w:rFonts w:ascii="Mongolian Baiti" w:hAnsi="Mongolian Baiti" w:cs="Mongolian Baiti"/>
                <w:sz w:val="18"/>
                <w:szCs w:val="18"/>
                <w:lang w:val="en-GB"/>
              </w:rPr>
              <w:fldChar w:fldCharType="end"/>
            </w:r>
          </w:p>
          <w:p w:rsidR="00094576" w:rsidRPr="00D02987" w:rsidRDefault="00094576" w:rsidP="005A57E2">
            <w:pPr>
              <w:rPr>
                <w:rFonts w:ascii="Mongolian Baiti" w:hAnsi="Mongolian Baiti" w:cs="Mongolian Baiti"/>
                <w:sz w:val="18"/>
                <w:szCs w:val="18"/>
                <w:lang w:val="en-GB"/>
              </w:rPr>
            </w:pPr>
          </w:p>
        </w:tc>
        <w:tc>
          <w:tcPr>
            <w:tcW w:w="1984"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3</w:t>
            </w:r>
          </w:p>
        </w:tc>
        <w:tc>
          <w:tcPr>
            <w:tcW w:w="2410"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145</w:t>
            </w: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Li et al.: 0.874</w:t>
            </w:r>
          </w:p>
        </w:tc>
        <w:tc>
          <w:tcPr>
            <w:tcW w:w="1985" w:type="dxa"/>
            <w:vMerge w:val="restart"/>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094576" w:rsidRPr="00D02987" w:rsidTr="005A57E2">
        <w:trPr>
          <w:trHeight w:val="210"/>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Swensen</w:t>
            </w:r>
            <w:proofErr w:type="spellEnd"/>
            <w:r w:rsidRPr="00D02987">
              <w:rPr>
                <w:rFonts w:ascii="Mongolian Baiti" w:hAnsi="Mongolian Baiti" w:cs="Mongolian Baiti"/>
                <w:sz w:val="18"/>
                <w:szCs w:val="18"/>
                <w:lang w:val="en-GB"/>
              </w:rPr>
              <w:t xml:space="preserve"> et al.:0.784</w:t>
            </w:r>
          </w:p>
        </w:tc>
        <w:tc>
          <w:tcPr>
            <w:tcW w:w="1985" w:type="dxa"/>
            <w:vMerge/>
          </w:tcPr>
          <w:p w:rsidR="00094576" w:rsidRPr="00D02987" w:rsidRDefault="00094576" w:rsidP="005A57E2">
            <w:pPr>
              <w:rPr>
                <w:rFonts w:ascii="Mongolian Baiti" w:hAnsi="Mongolian Baiti" w:cs="Mongolian Baiti"/>
                <w:sz w:val="18"/>
                <w:szCs w:val="18"/>
                <w:lang w:val="en-GB"/>
              </w:rPr>
            </w:pPr>
          </w:p>
        </w:tc>
      </w:tr>
      <w:tr w:rsidR="00094576" w:rsidRPr="00D02987" w:rsidTr="005A57E2">
        <w:trPr>
          <w:trHeight w:val="210"/>
        </w:trPr>
        <w:tc>
          <w:tcPr>
            <w:tcW w:w="1980" w:type="dxa"/>
            <w:vMerge/>
          </w:tcPr>
          <w:p w:rsidR="00094576" w:rsidRPr="00D02987" w:rsidRDefault="00094576" w:rsidP="005A57E2">
            <w:pPr>
              <w:rPr>
                <w:rFonts w:ascii="Mongolian Baiti" w:hAnsi="Mongolian Baiti" w:cs="Mongolian Baiti"/>
                <w:sz w:val="18"/>
                <w:szCs w:val="18"/>
                <w:lang w:val="en-GB"/>
              </w:rPr>
            </w:pPr>
          </w:p>
        </w:tc>
        <w:tc>
          <w:tcPr>
            <w:tcW w:w="1984" w:type="dxa"/>
            <w:vMerge/>
          </w:tcPr>
          <w:p w:rsidR="00094576" w:rsidRPr="00D02987" w:rsidRDefault="00094576" w:rsidP="005A57E2">
            <w:pPr>
              <w:rPr>
                <w:rFonts w:ascii="Mongolian Baiti" w:hAnsi="Mongolian Baiti" w:cs="Mongolian Baiti"/>
                <w:sz w:val="18"/>
                <w:szCs w:val="18"/>
                <w:lang w:val="en-GB"/>
              </w:rPr>
            </w:pPr>
          </w:p>
        </w:tc>
        <w:tc>
          <w:tcPr>
            <w:tcW w:w="2410" w:type="dxa"/>
            <w:vMerge/>
          </w:tcPr>
          <w:p w:rsidR="00094576" w:rsidRPr="00D02987" w:rsidRDefault="00094576" w:rsidP="005A57E2">
            <w:pPr>
              <w:rPr>
                <w:rFonts w:ascii="Mongolian Baiti" w:hAnsi="Mongolian Baiti" w:cs="Mongolian Baiti"/>
                <w:sz w:val="18"/>
                <w:szCs w:val="18"/>
                <w:lang w:val="en-GB"/>
              </w:rPr>
            </w:pPr>
          </w:p>
        </w:tc>
        <w:tc>
          <w:tcPr>
            <w:tcW w:w="2693"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 0.754</w:t>
            </w:r>
          </w:p>
        </w:tc>
        <w:tc>
          <w:tcPr>
            <w:tcW w:w="1985" w:type="dxa"/>
            <w:vMerge/>
          </w:tcPr>
          <w:p w:rsidR="00094576" w:rsidRPr="00D02987" w:rsidRDefault="00094576" w:rsidP="005A57E2">
            <w:pPr>
              <w:rPr>
                <w:rFonts w:ascii="Mongolian Baiti" w:hAnsi="Mongolian Baiti" w:cs="Mongolian Baiti"/>
                <w:sz w:val="18"/>
                <w:szCs w:val="18"/>
                <w:lang w:val="en-GB"/>
              </w:rPr>
            </w:pPr>
          </w:p>
        </w:tc>
      </w:tr>
    </w:tbl>
    <w:p w:rsidR="00094576" w:rsidRPr="00762026" w:rsidRDefault="00094576" w:rsidP="00094576">
      <w:pPr>
        <w:ind w:left="6372" w:firstLine="708"/>
        <w:jc w:val="center"/>
        <w:rPr>
          <w:rStyle w:val="Heading1Char"/>
          <w:rFonts w:ascii="Mongolian Baiti" w:hAnsi="Mongolian Baiti" w:cs="Mongolian Baiti"/>
          <w:sz w:val="18"/>
          <w:szCs w:val="18"/>
          <w:lang w:val="en-GB"/>
        </w:rPr>
      </w:pPr>
      <w:r>
        <w:rPr>
          <w:rStyle w:val="Heading1Char"/>
          <w:rFonts w:ascii="Mongolian Baiti" w:hAnsi="Mongolian Baiti" w:cs="Mongolian Baiti"/>
          <w:sz w:val="18"/>
          <w:szCs w:val="18"/>
          <w:lang w:val="en-GB"/>
        </w:rPr>
        <w:t>(Continued)</w:t>
      </w:r>
    </w:p>
    <w:p w:rsidR="00094576" w:rsidRPr="00A76800" w:rsidRDefault="00094576" w:rsidP="00094576">
      <w:pPr>
        <w:rPr>
          <w:rStyle w:val="Heading1Char"/>
          <w:rFonts w:ascii="Mongolian Baiti" w:hAnsi="Mongolian Baiti" w:cs="Mongolian Baiti"/>
          <w:sz w:val="18"/>
          <w:szCs w:val="18"/>
          <w:lang w:val="en-GB"/>
        </w:rPr>
      </w:pPr>
      <w:r w:rsidRPr="00A76800">
        <w:rPr>
          <w:rStyle w:val="Heading1Char"/>
          <w:rFonts w:ascii="Mongolian Baiti" w:hAnsi="Mongolian Baiti" w:cs="Mongolian Baiti"/>
          <w:b/>
          <w:bCs/>
          <w:sz w:val="18"/>
          <w:szCs w:val="18"/>
          <w:lang w:val="en-GB"/>
        </w:rPr>
        <w:t xml:space="preserve">Appendix A </w:t>
      </w:r>
      <w:r w:rsidRPr="00A76800">
        <w:rPr>
          <w:rStyle w:val="Heading1Char"/>
          <w:rFonts w:ascii="Mongolian Baiti" w:hAnsi="Mongolian Baiti" w:cs="Mongolian Baiti"/>
          <w:sz w:val="18"/>
          <w:szCs w:val="18"/>
          <w:lang w:val="en-GB"/>
        </w:rPr>
        <w:t>(</w:t>
      </w:r>
      <w:r w:rsidRPr="00F837E7">
        <w:rPr>
          <w:rStyle w:val="Heading1Char"/>
          <w:rFonts w:ascii="Mongolian Baiti" w:hAnsi="Mongolian Baiti" w:cs="Mongolian Baiti"/>
          <w:i/>
          <w:iCs/>
          <w:sz w:val="18"/>
          <w:szCs w:val="18"/>
          <w:lang w:val="en-GB"/>
        </w:rPr>
        <w:t>Continued</w:t>
      </w:r>
      <w:r w:rsidRPr="00A76800">
        <w:rPr>
          <w:rStyle w:val="Heading1Char"/>
          <w:rFonts w:ascii="Mongolian Baiti" w:hAnsi="Mongolian Baiti" w:cs="Mongolian Baiti"/>
          <w:sz w:val="18"/>
          <w:szCs w:val="18"/>
          <w:lang w:val="en-GB"/>
        </w:rPr>
        <w: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410"/>
        <w:gridCol w:w="2693"/>
        <w:gridCol w:w="1985"/>
      </w:tblGrid>
      <w:tr w:rsidR="00094576" w:rsidRPr="00D02987" w:rsidTr="005A57E2">
        <w:trPr>
          <w:trHeight w:val="1177"/>
        </w:trPr>
        <w:tc>
          <w:tcPr>
            <w:tcW w:w="1980"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r w:rsidRPr="00D02987">
              <w:rPr>
                <w:rFonts w:ascii="Mongolian Baiti" w:hAnsi="Mongolian Baiti" w:cs="Mongolian Baiti"/>
                <w:b/>
                <w:bCs/>
                <w:sz w:val="18"/>
                <w:szCs w:val="18"/>
                <w:lang w:val="en-GB"/>
              </w:rPr>
              <w:t>Authors of the model</w:t>
            </w:r>
          </w:p>
          <w:p w:rsidR="00094576" w:rsidRPr="00D02987" w:rsidRDefault="00094576" w:rsidP="005A57E2">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(year)</w:t>
            </w:r>
          </w:p>
        </w:tc>
        <w:tc>
          <w:tcPr>
            <w:tcW w:w="1984" w:type="dxa"/>
            <w:tcBorders>
              <w:top w:val="single" w:sz="4" w:space="0" w:color="auto"/>
              <w:bottom w:val="single" w:sz="4" w:space="0" w:color="auto"/>
            </w:tcBorders>
            <w:vAlign w:val="bottom"/>
          </w:tcPr>
          <w:p w:rsidR="00094576" w:rsidRPr="00D02987" w:rsidRDefault="00094576" w:rsidP="005A57E2">
            <w:pPr>
              <w:jc w:val="center"/>
              <w:rPr>
                <w:rFonts w:ascii="Mongolian Baiti" w:hAnsi="Mongolian Baiti" w:cs="Mongolian Baiti"/>
                <w:b/>
                <w:bCs/>
                <w:sz w:val="18"/>
                <w:szCs w:val="18"/>
                <w:vertAlign w:val="superscript"/>
                <w:lang w:val="en-GB"/>
              </w:rPr>
            </w:pPr>
            <w:r w:rsidRPr="00D02987">
              <w:rPr>
                <w:rFonts w:ascii="Mongolian Baiti" w:hAnsi="Mongolian Baiti" w:cs="Mongolian Baiti"/>
                <w:b/>
                <w:bCs/>
                <w:sz w:val="18"/>
                <w:szCs w:val="18"/>
                <w:lang w:val="en-GB"/>
              </w:rPr>
              <w:t>Types of prediction models by TRIPOD statement</w:t>
            </w:r>
            <w:r w:rsidRPr="00D02987">
              <w:rPr>
                <w:rFonts w:ascii="Mongolian Baiti" w:hAnsi="Mongolian Baiti" w:cs="Mongolian Baiti"/>
                <w:b/>
                <w:bCs/>
                <w:sz w:val="18"/>
                <w:szCs w:val="18"/>
                <w:vertAlign w:val="superscript"/>
                <w:lang w:val="en-GB"/>
              </w:rPr>
              <w:t>1</w:t>
            </w:r>
          </w:p>
          <w:p w:rsidR="00094576" w:rsidRPr="00D02987" w:rsidRDefault="00094576" w:rsidP="005A57E2">
            <w:pPr>
              <w:jc w:val="center"/>
              <w:rPr>
                <w:rFonts w:ascii="Mongolian Baiti" w:hAnsi="Mongolian Baiti" w:cs="Mongolian Baiti"/>
                <w:b/>
                <w:bCs/>
                <w:sz w:val="18"/>
                <w:szCs w:val="18"/>
                <w:lang w:val="en-GB"/>
              </w:rPr>
            </w:pPr>
          </w:p>
        </w:tc>
        <w:tc>
          <w:tcPr>
            <w:tcW w:w="2410"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lang w:val="en-GB"/>
              </w:rPr>
            </w:pPr>
            <w:r w:rsidRPr="00D02987">
              <w:rPr>
                <w:rFonts w:ascii="Mongolian Baiti" w:hAnsi="Mongolian Baiti" w:cs="Mongolian Baiti"/>
                <w:b/>
                <w:bCs/>
                <w:sz w:val="18"/>
                <w:szCs w:val="18"/>
                <w:lang w:val="en-GB"/>
              </w:rPr>
              <w:t>Validation sample size</w:t>
            </w:r>
          </w:p>
        </w:tc>
        <w:tc>
          <w:tcPr>
            <w:tcW w:w="2693"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AUC</w:t>
            </w:r>
            <w:r w:rsidRPr="00D02987">
              <w:rPr>
                <w:rFonts w:ascii="Mongolian Baiti" w:hAnsi="Mongolian Baiti" w:cs="Mongolian Baiti"/>
                <w:b/>
                <w:bCs/>
                <w:sz w:val="18"/>
                <w:szCs w:val="18"/>
                <w:vertAlign w:val="superscript"/>
                <w:lang w:val="en-GB"/>
              </w:rPr>
              <w:t>2</w:t>
            </w:r>
          </w:p>
        </w:tc>
        <w:tc>
          <w:tcPr>
            <w:tcW w:w="1985" w:type="dxa"/>
            <w:tcBorders>
              <w:top w:val="single" w:sz="4" w:space="0" w:color="auto"/>
              <w:bottom w:val="single" w:sz="4" w:space="0" w:color="auto"/>
            </w:tcBorders>
          </w:tcPr>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b/>
                <w:bCs/>
                <w:sz w:val="18"/>
                <w:szCs w:val="18"/>
                <w:lang w:val="en-GB"/>
              </w:rPr>
            </w:pPr>
          </w:p>
          <w:p w:rsidR="00094576" w:rsidRPr="00D02987" w:rsidRDefault="00094576" w:rsidP="005A57E2">
            <w:pPr>
              <w:jc w:val="center"/>
              <w:rPr>
                <w:rFonts w:ascii="Mongolian Baiti" w:hAnsi="Mongolian Baiti" w:cs="Mongolian Baiti"/>
                <w:sz w:val="18"/>
                <w:szCs w:val="18"/>
                <w:vertAlign w:val="superscript"/>
                <w:lang w:val="en-GB"/>
              </w:rPr>
            </w:pPr>
            <w:r w:rsidRPr="00D02987">
              <w:rPr>
                <w:rFonts w:ascii="Mongolian Baiti" w:hAnsi="Mongolian Baiti" w:cs="Mongolian Baiti"/>
                <w:b/>
                <w:bCs/>
                <w:sz w:val="18"/>
                <w:szCs w:val="18"/>
                <w:lang w:val="en-GB"/>
              </w:rPr>
              <w:t>Calibration</w:t>
            </w:r>
            <w:r w:rsidRPr="00D02987">
              <w:rPr>
                <w:rFonts w:ascii="Mongolian Baiti" w:hAnsi="Mongolian Baiti" w:cs="Mongolian Baiti"/>
                <w:b/>
                <w:bCs/>
                <w:sz w:val="18"/>
                <w:szCs w:val="18"/>
                <w:vertAlign w:val="superscript"/>
                <w:lang w:val="en-GB"/>
              </w:rPr>
              <w:t>3</w:t>
            </w:r>
          </w:p>
        </w:tc>
      </w:tr>
      <w:tr w:rsidR="00094576" w:rsidRPr="00675279" w:rsidTr="005A57E2">
        <w:trPr>
          <w:trHeight w:val="545"/>
        </w:trPr>
        <w:tc>
          <w:tcPr>
            <w:tcW w:w="1980" w:type="dxa"/>
            <w:tcBorders>
              <w:top w:val="single" w:sz="4" w:space="0" w:color="auto"/>
            </w:tcBorders>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Dong et al.</w:t>
            </w:r>
          </w:p>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(2013)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{"citationItems":[{"id":"ITEM-1","itemData":{"DOI":"10.1111/1759-7714.12077","ISSN":"17597714","abstract":"Background: It is critical to develop a non-invasive and accurate method for differentiating between malignant and benign solitary pulmonary nodules. In large sample studies, the effectiveness of the diagnostic prediction model as a tool of assessment of the probability of malignancy is still unclear. The establishment of a diagnostic model based on large samples is needed. Methods: In this study, 3358 patients diagnosed with a solitary pulmonary nodule between January 2005 and March 2013, were enrolled. All patients received surgery for pulmonary nodule resection. Clinical characters, preoperative biomarker results, and computed tomography scan findings were collected. All patients were randomly separated into a training set (n = 1679) and a test set (n = 1679); we used training sets to build a diagnostic model for the malignancy probability of pulmonary nodules, and applied the test set to validate our model, as well as other published diagnostic models. Result: Logistic regression analysis identified 11 clinical characteristics as independent predictors of malignancy in patients with a solitary pulmonary nodule. The goodness-of-fit statistic for the model indicated that the observed proportion of malignancies did not differ from the predicted proportion (P = 0.571). The area under the curves of the receiver operator characteristic curve for our model in the training set was 0.935. Conclusion: As the accuracy of the model was high, we suggest that the diagnostic model can be used as a tool to help guiding clinical decisions, when the clinician cannot make a definitive diagnosis of a solitary pulmonary nodule. © 2013 Tianjin Lung Cancer Institute and Wiley Publishing Asia Pty Ltd.","author":[{"dropping-particle":"","family":"Dong","given":"Jingsi","non-dropping-particle":"","parse-names":false,"suffix":""},{"dropping-particle":"","family":"Sun","given":"Nan","non-dropping-particle":"","parse-names":false,"suffix":""},{"dropping-particle":"","family":"Li","given":"Jiagen","non-dropping-particle":"","parse-names":false,"suffix":""},{"dropping-particle":"","family":"Liu","given":"Ziyuan","non-dropping-particle":"","parse-names":false,"suffix":""},{"dropping-particle":"","family":"Zhang","given":"Baihua","non-dropping-particle":"","parse-names":false,"suffix":""},{"dropping-particle":"","family":"Chen","given":"Zhaoli","non-dropping-particle":"","parse-names":false,"suffix":""},{"dropping-particle":"","family":"Gao","given":"Yibo","non-dropping-particle":"","parse-names":false,"suffix":""},{"dropping-particle":"","family":"Zhou","given":"Fang","non-dropping-particle":"","parse-names":false,"suffix":""},{"dropping-particle":"","family":"He","given":"Jie","non-dropping-particle":"","parse-names":false,"suffix":""}],"container-title":"Thoracic Cancer","id":"ITEM-1","issue":"2","issued":{"date-parts":[["2014"]]},"page":"162-168","title":"Development and validation of clinical diagnostic models for the probability of malignancy in solitary pulmonary nodules","type":"article-journal","volume":"5"},"uris":["http://www.mendeley.com/documents/?uuid=ac41fa84-a3e7-42f0-a965-37b22f0c438d"]}],"mendeley":{"formattedCitation":"(15)","plainTextFormattedCitation":"(15)","previouslyFormattedCitation":"&lt;sup&gt;15&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(15)</w:t>
            </w:r>
            <w:r w:rsidRPr="00D02987">
              <w:rPr>
                <w:rFonts w:ascii="Mongolian Baiti" w:hAnsi="Mongolian Baiti" w:cs="Mongolian Baiti"/>
                <w:sz w:val="18"/>
                <w:szCs w:val="18"/>
                <w:lang w:val="en-GB"/>
              </w:rPr>
              <w:fldChar w:fldCharType="end"/>
            </w:r>
          </w:p>
        </w:tc>
        <w:tc>
          <w:tcPr>
            <w:tcW w:w="1984" w:type="dxa"/>
            <w:tcBorders>
              <w:top w:val="single" w:sz="4" w:space="0" w:color="auto"/>
            </w:tcBorders>
          </w:tcPr>
          <w:p w:rsidR="00094576"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2a</w:t>
            </w:r>
          </w:p>
        </w:tc>
        <w:tc>
          <w:tcPr>
            <w:tcW w:w="2410" w:type="dxa"/>
            <w:tcBorders>
              <w:top w:val="single" w:sz="4" w:space="0" w:color="auto"/>
            </w:tcBorders>
          </w:tcPr>
          <w:p w:rsidR="00094576"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2693" w:type="dxa"/>
            <w:tcBorders>
              <w:top w:val="single" w:sz="4" w:space="0" w:color="auto"/>
            </w:tcBorders>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c>
          <w:tcPr>
            <w:tcW w:w="1985" w:type="dxa"/>
            <w:tcBorders>
              <w:top w:val="single" w:sz="4" w:space="0" w:color="auto"/>
            </w:tcBorders>
          </w:tcPr>
          <w:p w:rsidR="00094576"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w:t>
            </w:r>
          </w:p>
        </w:tc>
      </w:tr>
      <w:tr w:rsidR="00094576" w:rsidRPr="00675279" w:rsidTr="005A57E2">
        <w:trPr>
          <w:trHeight w:val="545"/>
        </w:trPr>
        <w:tc>
          <w:tcPr>
            <w:tcW w:w="1980" w:type="dxa"/>
          </w:tcPr>
          <w:p w:rsidR="00094576" w:rsidRPr="00D02987" w:rsidRDefault="00094576" w:rsidP="005A57E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Yonemori</w:t>
            </w:r>
            <w:proofErr w:type="spellEnd"/>
            <w:r w:rsidRPr="00D02987">
              <w:rPr>
                <w:rFonts w:ascii="Mongolian Baiti" w:hAnsi="Mongolian Baiti" w:cs="Mongolian Baiti"/>
                <w:sz w:val="18"/>
                <w:szCs w:val="18"/>
                <w:lang w:val="en-GB"/>
              </w:rPr>
              <w:t xml:space="preserve"> et al. </w:t>
            </w:r>
          </w:p>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{"citationItems":[{"id":"ITEM-1","itemData":{"DOI":"10.1111/j.1440-1843.2007.01158.x","ISSN":"13237799","abstract":"Background and objective: The aim of this study was to develop a simple prediction model for the underlying diagnosis of solitary pulmonary nodules (SPN) based on clinical characteristics and thin-section CT findings. Methods: Retrospective analysis was carried out on 452 patients with SPN (113 benign and 339 malignant) smaller than 30 mm, who underwent thin-section CT followed by surgical resection and histological diagnosis. The clinical characteristics were collected from medical records, and radiographic characteristics from thin-section CT findings. The prediction model was determined using multivariate logistic analysis. The prediction model was validated in 148 consecutive patients with undiagnosed SPN, and the diagnostic accuracy of the model was compared with that of an experienced chest radiologist. Results: The prediction model comprised the level of serum CRP, the level of carcinoembryonic antigen, the presence or absence of calcification, spiculation and CT bronchus sign. The areas under the receiver-operating characteristic curve in training and validation sets were 0.966 and 0.840, respectively. The diagnostic accuracies of the prediction model and the experienced chest radiologist for the validation set were 0.858 and 0.905, respectively. Conclusion: The simple prediction model consisted of two biochemical and three radiographic characteristics. The diagnostic accuracy of an experienced chest radiologist was higher compared with the prediction model. © 2007 The Authors.","author":[{"dropping-particle":"","family":"Yonemori","given":"Kan","non-dropping-particle":"","parse-names":false,"suffix":""},{"dropping-particle":"","family":"Tateishi","given":"Ukihide","non-dropping-particle":"","parse-names":false,"suffix":""},{"dropping-particle":"","family":"Uno","given":"Hajime","non-dropping-particle":"","parse-names":false,"suffix":""},{"dropping-particle":"","family":"Yonemori","given":"Yoko","non-dropping-particle":"","parse-names":false,"suffix":""},{"dropping-particle":"","family":"Tsuta","given":"Koji","non-dropping-particle":"","parse-names":false,"suffix":""},{"dropping-particle":"","family":"Takeuchi","given":"Masahiro","non-dropping-particle":"","parse-names":false,"suffix":""},{"dropping-particle":"","family":"Matsuno","given":"Yoshihiro","non-dropping-particle":"","parse-names":false,"suffix":""},{"dropping-particle":"","family":"Fujiwara","given":"Yasuhiro","non-dropping-particle":"","parse-names":false,"suffix":""},{"dropping-particle":"","family":"Asamura","given":"Hisao","non-dropping-particle":"","parse-names":false,"suffix":""},{"dropping-particle":"","family":"Kusumoto","given":"Masahiko","non-dropping-particle":"","parse-names":false,"suffix":""}],"container-title":"Respirology","id":"ITEM-1","issue":"6","issued":{"date-parts":[["2007"]]},"page":"856-862","title":"Development and validation of diagnostic prediction model for solitary pulmonary nodules","type":"article-journal","volume":"12"},"uris":["http://www.mendeley.com/documents/?uuid=748be2ff-267b-46f7-9d40-e930ea892857"]}],"mendeley":{"formattedCitation":"(18)","plainTextFormattedCitation":"(18)","previouslyFormattedCitation":"&lt;sup&gt;18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(18)</w:t>
            </w:r>
            <w:r w:rsidRPr="00D02987">
              <w:rPr>
                <w:rFonts w:ascii="Mongolian Baiti" w:hAnsi="Mongolian Baiti" w:cs="Mongolian Baiti"/>
                <w:sz w:val="18"/>
                <w:szCs w:val="18"/>
                <w:lang w:val="en-GB"/>
              </w:rPr>
              <w:fldChar w:fldCharType="end"/>
            </w:r>
          </w:p>
        </w:tc>
        <w:tc>
          <w:tcPr>
            <w:tcW w:w="1984"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3</w:t>
            </w:r>
          </w:p>
        </w:tc>
        <w:tc>
          <w:tcPr>
            <w:tcW w:w="2410"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148</w:t>
            </w:r>
          </w:p>
        </w:tc>
        <w:tc>
          <w:tcPr>
            <w:tcW w:w="2693" w:type="dxa"/>
          </w:tcPr>
          <w:p w:rsidR="00094576" w:rsidRDefault="00094576" w:rsidP="005A57E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Yonemori</w:t>
            </w:r>
            <w:proofErr w:type="spellEnd"/>
            <w:r w:rsidRPr="00D02987">
              <w:rPr>
                <w:rFonts w:ascii="Mongolian Baiti" w:hAnsi="Mongolian Baiti" w:cs="Mongolian Baiti"/>
                <w:sz w:val="18"/>
                <w:szCs w:val="18"/>
                <w:lang w:val="en-GB"/>
              </w:rPr>
              <w:t xml:space="preserve"> et al.:0.840</w:t>
            </w:r>
          </w:p>
        </w:tc>
        <w:tc>
          <w:tcPr>
            <w:tcW w:w="1985"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094576" w:rsidRPr="00675279" w:rsidTr="005A57E2">
        <w:trPr>
          <w:trHeight w:val="545"/>
        </w:trPr>
        <w:tc>
          <w:tcPr>
            <w:tcW w:w="1980" w:type="dxa"/>
          </w:tcPr>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Gould et al.</w:t>
            </w:r>
          </w:p>
          <w:p w:rsidR="00094576" w:rsidRPr="00D02987" w:rsidRDefault="00094576" w:rsidP="005A57E2">
            <w:pPr>
              <w:rPr>
                <w:rFonts w:ascii="Mongolian Baiti" w:hAnsi="Mongolian Baiti" w:cs="Mongolian Baiti"/>
                <w:sz w:val="18"/>
                <w:szCs w:val="18"/>
                <w:lang w:val="en-GB"/>
              </w:rPr>
            </w:pPr>
            <w:r w:rsidRPr="00D02987">
              <w:rPr>
                <w:rFonts w:ascii="Mongolian Baiti" w:hAnsi="Mongolian Baiti" w:cs="Mongolian Baiti"/>
                <w:sz w:val="18"/>
                <w:szCs w:val="18"/>
                <w:lang w:val="en-GB"/>
              </w:rPr>
              <w:t xml:space="preserve"> (2007)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{"citationItems":[{"id":"ITEM-1","itemData":{"DOI":"10.1378/chest.06-1261","ISSN":"00123692","PMID":"17296637","abstract":"Background: Estimating the clinical probability of malignancy in patients with a solitary pulmonary nodule (SPN) can facilitate the selection and interpretation of subsequent diagnostic tests. Methods: We used multiple logistic regression analysis to identify independent clinical predictors of malignancy and to develop a parsimonious clinical prediction model to estimate the pretest probability of malignancy in a geographically diverse sample of 375 veterans with SPNs. We used data from Department of Veterans Affairs (VA) administrative databases and a recently completed VA Cooperative Study that evaluated the accuracy of positron emission tomography (PET) scans for the diagnosis of SPNs. Results: The mean (± SD) age of subjects in the sample was 65.9 ± 10.7 years. The prevalence of malignant SPNs was 54%. Most participants were either current smokers (n = 177) or former smokers (n = 177). Independent predictors of malignant SPNs included a positive smoking history (odds ratio [OR], 7.9; 95% confidence interval [CI], 2.6 to 23.6), older age (OR, 2.2 per 10-year increment; 95% CI, 1.7 to 2.8), larger nodule diameter (OR, 1.1 per 1-mm increment; 95% CI, 1.1 to 1.2), and time since quitting smoking (OR, 0.6 per 10-year increment; 95% CI, 0.5 to 0.7). Model accuracy was very good (area under the curve of the receiver operating characteristic, 0.79; 95% CI, 0.74 to 0.84), and there was excellent agreement between the predicted probability and the observed frequency of malignant SPNs. Conclusions: Our prediction rule can be used to estimate the pretest probability of malignancy in patients with SPNs, and thereby facilitate clinical decision making when selecting and interpreting the results of diagnostic tests such as PET imaging.","author":[{"dropping-particle":"","family":"Gould","given":"Michael K.","non-dropping-particle":"","parse-names":false,"suffix":""},{"dropping-particle":"","family":"Ananth","given":"Lakshmi","non-dropping-particle":"","parse-names":false,"suffix":""},{"dropping-particle":"","family":"Barnett","given":"Paul G.","non-dropping-particle":"","parse-names":false,"suffix":""}],"container-title":"Chest","id":"ITEM-1","issue":"2","issued":{"date-parts":[["2007"]]},"page":"383-388","publisher":"The American College of Chest Physicians","title":"A clinical model to estimate the pretest probability of lung cancer in patients with solitary pulmonary nodules","type":"article-journal","volume":"131"},"uris":["http://www.mendeley.com/documents/?uuid=ae7a1a2d-2638-41ec-8615-d4232d184815"]}],"mendeley":{"formattedCitation":"(27)","plainTextFormattedCitation":"(27)","previouslyFormattedCitation":"&lt;sup&gt;28&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(27)</w:t>
            </w:r>
            <w:r w:rsidRPr="00D02987">
              <w:rPr>
                <w:rFonts w:ascii="Mongolian Baiti" w:hAnsi="Mongolian Baiti" w:cs="Mongolian Baiti"/>
                <w:sz w:val="18"/>
                <w:szCs w:val="18"/>
                <w:lang w:val="en-GB"/>
              </w:rPr>
              <w:fldChar w:fldCharType="end"/>
            </w:r>
          </w:p>
        </w:tc>
        <w:tc>
          <w:tcPr>
            <w:tcW w:w="1984"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1b</w:t>
            </w:r>
          </w:p>
        </w:tc>
        <w:tc>
          <w:tcPr>
            <w:tcW w:w="2410"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Pr>
          <w:p w:rsidR="00094576"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r>
      <w:tr w:rsidR="00094576" w:rsidRPr="00675279" w:rsidTr="005A57E2">
        <w:trPr>
          <w:trHeight w:val="545"/>
        </w:trPr>
        <w:tc>
          <w:tcPr>
            <w:tcW w:w="1980" w:type="dxa"/>
            <w:tcBorders>
              <w:bottom w:val="single" w:sz="4" w:space="0" w:color="auto"/>
            </w:tcBorders>
          </w:tcPr>
          <w:p w:rsidR="00094576" w:rsidRPr="00D02987" w:rsidRDefault="00094576" w:rsidP="005A57E2">
            <w:pPr>
              <w:rPr>
                <w:rFonts w:ascii="Mongolian Baiti" w:hAnsi="Mongolian Baiti" w:cs="Mongolian Baiti"/>
                <w:sz w:val="18"/>
                <w:szCs w:val="18"/>
                <w:lang w:val="en-GB"/>
              </w:rPr>
            </w:pPr>
            <w:proofErr w:type="spellStart"/>
            <w:r w:rsidRPr="00D02987">
              <w:rPr>
                <w:rFonts w:ascii="Mongolian Baiti" w:hAnsi="Mongolian Baiti" w:cs="Mongolian Baiti"/>
                <w:sz w:val="18"/>
                <w:szCs w:val="18"/>
                <w:lang w:val="en-GB"/>
              </w:rPr>
              <w:t>Swensen</w:t>
            </w:r>
            <w:proofErr w:type="spellEnd"/>
            <w:r w:rsidRPr="00D02987">
              <w:rPr>
                <w:rFonts w:ascii="Mongolian Baiti" w:hAnsi="Mongolian Baiti" w:cs="Mongolian Baiti"/>
                <w:sz w:val="18"/>
                <w:szCs w:val="18"/>
                <w:lang w:val="en-GB"/>
              </w:rPr>
              <w:t xml:space="preserve"> et al.</w:t>
            </w:r>
          </w:p>
          <w:p w:rsidR="00094576" w:rsidRPr="007B23C2" w:rsidRDefault="00094576" w:rsidP="005A57E2">
            <w:pPr>
              <w:rPr>
                <w:rFonts w:ascii="Mongolian Baiti" w:hAnsi="Mongolian Baiti" w:cs="Mongolian Baiti"/>
                <w:sz w:val="18"/>
                <w:szCs w:val="18"/>
              </w:rPr>
            </w:pPr>
            <w:r w:rsidRPr="00D02987">
              <w:rPr>
                <w:rFonts w:ascii="Mongolian Baiti" w:hAnsi="Mongolian Baiti" w:cs="Mongolian Baiti"/>
                <w:sz w:val="18"/>
                <w:szCs w:val="18"/>
                <w:lang w:val="en-GB"/>
              </w:rPr>
              <w:t xml:space="preserve">(1997) </w:t>
            </w:r>
            <w:r w:rsidRPr="00D02987">
              <w:rPr>
                <w:rFonts w:ascii="Mongolian Baiti" w:hAnsi="Mongolian Baiti" w:cs="Mongolian Baiti"/>
                <w:sz w:val="18"/>
                <w:szCs w:val="18"/>
                <w:lang w:val="en-GB"/>
              </w:rPr>
              <w:fldChar w:fldCharType="begin" w:fldLock="1"/>
            </w:r>
            <w:r>
              <w:rPr>
                <w:rFonts w:ascii="Mongolian Baiti" w:hAnsi="Mongolian Baiti" w:cs="Mongolian Baiti"/>
                <w:sz w:val="18"/>
                <w:szCs w:val="18"/>
                <w:lang w:val="en-GB"/>
              </w:rPr>
              <w:instrText>ADDIN CSL_CITATION {"citationItems":[{"id":"ITEM-1","itemData":{"DOI":"10.1001/archinte.1997.00440290031002","ISSN":"0003-9926","abstract":"Background: A clinical prediction model to identify ma- lignant nodules based on clinical data and radiological included the diameter, location, edge characteristics or obstructive lung disease; chest radiological data characteristics of lung nodules was derived using logis- and tested on data from a tic regression from a random sample of patients (n=419) (eg, lobulation, spiculation, and shagginess), and separate group of patients dictors were other characteristics (eg, cavitation) of the SPNs. Pre- (n=210). thirds of the patients and tested in the remaining one identified in a random sample of two third. Objective: To use multivariate logistic regression to es- determinate solitary pulmonary nodules (SPNs) in a clini- timate the probability of malignancy in radiologically in- Results: Sixty-five percent ofthe nodules were 23% were malignant, and 12% were indeterminate. benign, between 4 and 30 mm in diameter. cally relevant subset of patients with SPNs that measured status, and history of cancer Three clinical characteristics (age, cigarette-smoking Patients and Methods: A retrospective cohort and 3 radiological characteristics (diameter, spicula- [diagnosis, \\m=ge\\5years ago]) study at a patients (320 men, 309 women) with newly discov- multispecialty group practice included 629 pendent predictors of malignancy. The area tion, and upper lobe location of the SPNs) were inde- (\\m=+-\\SE)un- ered (between January 1, 1984, and May 1, 1986) 4- to der the evaluated receiver operating characteristic curve was 0.8328\\m=+-\\0.0226. radiography. Patients with a diagnosis of cancer 30-mm radiologically indeterminate SPNs on chest within 5 years prior to the discovery of the nodule were Conclusion: Three clinical and 3 radiographic charac- excluded. Clinical data included age, sex, cigarette\\x=req-\\ determinate SPNs. teristics predicted the malignancy in radiologically in- neoplasm, asbestos exposure, and chronic interstitial smoking status, and history of extrathoracic malignant","author":[{"dropping-particle":"","family":"Swensen","given":"Stephen J.","non-dropping-particle":"","parse-names":false,"suffix":""}],"container-title":"Archives of Internal Medicine","id":"ITEM-1","issue":"8","issued":{"date-parts":[["1997","4","28"]]},"page":"849","title":"The Probability of Malignancy in Solitary Pulmonary Nodules","type":"article-journal","volume":"157"},"uris":["http://www.mendeley.com/documents/?uuid=05b89d1c-6385-43fe-b69d-9948a1c0cd0e"]}],"mendeley":{"formattedCitation":"(17)","plainTextFormattedCitation":"(17)","previouslyFormattedCitation":"&lt;sup&gt;17&lt;/sup&gt;"},"properties":{"noteIndex":0},"schema":"https://github.com/citation-style-language/schema/raw/master/csl-citation.json"}</w:instrText>
            </w:r>
            <w:r w:rsidRPr="00D02987">
              <w:rPr>
                <w:rFonts w:ascii="Mongolian Baiti" w:hAnsi="Mongolian Baiti" w:cs="Mongolian Baiti"/>
                <w:sz w:val="18"/>
                <w:szCs w:val="18"/>
                <w:lang w:val="en-GB"/>
              </w:rPr>
              <w:fldChar w:fldCharType="separate"/>
            </w:r>
            <w:r w:rsidRPr="00A0798D">
              <w:rPr>
                <w:rFonts w:ascii="Mongolian Baiti" w:hAnsi="Mongolian Baiti" w:cs="Mongolian Baiti"/>
                <w:noProof/>
                <w:sz w:val="18"/>
                <w:szCs w:val="18"/>
                <w:lang w:val="en-GB"/>
              </w:rPr>
              <w:t>(17)</w:t>
            </w:r>
            <w:r w:rsidRPr="00D02987">
              <w:rPr>
                <w:rFonts w:ascii="Mongolian Baiti" w:hAnsi="Mongolian Baiti" w:cs="Mongolian Baiti"/>
                <w:sz w:val="18"/>
                <w:szCs w:val="18"/>
                <w:lang w:val="en-GB"/>
              </w:rPr>
              <w:fldChar w:fldCharType="end"/>
            </w:r>
          </w:p>
        </w:tc>
        <w:tc>
          <w:tcPr>
            <w:tcW w:w="1984" w:type="dxa"/>
            <w:tcBorders>
              <w:bottom w:val="single" w:sz="4" w:space="0" w:color="auto"/>
            </w:tcBorders>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2a</w:t>
            </w:r>
          </w:p>
        </w:tc>
        <w:tc>
          <w:tcPr>
            <w:tcW w:w="2410" w:type="dxa"/>
            <w:tcBorders>
              <w:bottom w:val="single" w:sz="4" w:space="0" w:color="auto"/>
            </w:tcBorders>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2693" w:type="dxa"/>
            <w:tcBorders>
              <w:bottom w:val="single" w:sz="4" w:space="0" w:color="auto"/>
            </w:tcBorders>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c>
          <w:tcPr>
            <w:tcW w:w="1985" w:type="dxa"/>
            <w:tcBorders>
              <w:bottom w:val="single" w:sz="4" w:space="0" w:color="auto"/>
            </w:tcBorders>
          </w:tcPr>
          <w:p w:rsidR="00094576" w:rsidRPr="00D02987" w:rsidRDefault="00094576" w:rsidP="005A57E2">
            <w:pPr>
              <w:rPr>
                <w:rFonts w:ascii="Mongolian Baiti" w:hAnsi="Mongolian Baiti" w:cs="Mongolian Baiti"/>
                <w:sz w:val="18"/>
                <w:szCs w:val="18"/>
                <w:lang w:val="en-GB"/>
              </w:rPr>
            </w:pPr>
            <w:r>
              <w:rPr>
                <w:rFonts w:ascii="Mongolian Baiti" w:hAnsi="Mongolian Baiti" w:cs="Mongolian Baiti"/>
                <w:sz w:val="18"/>
                <w:szCs w:val="18"/>
                <w:lang w:val="en-GB"/>
              </w:rPr>
              <w:t>-</w:t>
            </w:r>
          </w:p>
        </w:tc>
      </w:tr>
    </w:tbl>
    <w:p w:rsidR="00094576" w:rsidRPr="00D02987" w:rsidRDefault="00094576" w:rsidP="00094576">
      <w:pPr>
        <w:jc w:val="both"/>
        <w:rPr>
          <w:rFonts w:ascii="Mongolian Baiti" w:hAnsi="Mongolian Baiti" w:cs="Mongolian Baiti"/>
          <w:sz w:val="18"/>
          <w:szCs w:val="18"/>
          <w:lang w:val="en-GB"/>
        </w:rPr>
      </w:pPr>
      <w:r w:rsidRPr="00DB3002">
        <w:rPr>
          <w:rFonts w:ascii="Mongolian Baiti" w:hAnsi="Mongolian Baiti" w:cs="Mongolian Baiti"/>
          <w:b/>
          <w:bCs/>
          <w:sz w:val="18"/>
          <w:szCs w:val="18"/>
          <w:lang w:val="en-GB"/>
        </w:rPr>
        <w:t>Abbreviations</w:t>
      </w:r>
      <w:r>
        <w:rPr>
          <w:rFonts w:ascii="Mongolian Baiti" w:hAnsi="Mongolian Baiti" w:cs="Mongolian Baiti"/>
          <w:sz w:val="18"/>
          <w:szCs w:val="18"/>
          <w:lang w:val="en-GB"/>
        </w:rPr>
        <w:t xml:space="preserve">: </w:t>
      </w:r>
      <w:r w:rsidRPr="00D02987">
        <w:rPr>
          <w:rFonts w:ascii="Mongolian Baiti" w:hAnsi="Mongolian Baiti" w:cs="Mongolian Baiti"/>
          <w:sz w:val="18"/>
          <w:szCs w:val="18"/>
          <w:lang w:val="en-GB"/>
        </w:rPr>
        <w:t>CEA</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w:t>
      </w:r>
      <w:proofErr w:type="spellStart"/>
      <w:r w:rsidRPr="00D02987">
        <w:rPr>
          <w:rFonts w:ascii="Mongolian Baiti" w:hAnsi="Mongolian Baiti" w:cs="Mongolian Baiti"/>
          <w:sz w:val="18"/>
          <w:szCs w:val="18"/>
          <w:lang w:val="en-GB"/>
        </w:rPr>
        <w:t>carcinoembryonic</w:t>
      </w:r>
      <w:proofErr w:type="spellEnd"/>
      <w:r w:rsidRPr="00D02987">
        <w:rPr>
          <w:rFonts w:ascii="Mongolian Baiti" w:hAnsi="Mongolian Baiti" w:cs="Mongolian Baiti"/>
          <w:sz w:val="18"/>
          <w:szCs w:val="18"/>
          <w:lang w:val="en-GB"/>
        </w:rPr>
        <w:t xml:space="preserve"> antigen; CYFRA 21-1</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Cytokeratin 19-fragment marker;</w:t>
      </w:r>
      <w:r w:rsidRPr="00D02987">
        <w:rPr>
          <w:rFonts w:ascii="Mongolian Baiti" w:hAnsi="Mongolian Baiti" w:cs="Mongolian Baiti"/>
          <w:sz w:val="20"/>
          <w:szCs w:val="20"/>
          <w:lang w:val="en-GB"/>
        </w:rPr>
        <w:t xml:space="preserve"> </w:t>
      </w:r>
      <w:r w:rsidRPr="00D02987">
        <w:rPr>
          <w:rFonts w:ascii="Mongolian Baiti" w:hAnsi="Mongolian Baiti" w:cs="Mongolian Baiti"/>
          <w:sz w:val="18"/>
          <w:szCs w:val="18"/>
          <w:lang w:val="en-GB"/>
        </w:rPr>
        <w:t>TRIPOD</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Transparent Reporting of a multivariable Prediction model for Individual Prognosis Or Diagnosis; AUC</w:t>
      </w:r>
      <w:r>
        <w:rPr>
          <w:rFonts w:ascii="Mongolian Baiti" w:hAnsi="Mongolian Baiti" w:cs="Mongolian Baiti"/>
          <w:sz w:val="18"/>
          <w:szCs w:val="18"/>
          <w:lang w:val="en-GB"/>
        </w:rPr>
        <w:t>,</w:t>
      </w:r>
      <w:r w:rsidRPr="00D02987">
        <w:rPr>
          <w:rFonts w:ascii="Mongolian Baiti" w:hAnsi="Mongolian Baiti" w:cs="Mongolian Baiti"/>
          <w:sz w:val="18"/>
          <w:szCs w:val="18"/>
          <w:lang w:val="en-GB"/>
        </w:rPr>
        <w:t xml:space="preserve"> the Area Under the Curve.</w:t>
      </w:r>
    </w:p>
    <w:p w:rsidR="00094576" w:rsidRPr="00D02987" w:rsidRDefault="00094576" w:rsidP="00094576">
      <w:pPr>
        <w:jc w:val="both"/>
        <w:rPr>
          <w:rFonts w:ascii="Mongolian Baiti" w:hAnsi="Mongolian Baiti" w:cs="Mongolian Baiti"/>
          <w:sz w:val="18"/>
          <w:szCs w:val="18"/>
          <w:lang w:val="en-GB"/>
        </w:rPr>
      </w:pPr>
      <w:r w:rsidRPr="00B77CB4">
        <w:rPr>
          <w:rFonts w:ascii="Mongolian Baiti" w:hAnsi="Mongolian Baiti" w:cs="Mongolian Baiti"/>
          <w:b/>
          <w:bCs/>
          <w:sz w:val="18"/>
          <w:szCs w:val="18"/>
          <w:lang w:val="en-GB"/>
        </w:rPr>
        <w:lastRenderedPageBreak/>
        <w:t>Notes</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1</w:t>
      </w:r>
      <w:r w:rsidRPr="00D02987">
        <w:rPr>
          <w:rFonts w:ascii="Mongolian Baiti" w:hAnsi="Mongolian Baiti" w:cs="Mongolian Baiti"/>
          <w:sz w:val="18"/>
          <w:szCs w:val="18"/>
          <w:lang w:val="en-GB"/>
        </w:rPr>
        <w:t>Types of prediction models by TRIPOD statement:</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1</w:t>
      </w:r>
      <w:r w:rsidRPr="00D02987">
        <w:rPr>
          <w:rFonts w:ascii="Mongolian Baiti" w:hAnsi="Mongolian Baiti" w:cs="Mongolian Baiti"/>
          <w:sz w:val="18"/>
          <w:szCs w:val="18"/>
          <w:lang w:val="en-GB"/>
        </w:rPr>
        <w:t xml:space="preserve"> corresponds to the construction of a predictive model without performing internal / external validation techniques (in </w:t>
      </w:r>
      <w:r w:rsidRPr="00D02987">
        <w:rPr>
          <w:rFonts w:ascii="Mongolian Baiti" w:hAnsi="Mongolian Baiti" w:cs="Mongolian Baiti"/>
          <w:b/>
          <w:bCs/>
          <w:sz w:val="18"/>
          <w:szCs w:val="18"/>
          <w:lang w:val="en-GB"/>
        </w:rPr>
        <w:t>type 1a</w:t>
      </w:r>
      <w:r w:rsidRPr="00D02987">
        <w:rPr>
          <w:rFonts w:ascii="Mongolian Baiti" w:hAnsi="Mongolian Baiti" w:cs="Mongolian Baiti"/>
          <w:sz w:val="18"/>
          <w:szCs w:val="18"/>
          <w:lang w:val="en-GB"/>
        </w:rPr>
        <w:t xml:space="preserve"> the performance of the model is evaluated in the same group in which the model is developed, and therefore, it is an apparent </w:t>
      </w:r>
      <w:proofErr w:type="gramStart"/>
      <w:r w:rsidRPr="00D02987">
        <w:rPr>
          <w:rFonts w:ascii="Mongolian Baiti" w:hAnsi="Mongolian Baiti" w:cs="Mongolian Baiti"/>
          <w:sz w:val="18"/>
          <w:szCs w:val="18"/>
          <w:lang w:val="en-GB"/>
        </w:rPr>
        <w:t>performance ;</w:t>
      </w:r>
      <w:proofErr w:type="gramEnd"/>
      <w:r w:rsidRPr="00D02987">
        <w:rPr>
          <w:rFonts w:ascii="Mongolian Baiti" w:hAnsi="Mongolian Baiti" w:cs="Mongolian Baiti"/>
          <w:sz w:val="18"/>
          <w:szCs w:val="18"/>
          <w:lang w:val="en-GB"/>
        </w:rPr>
        <w:t xml:space="preserve"> in </w:t>
      </w:r>
      <w:r w:rsidRPr="00D02987">
        <w:rPr>
          <w:rFonts w:ascii="Mongolian Baiti" w:hAnsi="Mongolian Baiti" w:cs="Mongolian Baiti"/>
          <w:b/>
          <w:bCs/>
          <w:sz w:val="18"/>
          <w:szCs w:val="18"/>
          <w:lang w:val="en-GB"/>
        </w:rPr>
        <w:t>type 1b</w:t>
      </w:r>
      <w:r w:rsidRPr="00D02987">
        <w:rPr>
          <w:rFonts w:ascii="Mongolian Baiti" w:hAnsi="Mongolian Baiti" w:cs="Mongolian Baiti"/>
          <w:sz w:val="18"/>
          <w:szCs w:val="18"/>
          <w:lang w:val="en-GB"/>
        </w:rPr>
        <w:t>, resampling (for example bootstrapping or cross-validation techniques) is used to evaluate the performance and optimism of the model).</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2</w:t>
      </w:r>
      <w:r w:rsidRPr="00D02987">
        <w:rPr>
          <w:rFonts w:ascii="Mongolian Baiti" w:hAnsi="Mongolian Baiti" w:cs="Mongolian Baiti"/>
          <w:sz w:val="18"/>
          <w:szCs w:val="18"/>
          <w:lang w:val="en-GB"/>
        </w:rPr>
        <w:t xml:space="preserve"> corresponds to the construction of predictive models and performance an internal validation. In this type of model, the sample of participants is divided into two groups: one to develop the model and the other to validate it; if this division of the participants is carried out randomly, we are dealing with a </w:t>
      </w:r>
      <w:r w:rsidRPr="00D02987">
        <w:rPr>
          <w:rFonts w:ascii="Mongolian Baiti" w:hAnsi="Mongolian Baiti" w:cs="Mongolian Baiti"/>
          <w:b/>
          <w:bCs/>
          <w:sz w:val="18"/>
          <w:szCs w:val="18"/>
          <w:lang w:val="en-GB"/>
        </w:rPr>
        <w:t>type 2a</w:t>
      </w:r>
      <w:r w:rsidRPr="00D02987">
        <w:rPr>
          <w:rFonts w:ascii="Mongolian Baiti" w:hAnsi="Mongolian Baiti" w:cs="Mongolian Baiti"/>
          <w:sz w:val="18"/>
          <w:szCs w:val="18"/>
          <w:lang w:val="en-GB"/>
        </w:rPr>
        <w:t xml:space="preserve"> study and if it is carried out in a non-randomized way (for example, by location or time), it is a </w:t>
      </w:r>
      <w:r w:rsidRPr="00D02987">
        <w:rPr>
          <w:rFonts w:ascii="Mongolian Baiti" w:hAnsi="Mongolian Baiti" w:cs="Mongolian Baiti"/>
          <w:b/>
          <w:bCs/>
          <w:sz w:val="18"/>
          <w:szCs w:val="18"/>
          <w:lang w:val="en-GB"/>
        </w:rPr>
        <w:t>type 2b</w:t>
      </w:r>
      <w:r w:rsidRPr="00D02987">
        <w:rPr>
          <w:rFonts w:ascii="Mongolian Baiti" w:hAnsi="Mongolian Baiti" w:cs="Mongolian Baiti"/>
          <w:sz w:val="18"/>
          <w:szCs w:val="18"/>
          <w:lang w:val="en-GB"/>
        </w:rPr>
        <w:t xml:space="preserve"> study. According to TRIPOD, type 2b can also be considered as a development model halfway between internal validation and external validation.</w:t>
      </w:r>
      <w:r>
        <w:rPr>
          <w:rFonts w:ascii="Mongolian Baiti" w:hAnsi="Mongolian Baiti" w:cs="Mongolian Baiti"/>
          <w:sz w:val="18"/>
          <w:szCs w:val="18"/>
          <w:lang w:val="en-GB"/>
        </w:rPr>
        <w:t xml:space="preserve"> </w:t>
      </w:r>
      <w:r w:rsidRPr="00D02987">
        <w:rPr>
          <w:rFonts w:ascii="Mongolian Baiti" w:hAnsi="Mongolian Baiti" w:cs="Mongolian Baiti"/>
          <w:b/>
          <w:bCs/>
          <w:sz w:val="18"/>
          <w:szCs w:val="18"/>
          <w:lang w:val="en-GB"/>
        </w:rPr>
        <w:t>Type 3</w:t>
      </w:r>
      <w:r w:rsidRPr="00D02987">
        <w:rPr>
          <w:rFonts w:ascii="Mongolian Baiti" w:hAnsi="Mongolian Baiti" w:cs="Mongolian Baiti"/>
          <w:sz w:val="18"/>
          <w:szCs w:val="18"/>
          <w:lang w:val="en-GB"/>
        </w:rPr>
        <w:t xml:space="preserve"> corresponds to the construction of a predictive model and the performance of an external validation in a separate population (that is, the model is developed in a group of participants and validated in a separate group other than the one used to</w:t>
      </w:r>
      <w:bookmarkStart w:id="1" w:name="_GoBack"/>
      <w:bookmarkEnd w:id="1"/>
      <w:r w:rsidRPr="00D02987">
        <w:rPr>
          <w:rFonts w:ascii="Mongolian Baiti" w:hAnsi="Mongolian Baiti" w:cs="Mongolian Baiti"/>
          <w:sz w:val="18"/>
          <w:szCs w:val="18"/>
          <w:lang w:val="en-GB"/>
        </w:rPr>
        <w:t xml:space="preserve"> create the model).</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2</w:t>
      </w:r>
      <w:r w:rsidRPr="00D02987">
        <w:rPr>
          <w:rFonts w:ascii="Mongolian Baiti" w:hAnsi="Mongolian Baiti" w:cs="Mongolian Baiti"/>
          <w:sz w:val="18"/>
          <w:szCs w:val="18"/>
          <w:lang w:val="en-GB"/>
        </w:rPr>
        <w:t xml:space="preserve">AUC = </w:t>
      </w:r>
      <w:r w:rsidRPr="00D02987">
        <w:rPr>
          <w:rFonts w:ascii="Mongolian Baiti" w:hAnsi="Mongolian Baiti" w:cs="Mongolian Baiti"/>
          <w:b/>
          <w:bCs/>
          <w:sz w:val="18"/>
          <w:szCs w:val="18"/>
          <w:lang w:val="en-GB"/>
        </w:rPr>
        <w:t>Discrimination</w:t>
      </w:r>
      <w:r w:rsidRPr="00D02987">
        <w:rPr>
          <w:rFonts w:ascii="Mongolian Baiti" w:hAnsi="Mongolian Baiti" w:cs="Mongolian Baiti"/>
          <w:sz w:val="18"/>
          <w:szCs w:val="18"/>
          <w:lang w:val="en-GB"/>
        </w:rPr>
        <w:t xml:space="preserve"> is the ability of the model to assign, on pairs of randomly selected subjects, one from the group with malignancy and the other without it, the correct result (greater probability in the group with malignancy). For binary results, the area under the ROC curve (AUC), or C statistic, is the most frequently used discrimination measure.</w:t>
      </w:r>
      <w:r>
        <w:rPr>
          <w:rFonts w:ascii="Mongolian Baiti" w:hAnsi="Mongolian Baiti" w:cs="Mongolian Baiti"/>
          <w:sz w:val="18"/>
          <w:szCs w:val="18"/>
          <w:lang w:val="en-GB"/>
        </w:rPr>
        <w:t xml:space="preserve"> </w:t>
      </w:r>
      <w:r w:rsidRPr="00D02987">
        <w:rPr>
          <w:rFonts w:ascii="Mongolian Baiti" w:hAnsi="Mongolian Baiti" w:cs="Mongolian Baiti"/>
          <w:sz w:val="18"/>
          <w:szCs w:val="18"/>
          <w:vertAlign w:val="superscript"/>
          <w:lang w:val="en-GB"/>
        </w:rPr>
        <w:t xml:space="preserve">3 </w:t>
      </w:r>
      <w:r w:rsidRPr="00D02987">
        <w:rPr>
          <w:rFonts w:ascii="Mongolian Baiti" w:hAnsi="Mongolian Baiti" w:cs="Mongolian Baiti"/>
          <w:b/>
          <w:bCs/>
          <w:sz w:val="18"/>
          <w:szCs w:val="18"/>
          <w:lang w:val="en-GB"/>
        </w:rPr>
        <w:t>Calibration</w:t>
      </w:r>
      <w:r w:rsidRPr="00D02987">
        <w:rPr>
          <w:rFonts w:ascii="Mongolian Baiti" w:hAnsi="Mongolian Baiti" w:cs="Mongolian Baiti"/>
          <w:sz w:val="18"/>
          <w:szCs w:val="18"/>
          <w:lang w:val="en-GB"/>
        </w:rPr>
        <w:t xml:space="preserve"> is a measure that expresses the agreement between the observed results and the model predictions. The most common calibration measurements are the calibration slope and the </w:t>
      </w:r>
      <w:proofErr w:type="spellStart"/>
      <w:r w:rsidRPr="00D02987">
        <w:rPr>
          <w:rFonts w:ascii="Mongolian Baiti" w:hAnsi="Mongolian Baiti" w:cs="Mongolian Baiti"/>
          <w:sz w:val="18"/>
          <w:szCs w:val="18"/>
          <w:lang w:val="en-GB"/>
        </w:rPr>
        <w:t>Hosmer-Lemeshow</w:t>
      </w:r>
      <w:proofErr w:type="spellEnd"/>
      <w:r w:rsidRPr="00D02987">
        <w:rPr>
          <w:rFonts w:ascii="Mongolian Baiti" w:hAnsi="Mongolian Baiti" w:cs="Mongolian Baiti"/>
          <w:sz w:val="18"/>
          <w:szCs w:val="18"/>
          <w:lang w:val="en-GB"/>
        </w:rPr>
        <w:t xml:space="preserve"> test.</w:t>
      </w:r>
    </w:p>
    <w:p w:rsidR="00803159" w:rsidRDefault="00803159"/>
    <w:sectPr w:rsidR="0080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76"/>
    <w:rsid w:val="0001521F"/>
    <w:rsid w:val="0004105D"/>
    <w:rsid w:val="00047A90"/>
    <w:rsid w:val="00055BA3"/>
    <w:rsid w:val="00085A62"/>
    <w:rsid w:val="00094576"/>
    <w:rsid w:val="000A58CB"/>
    <w:rsid w:val="000A71C0"/>
    <w:rsid w:val="000C2CF8"/>
    <w:rsid w:val="000C788C"/>
    <w:rsid w:val="000E6BA6"/>
    <w:rsid w:val="000E7412"/>
    <w:rsid w:val="000F384C"/>
    <w:rsid w:val="00106CE2"/>
    <w:rsid w:val="001170A5"/>
    <w:rsid w:val="00175A0C"/>
    <w:rsid w:val="00190204"/>
    <w:rsid w:val="00190760"/>
    <w:rsid w:val="00193E75"/>
    <w:rsid w:val="001B128E"/>
    <w:rsid w:val="001C51ED"/>
    <w:rsid w:val="001C6A5C"/>
    <w:rsid w:val="001F18B6"/>
    <w:rsid w:val="00205521"/>
    <w:rsid w:val="0023033C"/>
    <w:rsid w:val="00230779"/>
    <w:rsid w:val="00233255"/>
    <w:rsid w:val="00233635"/>
    <w:rsid w:val="00236ED1"/>
    <w:rsid w:val="0026106D"/>
    <w:rsid w:val="002742EC"/>
    <w:rsid w:val="00277974"/>
    <w:rsid w:val="00290B9D"/>
    <w:rsid w:val="002C2751"/>
    <w:rsid w:val="002C5A2E"/>
    <w:rsid w:val="002D4A3B"/>
    <w:rsid w:val="002E6C9E"/>
    <w:rsid w:val="00326E47"/>
    <w:rsid w:val="0036050E"/>
    <w:rsid w:val="00366928"/>
    <w:rsid w:val="00366F9B"/>
    <w:rsid w:val="003675A3"/>
    <w:rsid w:val="003768FB"/>
    <w:rsid w:val="003A069B"/>
    <w:rsid w:val="003B4141"/>
    <w:rsid w:val="003C3726"/>
    <w:rsid w:val="003D69AF"/>
    <w:rsid w:val="003E4CD8"/>
    <w:rsid w:val="003E61FC"/>
    <w:rsid w:val="003F1A70"/>
    <w:rsid w:val="00443610"/>
    <w:rsid w:val="00444D47"/>
    <w:rsid w:val="00473592"/>
    <w:rsid w:val="00475155"/>
    <w:rsid w:val="00477D31"/>
    <w:rsid w:val="004874A5"/>
    <w:rsid w:val="00491645"/>
    <w:rsid w:val="00494054"/>
    <w:rsid w:val="00494B84"/>
    <w:rsid w:val="004A35CC"/>
    <w:rsid w:val="004C6A83"/>
    <w:rsid w:val="004F4C40"/>
    <w:rsid w:val="00550441"/>
    <w:rsid w:val="00553068"/>
    <w:rsid w:val="005573B1"/>
    <w:rsid w:val="00570AE7"/>
    <w:rsid w:val="005868CC"/>
    <w:rsid w:val="005977E9"/>
    <w:rsid w:val="005A4B35"/>
    <w:rsid w:val="005C1DF4"/>
    <w:rsid w:val="005C2A63"/>
    <w:rsid w:val="005E2C90"/>
    <w:rsid w:val="005F671C"/>
    <w:rsid w:val="006051F8"/>
    <w:rsid w:val="00606F07"/>
    <w:rsid w:val="00614534"/>
    <w:rsid w:val="006153DA"/>
    <w:rsid w:val="00624290"/>
    <w:rsid w:val="006324B1"/>
    <w:rsid w:val="00636D56"/>
    <w:rsid w:val="00642691"/>
    <w:rsid w:val="00675C8B"/>
    <w:rsid w:val="006C28E5"/>
    <w:rsid w:val="006F2BF9"/>
    <w:rsid w:val="006F499D"/>
    <w:rsid w:val="006F7530"/>
    <w:rsid w:val="0070033E"/>
    <w:rsid w:val="0070300B"/>
    <w:rsid w:val="00715E10"/>
    <w:rsid w:val="00734827"/>
    <w:rsid w:val="00751F65"/>
    <w:rsid w:val="00755CD3"/>
    <w:rsid w:val="00765F15"/>
    <w:rsid w:val="007C29A6"/>
    <w:rsid w:val="007C2CE2"/>
    <w:rsid w:val="007C527E"/>
    <w:rsid w:val="007E0C70"/>
    <w:rsid w:val="007E5A6D"/>
    <w:rsid w:val="007E5CDD"/>
    <w:rsid w:val="007F63C0"/>
    <w:rsid w:val="00803159"/>
    <w:rsid w:val="008042F4"/>
    <w:rsid w:val="00833CB2"/>
    <w:rsid w:val="00867357"/>
    <w:rsid w:val="008839C7"/>
    <w:rsid w:val="00887964"/>
    <w:rsid w:val="008A293C"/>
    <w:rsid w:val="008C6A74"/>
    <w:rsid w:val="008E4A26"/>
    <w:rsid w:val="008E67DE"/>
    <w:rsid w:val="00910C29"/>
    <w:rsid w:val="009259DF"/>
    <w:rsid w:val="0093284B"/>
    <w:rsid w:val="00941833"/>
    <w:rsid w:val="0097249B"/>
    <w:rsid w:val="00972C57"/>
    <w:rsid w:val="009760CA"/>
    <w:rsid w:val="00981A13"/>
    <w:rsid w:val="009A22CE"/>
    <w:rsid w:val="009B4B17"/>
    <w:rsid w:val="009C4449"/>
    <w:rsid w:val="009C75B0"/>
    <w:rsid w:val="009D0E96"/>
    <w:rsid w:val="00A11095"/>
    <w:rsid w:val="00A40935"/>
    <w:rsid w:val="00A541E4"/>
    <w:rsid w:val="00A76E68"/>
    <w:rsid w:val="00A7705B"/>
    <w:rsid w:val="00AA7576"/>
    <w:rsid w:val="00AD5B1D"/>
    <w:rsid w:val="00AF0CAD"/>
    <w:rsid w:val="00AF518F"/>
    <w:rsid w:val="00B209FF"/>
    <w:rsid w:val="00B224C3"/>
    <w:rsid w:val="00B26A2B"/>
    <w:rsid w:val="00B46C42"/>
    <w:rsid w:val="00B60FF1"/>
    <w:rsid w:val="00B63EB4"/>
    <w:rsid w:val="00B806FA"/>
    <w:rsid w:val="00B81FCE"/>
    <w:rsid w:val="00BB0479"/>
    <w:rsid w:val="00BB6833"/>
    <w:rsid w:val="00BB7A5C"/>
    <w:rsid w:val="00BC4EF3"/>
    <w:rsid w:val="00BC6960"/>
    <w:rsid w:val="00BD5E92"/>
    <w:rsid w:val="00BF080D"/>
    <w:rsid w:val="00C06D24"/>
    <w:rsid w:val="00C07CA6"/>
    <w:rsid w:val="00C22B40"/>
    <w:rsid w:val="00C238D6"/>
    <w:rsid w:val="00C51175"/>
    <w:rsid w:val="00C81D20"/>
    <w:rsid w:val="00C914E7"/>
    <w:rsid w:val="00C91D81"/>
    <w:rsid w:val="00CA5997"/>
    <w:rsid w:val="00CA65B5"/>
    <w:rsid w:val="00CC5084"/>
    <w:rsid w:val="00CD6ABE"/>
    <w:rsid w:val="00D07A0F"/>
    <w:rsid w:val="00D121E9"/>
    <w:rsid w:val="00D24D35"/>
    <w:rsid w:val="00D621BE"/>
    <w:rsid w:val="00D646A2"/>
    <w:rsid w:val="00D85940"/>
    <w:rsid w:val="00DC1BDD"/>
    <w:rsid w:val="00DC784B"/>
    <w:rsid w:val="00DE7772"/>
    <w:rsid w:val="00E72CD1"/>
    <w:rsid w:val="00E90D7E"/>
    <w:rsid w:val="00EB0AA7"/>
    <w:rsid w:val="00ED283E"/>
    <w:rsid w:val="00EE0250"/>
    <w:rsid w:val="00EE1FF6"/>
    <w:rsid w:val="00F2202F"/>
    <w:rsid w:val="00F2659F"/>
    <w:rsid w:val="00F70A31"/>
    <w:rsid w:val="00F77918"/>
    <w:rsid w:val="00F81110"/>
    <w:rsid w:val="00F85ED3"/>
    <w:rsid w:val="00F90525"/>
    <w:rsid w:val="00F91189"/>
    <w:rsid w:val="00F933DE"/>
    <w:rsid w:val="00FA1037"/>
    <w:rsid w:val="00FB071E"/>
    <w:rsid w:val="00FD5627"/>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57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76"/>
    <w:rPr>
      <w:rFonts w:asciiTheme="majorHAnsi" w:eastAsiaTheme="majorEastAsia" w:hAnsiTheme="majorHAnsi" w:cstheme="majorBidi"/>
      <w:color w:val="365F91" w:themeColor="accent1" w:themeShade="BF"/>
      <w:sz w:val="32"/>
      <w:szCs w:val="32"/>
      <w:lang w:val="es-ES"/>
    </w:rPr>
  </w:style>
  <w:style w:type="table" w:styleId="TableGrid">
    <w:name w:val="Table Grid"/>
    <w:basedOn w:val="TableNormal"/>
    <w:uiPriority w:val="39"/>
    <w:rsid w:val="000945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57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76"/>
    <w:rPr>
      <w:rFonts w:asciiTheme="majorHAnsi" w:eastAsiaTheme="majorEastAsia" w:hAnsiTheme="majorHAnsi" w:cstheme="majorBidi"/>
      <w:color w:val="365F91" w:themeColor="accent1" w:themeShade="BF"/>
      <w:sz w:val="32"/>
      <w:szCs w:val="32"/>
      <w:lang w:val="es-ES"/>
    </w:rPr>
  </w:style>
  <w:style w:type="table" w:styleId="TableGrid">
    <w:name w:val="Table Grid"/>
    <w:basedOn w:val="TableNormal"/>
    <w:uiPriority w:val="39"/>
    <w:rsid w:val="000945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7853</Words>
  <Characters>43899</Characters>
  <Application>Microsoft Office Word</Application>
  <DocSecurity>0</DocSecurity>
  <Lines>1908</Lines>
  <Paragraphs>907</Paragraphs>
  <ScaleCrop>false</ScaleCrop>
  <Company/>
  <LinksUpToDate>false</LinksUpToDate>
  <CharactersWithSpaces>50845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1</cp:revision>
  <dcterms:created xsi:type="dcterms:W3CDTF">2021-11-30T12:47:00Z</dcterms:created>
  <dcterms:modified xsi:type="dcterms:W3CDTF">2021-11-30T12:52:00Z</dcterms:modified>
</cp:coreProperties>
</file>