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BD" w:rsidRPr="00BE51B7" w:rsidRDefault="002B2433" w:rsidP="001143BD">
      <w:pPr>
        <w:pStyle w:val="SOMHea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Additional file 1</w:t>
      </w:r>
    </w:p>
    <w:p w:rsidR="001143BD" w:rsidRPr="00BE51B7" w:rsidRDefault="001143BD" w:rsidP="001143BD">
      <w:pPr>
        <w:pStyle w:val="Paragraph"/>
        <w:spacing w:line="360" w:lineRule="auto"/>
        <w:ind w:firstLine="0"/>
        <w:rPr>
          <w:bCs/>
          <w:lang w:val="en-GB"/>
        </w:rPr>
      </w:pPr>
      <w:bookmarkStart w:id="0" w:name="_GoBack"/>
      <w:bookmarkEnd w:id="0"/>
      <w:r w:rsidRPr="00BE51B7">
        <w:rPr>
          <w:b/>
          <w:bCs/>
          <w:lang w:val="en-GB"/>
        </w:rPr>
        <w:t>Table S</w:t>
      </w:r>
      <w:r w:rsidRPr="00BE51B7">
        <w:rPr>
          <w:b/>
          <w:bCs/>
          <w:lang w:val="nl-BE"/>
        </w:rPr>
        <w:fldChar w:fldCharType="begin"/>
      </w:r>
      <w:r w:rsidRPr="00BE51B7">
        <w:rPr>
          <w:b/>
          <w:bCs/>
          <w:lang w:val="en-GB"/>
        </w:rPr>
        <w:instrText xml:space="preserve"> SEQ Table \* ARABIC </w:instrText>
      </w:r>
      <w:r w:rsidRPr="00BE51B7">
        <w:rPr>
          <w:b/>
          <w:bCs/>
          <w:lang w:val="nl-BE"/>
        </w:rPr>
        <w:fldChar w:fldCharType="separate"/>
      </w:r>
      <w:r w:rsidRPr="00BE51B7">
        <w:rPr>
          <w:b/>
          <w:bCs/>
          <w:noProof/>
          <w:lang w:val="en-GB"/>
        </w:rPr>
        <w:t>1</w:t>
      </w:r>
      <w:r w:rsidRPr="00BE51B7">
        <w:fldChar w:fldCharType="end"/>
      </w:r>
      <w:r w:rsidRPr="00BE51B7">
        <w:rPr>
          <w:b/>
          <w:bCs/>
          <w:lang w:val="en-GB"/>
        </w:rPr>
        <w:t xml:space="preserve">. </w:t>
      </w:r>
      <w:r w:rsidRPr="00BE51B7">
        <w:rPr>
          <w:bCs/>
          <w:lang w:val="en-GB"/>
        </w:rPr>
        <w:t xml:space="preserve">Distribution of </w:t>
      </w:r>
      <w:r w:rsidRPr="00BE51B7">
        <w:rPr>
          <w:bCs/>
          <w:i/>
          <w:lang w:val="en-GB"/>
        </w:rPr>
        <w:t>Escherichia (E.) coli</w:t>
      </w:r>
      <w:r w:rsidRPr="00BE51B7">
        <w:rPr>
          <w:bCs/>
          <w:lang w:val="en-GB"/>
        </w:rPr>
        <w:t xml:space="preserve"> isolates (n= 7379) per patient (retired, n=5650) retrieved from 15 voluntary participating Belgian clinical laboratories (January 2005 – December 2005), for which an antimicrobial was prescribed (minimum two days before sampling) during the study period (July 2004-December 2005</w:t>
      </w:r>
      <w:proofErr w:type="gramStart"/>
      <w:r w:rsidRPr="00BE51B7">
        <w:rPr>
          <w:bCs/>
          <w:lang w:val="en-GB"/>
        </w:rPr>
        <w:t>) .</w:t>
      </w:r>
      <w:proofErr w:type="gramEnd"/>
      <w:r w:rsidRPr="00BE51B7">
        <w:rPr>
          <w:bCs/>
          <w:lang w:val="en-GB"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42"/>
        <w:gridCol w:w="1867"/>
        <w:gridCol w:w="652"/>
        <w:gridCol w:w="1842"/>
        <w:gridCol w:w="1867"/>
      </w:tblGrid>
      <w:tr w:rsidR="001143BD" w:rsidRPr="00BE51B7" w:rsidTr="00796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No. of isolates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51B7">
              <w:t>No. of patients</w:t>
            </w:r>
          </w:p>
        </w:tc>
        <w:tc>
          <w:tcPr>
            <w:tcW w:w="65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51B7">
              <w:t>No. of isolates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51B7">
              <w:t>No. of patients</w:t>
            </w:r>
          </w:p>
        </w:tc>
      </w:tr>
      <w:tr w:rsidR="001143BD" w:rsidRPr="00BE51B7" w:rsidTr="0079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1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1B7">
              <w:t>6129</w:t>
            </w:r>
          </w:p>
        </w:tc>
        <w:tc>
          <w:tcPr>
            <w:tcW w:w="65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51B7">
              <w:rPr>
                <w:b/>
              </w:rPr>
              <w:t>6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1B7">
              <w:t>10</w:t>
            </w:r>
          </w:p>
        </w:tc>
      </w:tr>
      <w:tr w:rsidR="001143BD" w:rsidRPr="00BE51B7" w:rsidTr="00796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2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1B7">
              <w:t>1095</w:t>
            </w:r>
          </w:p>
        </w:tc>
        <w:tc>
          <w:tcPr>
            <w:tcW w:w="65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1B7">
              <w:rPr>
                <w:b/>
              </w:rPr>
              <w:t>7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1B7">
              <w:t>10</w:t>
            </w:r>
          </w:p>
        </w:tc>
      </w:tr>
      <w:tr w:rsidR="001143BD" w:rsidRPr="00BE51B7" w:rsidTr="0079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3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1B7">
              <w:t>254</w:t>
            </w:r>
          </w:p>
        </w:tc>
        <w:tc>
          <w:tcPr>
            <w:tcW w:w="65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51B7">
              <w:rPr>
                <w:b/>
              </w:rPr>
              <w:t>8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1B7">
              <w:t>3</w:t>
            </w:r>
          </w:p>
        </w:tc>
      </w:tr>
      <w:tr w:rsidR="001143BD" w:rsidRPr="00BE51B7" w:rsidTr="00796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4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1B7">
              <w:t>101</w:t>
            </w:r>
          </w:p>
        </w:tc>
        <w:tc>
          <w:tcPr>
            <w:tcW w:w="65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1B7">
              <w:rPr>
                <w:b/>
              </w:rPr>
              <w:t>9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1B7">
              <w:t>3</w:t>
            </w:r>
          </w:p>
        </w:tc>
      </w:tr>
      <w:tr w:rsidR="001143BD" w:rsidRPr="00BE51B7" w:rsidTr="0079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5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1B7">
              <w:t>19</w:t>
            </w:r>
          </w:p>
        </w:tc>
        <w:tc>
          <w:tcPr>
            <w:tcW w:w="65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51B7">
              <w:rPr>
                <w:b/>
              </w:rPr>
              <w:t>10</w:t>
            </w:r>
          </w:p>
        </w:tc>
        <w:tc>
          <w:tcPr>
            <w:tcW w:w="1867" w:type="dxa"/>
            <w:shd w:val="clear" w:color="auto" w:fill="auto"/>
          </w:tcPr>
          <w:p w:rsidR="001143BD" w:rsidRPr="00BE51B7" w:rsidRDefault="001143BD" w:rsidP="00796BB5">
            <w:pPr>
              <w:pStyle w:val="Paragraph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1B7">
              <w:t>1</w:t>
            </w:r>
          </w:p>
        </w:tc>
      </w:tr>
    </w:tbl>
    <w:p w:rsidR="001143BD" w:rsidRPr="00BE51B7" w:rsidRDefault="001143BD" w:rsidP="001143BD">
      <w:pPr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E51B7">
        <w:rPr>
          <w:rFonts w:ascii="Times New Roman" w:hAnsi="Times New Roman"/>
          <w:b/>
        </w:rPr>
        <w:br w:type="page"/>
      </w:r>
    </w:p>
    <w:p w:rsidR="001143BD" w:rsidRPr="00BE51B7" w:rsidRDefault="001143BD" w:rsidP="001143BD">
      <w:pPr>
        <w:pStyle w:val="Paragraph"/>
        <w:spacing w:line="360" w:lineRule="auto"/>
        <w:ind w:firstLine="0"/>
      </w:pPr>
      <w:r w:rsidRPr="00BE51B7">
        <w:rPr>
          <w:b/>
        </w:rPr>
        <w:lastRenderedPageBreak/>
        <w:t>Table S2</w:t>
      </w:r>
      <w:r w:rsidRPr="00BE51B7">
        <w:t xml:space="preserve">: Average number of defined daily dose (DDD) by gender prior to the isolation of </w:t>
      </w:r>
      <w:proofErr w:type="spellStart"/>
      <w:r w:rsidRPr="00BE51B7">
        <w:t>uropathogens</w:t>
      </w:r>
      <w:proofErr w:type="spellEnd"/>
      <w:r w:rsidRPr="00BE51B7">
        <w:t xml:space="preserve"> from retired patients (n=5650) in Belgium (2004-2005). </w:t>
      </w:r>
    </w:p>
    <w:tbl>
      <w:tblPr>
        <w:tblStyle w:val="TableGrid"/>
        <w:tblpPr w:leftFromText="180" w:rightFromText="180" w:vertAnchor="text" w:horzAnchor="margin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143BD" w:rsidRPr="00BE51B7" w:rsidTr="00796BB5">
        <w:tc>
          <w:tcPr>
            <w:tcW w:w="3116" w:type="dxa"/>
            <w:tcBorders>
              <w:bottom w:val="single" w:sz="4" w:space="0" w:color="auto"/>
            </w:tcBorders>
          </w:tcPr>
          <w:p w:rsidR="001143BD" w:rsidRPr="00BE51B7" w:rsidRDefault="001143BD" w:rsidP="00796BB5">
            <w:pPr>
              <w:pStyle w:val="Paragraph"/>
              <w:spacing w:line="360" w:lineRule="auto"/>
              <w:rPr>
                <w:u w:val="single"/>
              </w:rPr>
            </w:pPr>
            <w:r w:rsidRPr="00BE51B7">
              <w:rPr>
                <w:u w:val="single"/>
              </w:rPr>
              <w:t>ATC group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143BD" w:rsidRPr="00BE51B7" w:rsidRDefault="001143BD" w:rsidP="00796BB5">
            <w:pPr>
              <w:pStyle w:val="Paragraph"/>
              <w:spacing w:line="360" w:lineRule="auto"/>
              <w:rPr>
                <w:u w:val="single"/>
              </w:rPr>
            </w:pPr>
            <w:r w:rsidRPr="00BE51B7">
              <w:rPr>
                <w:u w:val="single"/>
              </w:rPr>
              <w:t xml:space="preserve">Male </w:t>
            </w:r>
          </w:p>
          <w:p w:rsidR="001143BD" w:rsidRPr="00BE51B7" w:rsidRDefault="001143BD" w:rsidP="00796BB5">
            <w:pPr>
              <w:pStyle w:val="Paragraph"/>
              <w:spacing w:line="360" w:lineRule="auto"/>
              <w:rPr>
                <w:u w:val="single"/>
              </w:rPr>
            </w:pPr>
            <w:r w:rsidRPr="00BE51B7">
              <w:rPr>
                <w:u w:val="single"/>
              </w:rPr>
              <w:t>Mean (SD)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143BD" w:rsidRPr="00BE51B7" w:rsidRDefault="001143BD" w:rsidP="00796BB5">
            <w:pPr>
              <w:pStyle w:val="Paragraph"/>
              <w:spacing w:line="360" w:lineRule="auto"/>
              <w:rPr>
                <w:u w:val="single"/>
              </w:rPr>
            </w:pPr>
            <w:r w:rsidRPr="00BE51B7">
              <w:rPr>
                <w:u w:val="single"/>
              </w:rPr>
              <w:t xml:space="preserve">Female </w:t>
            </w:r>
          </w:p>
          <w:p w:rsidR="001143BD" w:rsidRPr="00BE51B7" w:rsidRDefault="001143BD" w:rsidP="00796BB5">
            <w:pPr>
              <w:pStyle w:val="Paragraph"/>
              <w:spacing w:line="360" w:lineRule="auto"/>
              <w:rPr>
                <w:u w:val="single"/>
              </w:rPr>
            </w:pPr>
            <w:r w:rsidRPr="00BE51B7">
              <w:rPr>
                <w:u w:val="single"/>
              </w:rPr>
              <w:t>Mean (SD)</w:t>
            </w:r>
          </w:p>
        </w:tc>
      </w:tr>
      <w:tr w:rsidR="001143BD" w:rsidRPr="00BE51B7" w:rsidTr="00796BB5">
        <w:tc>
          <w:tcPr>
            <w:tcW w:w="3116" w:type="dxa"/>
            <w:tcBorders>
              <w:top w:val="single" w:sz="4" w:space="0" w:color="auto"/>
            </w:tcBorders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J01C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11.35 (12.59)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11.13 (13.51)</w:t>
            </w:r>
          </w:p>
        </w:tc>
      </w:tr>
      <w:tr w:rsidR="001143BD" w:rsidRPr="00BE51B7" w:rsidTr="00796BB5">
        <w:tc>
          <w:tcPr>
            <w:tcW w:w="3116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J01D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5.29 (8.10)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6.47 (15.36)</w:t>
            </w:r>
          </w:p>
        </w:tc>
      </w:tr>
      <w:tr w:rsidR="001143BD" w:rsidRPr="00BE51B7" w:rsidTr="00796BB5">
        <w:tc>
          <w:tcPr>
            <w:tcW w:w="3116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J01E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9.01 (7.83)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9.78 (9.33)</w:t>
            </w:r>
          </w:p>
        </w:tc>
      </w:tr>
      <w:tr w:rsidR="001143BD" w:rsidRPr="00BE51B7" w:rsidTr="00796BB5">
        <w:tc>
          <w:tcPr>
            <w:tcW w:w="3116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J01M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7.42 (6.38)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7.27 (5.55)</w:t>
            </w:r>
          </w:p>
        </w:tc>
      </w:tr>
      <w:tr w:rsidR="001143BD" w:rsidRPr="00BE51B7" w:rsidTr="00796BB5">
        <w:tc>
          <w:tcPr>
            <w:tcW w:w="3116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J01X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14.23 (14.74)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14.43 (13.89)</w:t>
            </w:r>
          </w:p>
        </w:tc>
      </w:tr>
      <w:tr w:rsidR="001143BD" w:rsidRPr="00BE51B7" w:rsidTr="00796BB5">
        <w:tc>
          <w:tcPr>
            <w:tcW w:w="3116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Other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7.71 (6.21)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7.64 (6.07)</w:t>
            </w:r>
          </w:p>
        </w:tc>
      </w:tr>
      <w:tr w:rsidR="001143BD" w:rsidRPr="00BE51B7" w:rsidTr="00796BB5">
        <w:tc>
          <w:tcPr>
            <w:tcW w:w="3116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Total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9.11 (10.65)</w:t>
            </w:r>
          </w:p>
        </w:tc>
        <w:tc>
          <w:tcPr>
            <w:tcW w:w="3117" w:type="dxa"/>
          </w:tcPr>
          <w:p w:rsidR="001143BD" w:rsidRPr="00BE51B7" w:rsidRDefault="001143BD" w:rsidP="00796BB5">
            <w:pPr>
              <w:pStyle w:val="Paragraph"/>
              <w:spacing w:line="360" w:lineRule="auto"/>
            </w:pPr>
            <w:r w:rsidRPr="00BE51B7">
              <w:t>9.37 (12.39)</w:t>
            </w:r>
          </w:p>
        </w:tc>
      </w:tr>
    </w:tbl>
    <w:p w:rsidR="001143BD" w:rsidRPr="00BE51B7" w:rsidRDefault="001143BD" w:rsidP="001143BD">
      <w:pPr>
        <w:pStyle w:val="Paragraph"/>
        <w:spacing w:line="360" w:lineRule="auto"/>
        <w:ind w:firstLine="0"/>
      </w:pPr>
      <w:r w:rsidRPr="00BE51B7">
        <w:t xml:space="preserve">ATC: Anatomical Therapeutic Chemical [9]: J01C: Beta-lactam </w:t>
      </w:r>
      <w:proofErr w:type="spellStart"/>
      <w:r w:rsidRPr="00BE51B7">
        <w:t>antibacterials</w:t>
      </w:r>
      <w:proofErr w:type="spellEnd"/>
      <w:r w:rsidRPr="00BE51B7">
        <w:t xml:space="preserve">, </w:t>
      </w:r>
      <w:proofErr w:type="spellStart"/>
      <w:r w:rsidRPr="00BE51B7">
        <w:t>Penicillins</w:t>
      </w:r>
      <w:proofErr w:type="spellEnd"/>
      <w:r w:rsidRPr="00BE51B7">
        <w:t xml:space="preserve"> group; J01D: other Beta-lactam </w:t>
      </w:r>
      <w:proofErr w:type="spellStart"/>
      <w:r w:rsidRPr="00BE51B7">
        <w:t>antibacterials</w:t>
      </w:r>
      <w:proofErr w:type="spellEnd"/>
      <w:r w:rsidRPr="00BE51B7">
        <w:t xml:space="preserve">; J01E: </w:t>
      </w:r>
      <w:proofErr w:type="spellStart"/>
      <w:r w:rsidRPr="00BE51B7">
        <w:t>Sulphonamides</w:t>
      </w:r>
      <w:proofErr w:type="spellEnd"/>
      <w:r w:rsidRPr="00BE51B7">
        <w:t xml:space="preserve"> and trimethoprim; J01M: quinolones; J01X: other </w:t>
      </w:r>
      <w:proofErr w:type="spellStart"/>
      <w:r w:rsidRPr="00BE51B7">
        <w:t>antibacterials</w:t>
      </w:r>
      <w:proofErr w:type="spellEnd"/>
      <w:r w:rsidRPr="00BE51B7">
        <w:t xml:space="preserve"> including </w:t>
      </w:r>
      <w:proofErr w:type="spellStart"/>
      <w:r w:rsidRPr="00BE51B7">
        <w:t>glycopeptides</w:t>
      </w:r>
      <w:proofErr w:type="spellEnd"/>
      <w:r w:rsidRPr="00BE51B7">
        <w:t xml:space="preserve">, metronidazole, and </w:t>
      </w:r>
      <w:proofErr w:type="spellStart"/>
      <w:r w:rsidRPr="00BE51B7">
        <w:t>polymyxines</w:t>
      </w:r>
      <w:proofErr w:type="spellEnd"/>
      <w:r w:rsidRPr="00BE51B7">
        <w:t xml:space="preserve">.  </w:t>
      </w:r>
    </w:p>
    <w:p w:rsidR="00AE3C6F" w:rsidRDefault="00AE3C6F"/>
    <w:sectPr w:rsidR="00AE3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143BD"/>
    <w:rsid w:val="001143BD"/>
    <w:rsid w:val="002B2433"/>
    <w:rsid w:val="002C3C85"/>
    <w:rsid w:val="007813D4"/>
    <w:rsid w:val="00AE3C6F"/>
    <w:rsid w:val="00D420F2"/>
    <w:rsid w:val="00E1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1143BD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MHead">
    <w:name w:val="SOMHead"/>
    <w:basedOn w:val="Normal"/>
    <w:rsid w:val="001143BD"/>
  </w:style>
  <w:style w:type="table" w:styleId="LightShading">
    <w:name w:val="Light Shading"/>
    <w:basedOn w:val="TableNormal"/>
    <w:uiPriority w:val="60"/>
    <w:rsid w:val="001143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143B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basedOn w:val="DefaultParagraphFont"/>
    <w:link w:val="Paragraph"/>
    <w:rsid w:val="001143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har"/>
    <w:rsid w:val="001143BD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MHead">
    <w:name w:val="SOMHead"/>
    <w:basedOn w:val="Normal"/>
    <w:rsid w:val="001143BD"/>
  </w:style>
  <w:style w:type="table" w:styleId="LightShading">
    <w:name w:val="Light Shading"/>
    <w:basedOn w:val="TableNormal"/>
    <w:uiPriority w:val="60"/>
    <w:rsid w:val="001143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143B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">
    <w:name w:val="Paragraph Char"/>
    <w:basedOn w:val="DefaultParagraphFont"/>
    <w:link w:val="Paragraph"/>
    <w:rsid w:val="001143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1026</Characters>
  <Application>Microsoft Office Word</Application>
  <DocSecurity>0</DocSecurity>
  <Lines>78</Lines>
  <Paragraphs>63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TBANIGA</dc:creator>
  <cp:lastModifiedBy>LAMIRA</cp:lastModifiedBy>
  <cp:revision>3</cp:revision>
  <dcterms:created xsi:type="dcterms:W3CDTF">2018-06-08T21:47:00Z</dcterms:created>
  <dcterms:modified xsi:type="dcterms:W3CDTF">2018-06-09T05:58:00Z</dcterms:modified>
</cp:coreProperties>
</file>