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76EF" w14:textId="77777777" w:rsidR="00B41628" w:rsidRPr="006621DE" w:rsidRDefault="00B41628" w:rsidP="00B41628">
      <w:pPr>
        <w:pStyle w:val="Heading1"/>
        <w:rPr>
          <w:color w:val="auto"/>
        </w:rPr>
      </w:pPr>
      <w:r w:rsidRPr="006621DE">
        <w:rPr>
          <w:color w:val="auto"/>
        </w:rPr>
        <w:t>Supplementary Material</w:t>
      </w:r>
    </w:p>
    <w:p w14:paraId="635069A4" w14:textId="77777777" w:rsidR="00B41628" w:rsidRPr="006621DE" w:rsidRDefault="00B41628" w:rsidP="00B41628"/>
    <w:p w14:paraId="1EF1A8F9" w14:textId="77777777" w:rsidR="00B41628" w:rsidRPr="006621DE" w:rsidRDefault="00B41628" w:rsidP="00B41628">
      <w:pPr>
        <w:pStyle w:val="Heading2"/>
        <w:rPr>
          <w:color w:val="auto"/>
        </w:rPr>
      </w:pPr>
      <w:r w:rsidRPr="006621DE">
        <w:rPr>
          <w:b/>
          <w:color w:val="auto"/>
        </w:rPr>
        <w:t>Supplementary Table 1</w:t>
      </w:r>
      <w:r w:rsidRPr="006621DE">
        <w:rPr>
          <w:color w:val="auto"/>
        </w:rPr>
        <w:t>.  NHS Trusts that provided Pillar 1 test results to NWCCG.</w:t>
      </w:r>
    </w:p>
    <w:p w14:paraId="37EC1D9E" w14:textId="77777777" w:rsidR="00B41628" w:rsidRPr="006621DE" w:rsidRDefault="00B41628" w:rsidP="00B41628"/>
    <w:tbl>
      <w:tblPr>
        <w:tblStyle w:val="TableGrid"/>
        <w:tblW w:w="0" w:type="auto"/>
        <w:tblLook w:val="04A0" w:firstRow="1" w:lastRow="0" w:firstColumn="1" w:lastColumn="0" w:noHBand="0" w:noVBand="1"/>
      </w:tblPr>
      <w:tblGrid>
        <w:gridCol w:w="1176"/>
        <w:gridCol w:w="2466"/>
        <w:gridCol w:w="4305"/>
        <w:gridCol w:w="1413"/>
      </w:tblGrid>
      <w:tr w:rsidR="00B41628" w:rsidRPr="006621DE" w14:paraId="0D2AD73E" w14:textId="77777777" w:rsidTr="002553D0">
        <w:tc>
          <w:tcPr>
            <w:tcW w:w="1040" w:type="dxa"/>
            <w:tcBorders>
              <w:top w:val="single" w:sz="4" w:space="0" w:color="auto"/>
              <w:left w:val="nil"/>
              <w:bottom w:val="single" w:sz="4" w:space="0" w:color="auto"/>
              <w:right w:val="nil"/>
            </w:tcBorders>
          </w:tcPr>
          <w:p w14:paraId="783902F9" w14:textId="77777777" w:rsidR="00B41628" w:rsidRPr="006621DE" w:rsidRDefault="00B41628" w:rsidP="002553D0">
            <w:pPr>
              <w:rPr>
                <w:b/>
              </w:rPr>
            </w:pPr>
            <w:r w:rsidRPr="006621DE">
              <w:rPr>
                <w:b/>
              </w:rPr>
              <w:t>Acronym</w:t>
            </w:r>
          </w:p>
        </w:tc>
        <w:tc>
          <w:tcPr>
            <w:tcW w:w="2499" w:type="dxa"/>
            <w:tcBorders>
              <w:top w:val="single" w:sz="4" w:space="0" w:color="auto"/>
              <w:left w:val="nil"/>
              <w:bottom w:val="single" w:sz="4" w:space="0" w:color="auto"/>
              <w:right w:val="nil"/>
            </w:tcBorders>
          </w:tcPr>
          <w:p w14:paraId="3E33FCB9" w14:textId="77777777" w:rsidR="00B41628" w:rsidRPr="006621DE" w:rsidRDefault="00B41628" w:rsidP="002553D0">
            <w:pPr>
              <w:rPr>
                <w:b/>
              </w:rPr>
            </w:pPr>
            <w:r w:rsidRPr="006621DE">
              <w:rPr>
                <w:b/>
              </w:rPr>
              <w:t>Complete name</w:t>
            </w:r>
          </w:p>
        </w:tc>
        <w:tc>
          <w:tcPr>
            <w:tcW w:w="4394" w:type="dxa"/>
            <w:tcBorders>
              <w:top w:val="single" w:sz="4" w:space="0" w:color="auto"/>
              <w:left w:val="nil"/>
              <w:bottom w:val="single" w:sz="4" w:space="0" w:color="auto"/>
              <w:right w:val="nil"/>
            </w:tcBorders>
          </w:tcPr>
          <w:p w14:paraId="6B731F32" w14:textId="77777777" w:rsidR="00B41628" w:rsidRPr="006621DE" w:rsidRDefault="00B41628" w:rsidP="002553D0">
            <w:pPr>
              <w:rPr>
                <w:b/>
              </w:rPr>
            </w:pPr>
            <w:r w:rsidRPr="006621DE">
              <w:rPr>
                <w:b/>
              </w:rPr>
              <w:t>Principle types of health care services</w:t>
            </w:r>
          </w:p>
        </w:tc>
        <w:tc>
          <w:tcPr>
            <w:tcW w:w="1417" w:type="dxa"/>
            <w:tcBorders>
              <w:top w:val="single" w:sz="4" w:space="0" w:color="auto"/>
              <w:left w:val="nil"/>
              <w:bottom w:val="single" w:sz="4" w:space="0" w:color="auto"/>
              <w:right w:val="nil"/>
            </w:tcBorders>
          </w:tcPr>
          <w:p w14:paraId="3A80A0C6" w14:textId="77777777" w:rsidR="00B41628" w:rsidRPr="006621DE" w:rsidRDefault="00B41628" w:rsidP="002553D0">
            <w:pPr>
              <w:rPr>
                <w:b/>
              </w:rPr>
            </w:pPr>
            <w:r w:rsidRPr="006621DE">
              <w:rPr>
                <w:b/>
              </w:rPr>
              <w:t>#records</w:t>
            </w:r>
          </w:p>
          <w:p w14:paraId="73A49D13" w14:textId="77777777" w:rsidR="00B41628" w:rsidRPr="006621DE" w:rsidRDefault="00B41628" w:rsidP="002553D0">
            <w:pPr>
              <w:rPr>
                <w:b/>
              </w:rPr>
            </w:pPr>
            <w:r w:rsidRPr="006621DE">
              <w:rPr>
                <w:b/>
              </w:rPr>
              <w:t>start (</w:t>
            </w:r>
            <w:proofErr w:type="spellStart"/>
            <w:r w:rsidRPr="006621DE">
              <w:rPr>
                <w:b/>
              </w:rPr>
              <w:t>full_data</w:t>
            </w:r>
            <w:proofErr w:type="spellEnd"/>
            <w:r w:rsidRPr="006621DE">
              <w:rPr>
                <w:b/>
              </w:rPr>
              <w:t>)</w:t>
            </w:r>
          </w:p>
        </w:tc>
      </w:tr>
      <w:tr w:rsidR="00B41628" w:rsidRPr="006621DE" w14:paraId="20CAE54F" w14:textId="77777777" w:rsidTr="002553D0">
        <w:tc>
          <w:tcPr>
            <w:tcW w:w="1040" w:type="dxa"/>
            <w:tcBorders>
              <w:top w:val="nil"/>
              <w:left w:val="nil"/>
              <w:bottom w:val="nil"/>
              <w:right w:val="nil"/>
            </w:tcBorders>
          </w:tcPr>
          <w:p w14:paraId="3F902A62" w14:textId="77777777" w:rsidR="00B41628" w:rsidRPr="006621DE" w:rsidRDefault="00B41628" w:rsidP="002553D0">
            <w:r w:rsidRPr="006621DE">
              <w:t>ECCH</w:t>
            </w:r>
          </w:p>
        </w:tc>
        <w:tc>
          <w:tcPr>
            <w:tcW w:w="2499" w:type="dxa"/>
            <w:tcBorders>
              <w:top w:val="nil"/>
              <w:left w:val="nil"/>
              <w:bottom w:val="nil"/>
              <w:right w:val="nil"/>
            </w:tcBorders>
          </w:tcPr>
          <w:p w14:paraId="18B6C8AC" w14:textId="77777777" w:rsidR="00B41628" w:rsidRPr="006621DE" w:rsidRDefault="00B41628" w:rsidP="002553D0">
            <w:r w:rsidRPr="006621DE">
              <w:t>East Coast Community Health Care</w:t>
            </w:r>
          </w:p>
        </w:tc>
        <w:tc>
          <w:tcPr>
            <w:tcW w:w="4394" w:type="dxa"/>
            <w:tcBorders>
              <w:top w:val="nil"/>
              <w:left w:val="nil"/>
              <w:bottom w:val="nil"/>
              <w:right w:val="nil"/>
            </w:tcBorders>
          </w:tcPr>
          <w:p w14:paraId="373D2482" w14:textId="77777777" w:rsidR="00B41628" w:rsidRPr="006621DE" w:rsidRDefault="00B41628" w:rsidP="002553D0">
            <w:r w:rsidRPr="006621DE">
              <w:t>Community hospitals that provide care procedures beyond remit of general practice</w:t>
            </w:r>
          </w:p>
        </w:tc>
        <w:tc>
          <w:tcPr>
            <w:tcW w:w="1417" w:type="dxa"/>
            <w:tcBorders>
              <w:top w:val="nil"/>
              <w:left w:val="nil"/>
              <w:bottom w:val="nil"/>
              <w:right w:val="nil"/>
            </w:tcBorders>
          </w:tcPr>
          <w:p w14:paraId="3FAE67A4" w14:textId="77777777" w:rsidR="00B41628" w:rsidRPr="006621DE" w:rsidRDefault="00B41628" w:rsidP="002553D0">
            <w:r w:rsidRPr="006621DE">
              <w:t>30 (16)</w:t>
            </w:r>
          </w:p>
        </w:tc>
      </w:tr>
      <w:tr w:rsidR="00B41628" w:rsidRPr="006621DE" w14:paraId="1883D7F9" w14:textId="77777777" w:rsidTr="002553D0">
        <w:tc>
          <w:tcPr>
            <w:tcW w:w="1040" w:type="dxa"/>
            <w:tcBorders>
              <w:top w:val="nil"/>
              <w:left w:val="nil"/>
              <w:bottom w:val="nil"/>
              <w:right w:val="nil"/>
            </w:tcBorders>
          </w:tcPr>
          <w:p w14:paraId="22CBBC4D" w14:textId="77777777" w:rsidR="00B41628" w:rsidRPr="006621DE" w:rsidRDefault="00B41628" w:rsidP="002553D0">
            <w:r w:rsidRPr="006621DE">
              <w:t>JPUH</w:t>
            </w:r>
          </w:p>
        </w:tc>
        <w:tc>
          <w:tcPr>
            <w:tcW w:w="2499" w:type="dxa"/>
            <w:tcBorders>
              <w:top w:val="nil"/>
              <w:left w:val="nil"/>
              <w:bottom w:val="nil"/>
              <w:right w:val="nil"/>
            </w:tcBorders>
          </w:tcPr>
          <w:p w14:paraId="7D039D14" w14:textId="77777777" w:rsidR="00B41628" w:rsidRPr="006621DE" w:rsidRDefault="00B41628" w:rsidP="002553D0">
            <w:r w:rsidRPr="006621DE">
              <w:t xml:space="preserve">James Paget University Hospital </w:t>
            </w:r>
          </w:p>
        </w:tc>
        <w:tc>
          <w:tcPr>
            <w:tcW w:w="4394" w:type="dxa"/>
            <w:tcBorders>
              <w:top w:val="nil"/>
              <w:left w:val="nil"/>
              <w:bottom w:val="nil"/>
              <w:right w:val="nil"/>
            </w:tcBorders>
          </w:tcPr>
          <w:p w14:paraId="0EADF092" w14:textId="77777777" w:rsidR="00B41628" w:rsidRPr="006621DE" w:rsidRDefault="00B41628" w:rsidP="002553D0">
            <w:r w:rsidRPr="006621DE">
              <w:t>Urgent, emergency or consultant-led secondary care</w:t>
            </w:r>
          </w:p>
        </w:tc>
        <w:tc>
          <w:tcPr>
            <w:tcW w:w="1417" w:type="dxa"/>
            <w:tcBorders>
              <w:top w:val="nil"/>
              <w:left w:val="nil"/>
              <w:bottom w:val="nil"/>
              <w:right w:val="nil"/>
            </w:tcBorders>
          </w:tcPr>
          <w:p w14:paraId="41F2BE85" w14:textId="77777777" w:rsidR="00B41628" w:rsidRPr="006621DE" w:rsidRDefault="00B41628" w:rsidP="002553D0">
            <w:pPr>
              <w:jc w:val="center"/>
            </w:pPr>
            <w:r w:rsidRPr="006621DE">
              <w:t>1010 (866)</w:t>
            </w:r>
          </w:p>
        </w:tc>
      </w:tr>
      <w:tr w:rsidR="00B41628" w:rsidRPr="006621DE" w14:paraId="2E4B6CC8" w14:textId="77777777" w:rsidTr="002553D0">
        <w:tc>
          <w:tcPr>
            <w:tcW w:w="1040" w:type="dxa"/>
            <w:tcBorders>
              <w:top w:val="nil"/>
              <w:left w:val="nil"/>
              <w:bottom w:val="nil"/>
              <w:right w:val="nil"/>
            </w:tcBorders>
          </w:tcPr>
          <w:p w14:paraId="15013544" w14:textId="77777777" w:rsidR="00B41628" w:rsidRPr="006621DE" w:rsidRDefault="00B41628" w:rsidP="002553D0">
            <w:r w:rsidRPr="006621DE">
              <w:t>NNUH</w:t>
            </w:r>
          </w:p>
        </w:tc>
        <w:tc>
          <w:tcPr>
            <w:tcW w:w="2499" w:type="dxa"/>
            <w:tcBorders>
              <w:top w:val="nil"/>
              <w:left w:val="nil"/>
              <w:bottom w:val="nil"/>
              <w:right w:val="nil"/>
            </w:tcBorders>
          </w:tcPr>
          <w:p w14:paraId="6A6521F4" w14:textId="77777777" w:rsidR="00B41628" w:rsidRPr="006621DE" w:rsidRDefault="00B41628" w:rsidP="002553D0">
            <w:r w:rsidRPr="006621DE">
              <w:t xml:space="preserve">Norfolk and Norwich University Hospital </w:t>
            </w:r>
          </w:p>
        </w:tc>
        <w:tc>
          <w:tcPr>
            <w:tcW w:w="4394" w:type="dxa"/>
            <w:tcBorders>
              <w:top w:val="nil"/>
              <w:left w:val="nil"/>
              <w:bottom w:val="nil"/>
              <w:right w:val="nil"/>
            </w:tcBorders>
          </w:tcPr>
          <w:p w14:paraId="44D48CF2" w14:textId="77777777" w:rsidR="00B41628" w:rsidRPr="006621DE" w:rsidRDefault="00B41628" w:rsidP="002553D0">
            <w:r w:rsidRPr="006621DE">
              <w:t>Urgent, emergency or consultant-led secondary care</w:t>
            </w:r>
          </w:p>
        </w:tc>
        <w:tc>
          <w:tcPr>
            <w:tcW w:w="1417" w:type="dxa"/>
            <w:tcBorders>
              <w:top w:val="nil"/>
              <w:left w:val="nil"/>
              <w:bottom w:val="nil"/>
              <w:right w:val="nil"/>
            </w:tcBorders>
          </w:tcPr>
          <w:p w14:paraId="292FEAB2" w14:textId="77777777" w:rsidR="00B41628" w:rsidRPr="006621DE" w:rsidRDefault="00B41628" w:rsidP="002553D0">
            <w:pPr>
              <w:jc w:val="center"/>
            </w:pPr>
            <w:r w:rsidRPr="006621DE">
              <w:t>3582 (3549)</w:t>
            </w:r>
          </w:p>
        </w:tc>
      </w:tr>
      <w:tr w:rsidR="00B41628" w:rsidRPr="006621DE" w14:paraId="166F1CCB" w14:textId="77777777" w:rsidTr="002553D0">
        <w:tc>
          <w:tcPr>
            <w:tcW w:w="1040" w:type="dxa"/>
            <w:tcBorders>
              <w:top w:val="nil"/>
              <w:left w:val="nil"/>
              <w:bottom w:val="nil"/>
              <w:right w:val="nil"/>
            </w:tcBorders>
          </w:tcPr>
          <w:p w14:paraId="1E98FE63" w14:textId="77777777" w:rsidR="00B41628" w:rsidRPr="006621DE" w:rsidRDefault="00B41628" w:rsidP="002553D0">
            <w:r w:rsidRPr="006621DE">
              <w:t>NSFT</w:t>
            </w:r>
          </w:p>
        </w:tc>
        <w:tc>
          <w:tcPr>
            <w:tcW w:w="2499" w:type="dxa"/>
            <w:tcBorders>
              <w:top w:val="nil"/>
              <w:left w:val="nil"/>
              <w:bottom w:val="nil"/>
              <w:right w:val="nil"/>
            </w:tcBorders>
          </w:tcPr>
          <w:p w14:paraId="6E63EB9C" w14:textId="77777777" w:rsidR="00B41628" w:rsidRPr="006621DE" w:rsidRDefault="00B41628" w:rsidP="002553D0">
            <w:r w:rsidRPr="006621DE">
              <w:t>Norfolk and Suffolk Foundation Trust</w:t>
            </w:r>
          </w:p>
        </w:tc>
        <w:tc>
          <w:tcPr>
            <w:tcW w:w="4394" w:type="dxa"/>
            <w:tcBorders>
              <w:top w:val="nil"/>
              <w:left w:val="nil"/>
              <w:bottom w:val="nil"/>
              <w:right w:val="nil"/>
            </w:tcBorders>
          </w:tcPr>
          <w:p w14:paraId="0A52C31A" w14:textId="77777777" w:rsidR="00B41628" w:rsidRPr="006621DE" w:rsidRDefault="00B41628" w:rsidP="002553D0">
            <w:r w:rsidRPr="006621DE">
              <w:t>Mental health and dementia care services</w:t>
            </w:r>
          </w:p>
        </w:tc>
        <w:tc>
          <w:tcPr>
            <w:tcW w:w="1417" w:type="dxa"/>
            <w:tcBorders>
              <w:top w:val="nil"/>
              <w:left w:val="nil"/>
              <w:bottom w:val="nil"/>
              <w:right w:val="nil"/>
            </w:tcBorders>
          </w:tcPr>
          <w:p w14:paraId="241360A3" w14:textId="77777777" w:rsidR="00B41628" w:rsidRPr="006621DE" w:rsidRDefault="00B41628" w:rsidP="002553D0">
            <w:pPr>
              <w:jc w:val="center"/>
            </w:pPr>
            <w:r w:rsidRPr="006621DE">
              <w:t>246 (87)</w:t>
            </w:r>
          </w:p>
        </w:tc>
      </w:tr>
      <w:tr w:rsidR="00B41628" w:rsidRPr="006621DE" w14:paraId="1DBB96C9" w14:textId="77777777" w:rsidTr="002553D0">
        <w:tc>
          <w:tcPr>
            <w:tcW w:w="1040" w:type="dxa"/>
            <w:tcBorders>
              <w:top w:val="nil"/>
              <w:left w:val="nil"/>
              <w:bottom w:val="nil"/>
              <w:right w:val="nil"/>
            </w:tcBorders>
          </w:tcPr>
          <w:p w14:paraId="3FB0477A" w14:textId="77777777" w:rsidR="00B41628" w:rsidRPr="006621DE" w:rsidRDefault="00B41628" w:rsidP="002553D0">
            <w:r w:rsidRPr="006621DE">
              <w:t>NCHC</w:t>
            </w:r>
          </w:p>
        </w:tc>
        <w:tc>
          <w:tcPr>
            <w:tcW w:w="2499" w:type="dxa"/>
            <w:tcBorders>
              <w:top w:val="nil"/>
              <w:left w:val="nil"/>
              <w:bottom w:val="nil"/>
              <w:right w:val="nil"/>
            </w:tcBorders>
          </w:tcPr>
          <w:p w14:paraId="68B2E1D8" w14:textId="77777777" w:rsidR="00B41628" w:rsidRPr="006621DE" w:rsidRDefault="00B41628" w:rsidP="002553D0">
            <w:r w:rsidRPr="006621DE">
              <w:t xml:space="preserve">Norfolk Community Health and Care </w:t>
            </w:r>
          </w:p>
        </w:tc>
        <w:tc>
          <w:tcPr>
            <w:tcW w:w="4394" w:type="dxa"/>
            <w:tcBorders>
              <w:top w:val="nil"/>
              <w:left w:val="nil"/>
              <w:bottom w:val="nil"/>
              <w:right w:val="nil"/>
            </w:tcBorders>
          </w:tcPr>
          <w:p w14:paraId="318F0319" w14:textId="77777777" w:rsidR="00B41628" w:rsidRPr="006621DE" w:rsidRDefault="00B41628" w:rsidP="002553D0">
            <w:r w:rsidRPr="006621DE">
              <w:t>Community hospitals that provide care procedures beyond remit of general practice</w:t>
            </w:r>
          </w:p>
        </w:tc>
        <w:tc>
          <w:tcPr>
            <w:tcW w:w="1417" w:type="dxa"/>
            <w:tcBorders>
              <w:top w:val="nil"/>
              <w:left w:val="nil"/>
              <w:bottom w:val="nil"/>
              <w:right w:val="nil"/>
            </w:tcBorders>
          </w:tcPr>
          <w:p w14:paraId="56769193" w14:textId="77777777" w:rsidR="00B41628" w:rsidRPr="006621DE" w:rsidRDefault="00B41628" w:rsidP="002553D0">
            <w:pPr>
              <w:jc w:val="center"/>
            </w:pPr>
            <w:r w:rsidRPr="006621DE">
              <w:t>1091 (946)</w:t>
            </w:r>
          </w:p>
        </w:tc>
      </w:tr>
      <w:tr w:rsidR="00B41628" w:rsidRPr="006621DE" w14:paraId="4A21F7BD" w14:textId="77777777" w:rsidTr="002553D0">
        <w:tc>
          <w:tcPr>
            <w:tcW w:w="1040" w:type="dxa"/>
            <w:tcBorders>
              <w:top w:val="nil"/>
              <w:left w:val="nil"/>
              <w:bottom w:val="nil"/>
              <w:right w:val="nil"/>
            </w:tcBorders>
          </w:tcPr>
          <w:p w14:paraId="40946374" w14:textId="77777777" w:rsidR="00B41628" w:rsidRPr="006621DE" w:rsidRDefault="00B41628" w:rsidP="002553D0">
            <w:r w:rsidRPr="006621DE">
              <w:t>Other</w:t>
            </w:r>
          </w:p>
        </w:tc>
        <w:tc>
          <w:tcPr>
            <w:tcW w:w="2499" w:type="dxa"/>
            <w:tcBorders>
              <w:top w:val="nil"/>
              <w:left w:val="nil"/>
              <w:bottom w:val="nil"/>
              <w:right w:val="nil"/>
            </w:tcBorders>
          </w:tcPr>
          <w:p w14:paraId="17B82918" w14:textId="77777777" w:rsidR="00B41628" w:rsidRPr="006621DE" w:rsidRDefault="00B41628" w:rsidP="002553D0">
            <w:r w:rsidRPr="006621DE">
              <w:t>Other NHS bodies</w:t>
            </w:r>
          </w:p>
        </w:tc>
        <w:tc>
          <w:tcPr>
            <w:tcW w:w="4394" w:type="dxa"/>
            <w:tcBorders>
              <w:top w:val="nil"/>
              <w:left w:val="nil"/>
              <w:bottom w:val="nil"/>
              <w:right w:val="nil"/>
            </w:tcBorders>
          </w:tcPr>
          <w:p w14:paraId="0F0D29EE" w14:textId="77777777" w:rsidR="00B41628" w:rsidRPr="006621DE" w:rsidRDefault="00B41628" w:rsidP="002553D0">
            <w:r w:rsidRPr="006621DE">
              <w:t>Mostly general practice, primary care</w:t>
            </w:r>
          </w:p>
        </w:tc>
        <w:tc>
          <w:tcPr>
            <w:tcW w:w="1417" w:type="dxa"/>
            <w:tcBorders>
              <w:top w:val="nil"/>
              <w:left w:val="nil"/>
              <w:bottom w:val="nil"/>
              <w:right w:val="nil"/>
            </w:tcBorders>
          </w:tcPr>
          <w:p w14:paraId="070E4962" w14:textId="77777777" w:rsidR="00B41628" w:rsidRPr="006621DE" w:rsidRDefault="00B41628" w:rsidP="002553D0">
            <w:pPr>
              <w:jc w:val="center"/>
            </w:pPr>
            <w:r w:rsidRPr="006621DE">
              <w:t>1854 (1027)</w:t>
            </w:r>
          </w:p>
        </w:tc>
      </w:tr>
      <w:tr w:rsidR="00B41628" w:rsidRPr="006621DE" w14:paraId="52431EF7" w14:textId="77777777" w:rsidTr="002553D0">
        <w:tc>
          <w:tcPr>
            <w:tcW w:w="1040" w:type="dxa"/>
            <w:tcBorders>
              <w:top w:val="nil"/>
              <w:left w:val="nil"/>
              <w:bottom w:val="nil"/>
              <w:right w:val="nil"/>
            </w:tcBorders>
          </w:tcPr>
          <w:p w14:paraId="1429DDE9" w14:textId="77777777" w:rsidR="00B41628" w:rsidRPr="006621DE" w:rsidRDefault="00B41628" w:rsidP="002553D0">
            <w:r w:rsidRPr="006621DE">
              <w:t>QEH</w:t>
            </w:r>
          </w:p>
        </w:tc>
        <w:tc>
          <w:tcPr>
            <w:tcW w:w="2499" w:type="dxa"/>
            <w:tcBorders>
              <w:top w:val="nil"/>
              <w:left w:val="nil"/>
              <w:bottom w:val="nil"/>
              <w:right w:val="nil"/>
            </w:tcBorders>
          </w:tcPr>
          <w:p w14:paraId="2532FBBA" w14:textId="77777777" w:rsidR="00B41628" w:rsidRPr="006621DE" w:rsidRDefault="00B41628" w:rsidP="002553D0">
            <w:r w:rsidRPr="006621DE">
              <w:t>Queen Elizabeth Hospital</w:t>
            </w:r>
          </w:p>
        </w:tc>
        <w:tc>
          <w:tcPr>
            <w:tcW w:w="4394" w:type="dxa"/>
            <w:tcBorders>
              <w:top w:val="nil"/>
              <w:left w:val="nil"/>
              <w:bottom w:val="nil"/>
              <w:right w:val="nil"/>
            </w:tcBorders>
          </w:tcPr>
          <w:p w14:paraId="2FEFDE5F" w14:textId="77777777" w:rsidR="00B41628" w:rsidRPr="006621DE" w:rsidRDefault="00B41628" w:rsidP="002553D0">
            <w:r w:rsidRPr="006621DE">
              <w:t>Urgent, emergency or consultant-led secondary care</w:t>
            </w:r>
          </w:p>
        </w:tc>
        <w:tc>
          <w:tcPr>
            <w:tcW w:w="1417" w:type="dxa"/>
            <w:tcBorders>
              <w:top w:val="nil"/>
              <w:left w:val="nil"/>
              <w:bottom w:val="nil"/>
              <w:right w:val="nil"/>
            </w:tcBorders>
          </w:tcPr>
          <w:p w14:paraId="2032A726" w14:textId="77777777" w:rsidR="00B41628" w:rsidRPr="006621DE" w:rsidRDefault="00B41628" w:rsidP="002553D0">
            <w:pPr>
              <w:jc w:val="center"/>
            </w:pPr>
            <w:r w:rsidRPr="006621DE">
              <w:t>1305 (1292)</w:t>
            </w:r>
          </w:p>
        </w:tc>
      </w:tr>
      <w:tr w:rsidR="00B41628" w:rsidRPr="006621DE" w14:paraId="7AEB6B15" w14:textId="77777777" w:rsidTr="002553D0">
        <w:tc>
          <w:tcPr>
            <w:tcW w:w="1040" w:type="dxa"/>
            <w:tcBorders>
              <w:top w:val="nil"/>
              <w:left w:val="nil"/>
              <w:bottom w:val="single" w:sz="4" w:space="0" w:color="auto"/>
              <w:right w:val="nil"/>
            </w:tcBorders>
          </w:tcPr>
          <w:p w14:paraId="7407D27A" w14:textId="77777777" w:rsidR="00B41628" w:rsidRPr="006621DE" w:rsidRDefault="00B41628" w:rsidP="002553D0">
            <w:r w:rsidRPr="006621DE">
              <w:t>WSH</w:t>
            </w:r>
          </w:p>
        </w:tc>
        <w:tc>
          <w:tcPr>
            <w:tcW w:w="2499" w:type="dxa"/>
            <w:tcBorders>
              <w:top w:val="nil"/>
              <w:left w:val="nil"/>
              <w:bottom w:val="single" w:sz="4" w:space="0" w:color="auto"/>
              <w:right w:val="nil"/>
            </w:tcBorders>
          </w:tcPr>
          <w:p w14:paraId="6B228FF9" w14:textId="77777777" w:rsidR="00B41628" w:rsidRPr="006621DE" w:rsidRDefault="00B41628" w:rsidP="002553D0">
            <w:r w:rsidRPr="006621DE">
              <w:t>West Suffolk Hospital</w:t>
            </w:r>
          </w:p>
        </w:tc>
        <w:tc>
          <w:tcPr>
            <w:tcW w:w="4394" w:type="dxa"/>
            <w:tcBorders>
              <w:top w:val="nil"/>
              <w:left w:val="nil"/>
              <w:bottom w:val="single" w:sz="4" w:space="0" w:color="auto"/>
              <w:right w:val="nil"/>
            </w:tcBorders>
          </w:tcPr>
          <w:p w14:paraId="27FA34D3" w14:textId="77777777" w:rsidR="00B41628" w:rsidRPr="006621DE" w:rsidRDefault="00B41628" w:rsidP="002553D0">
            <w:r w:rsidRPr="006621DE">
              <w:t>Urgent, emergency or consultant-led secondary care</w:t>
            </w:r>
          </w:p>
        </w:tc>
        <w:tc>
          <w:tcPr>
            <w:tcW w:w="1417" w:type="dxa"/>
            <w:tcBorders>
              <w:top w:val="nil"/>
              <w:left w:val="nil"/>
              <w:bottom w:val="single" w:sz="4" w:space="0" w:color="auto"/>
              <w:right w:val="nil"/>
            </w:tcBorders>
          </w:tcPr>
          <w:p w14:paraId="44C955BF" w14:textId="77777777" w:rsidR="00B41628" w:rsidRPr="006621DE" w:rsidRDefault="00B41628" w:rsidP="002553D0">
            <w:pPr>
              <w:jc w:val="center"/>
            </w:pPr>
            <w:r w:rsidRPr="006621DE">
              <w:t>174 (0)</w:t>
            </w:r>
          </w:p>
        </w:tc>
      </w:tr>
      <w:tr w:rsidR="00B41628" w:rsidRPr="006621DE" w14:paraId="321FF298" w14:textId="77777777" w:rsidTr="002553D0">
        <w:tc>
          <w:tcPr>
            <w:tcW w:w="1040" w:type="dxa"/>
            <w:tcBorders>
              <w:top w:val="single" w:sz="4" w:space="0" w:color="auto"/>
              <w:left w:val="nil"/>
              <w:bottom w:val="nil"/>
              <w:right w:val="nil"/>
            </w:tcBorders>
          </w:tcPr>
          <w:p w14:paraId="3477F7A5" w14:textId="77777777" w:rsidR="00B41628" w:rsidRPr="006621DE" w:rsidRDefault="00B41628" w:rsidP="002553D0"/>
        </w:tc>
        <w:tc>
          <w:tcPr>
            <w:tcW w:w="2499" w:type="dxa"/>
            <w:tcBorders>
              <w:top w:val="single" w:sz="4" w:space="0" w:color="auto"/>
              <w:left w:val="nil"/>
              <w:bottom w:val="nil"/>
              <w:right w:val="nil"/>
            </w:tcBorders>
          </w:tcPr>
          <w:p w14:paraId="796447E2" w14:textId="77777777" w:rsidR="00B41628" w:rsidRPr="006621DE" w:rsidRDefault="00B41628" w:rsidP="002553D0"/>
        </w:tc>
        <w:tc>
          <w:tcPr>
            <w:tcW w:w="4394" w:type="dxa"/>
            <w:tcBorders>
              <w:top w:val="single" w:sz="4" w:space="0" w:color="auto"/>
              <w:left w:val="nil"/>
              <w:bottom w:val="nil"/>
              <w:right w:val="nil"/>
            </w:tcBorders>
          </w:tcPr>
          <w:p w14:paraId="1726AC3B" w14:textId="77777777" w:rsidR="00B41628" w:rsidRPr="006621DE" w:rsidRDefault="00B41628" w:rsidP="002553D0"/>
        </w:tc>
        <w:tc>
          <w:tcPr>
            <w:tcW w:w="1417" w:type="dxa"/>
            <w:tcBorders>
              <w:top w:val="single" w:sz="4" w:space="0" w:color="auto"/>
              <w:left w:val="nil"/>
              <w:bottom w:val="nil"/>
              <w:right w:val="nil"/>
            </w:tcBorders>
          </w:tcPr>
          <w:p w14:paraId="41AA021D" w14:textId="77777777" w:rsidR="00B41628" w:rsidRPr="006621DE" w:rsidRDefault="00B41628" w:rsidP="002553D0"/>
        </w:tc>
      </w:tr>
    </w:tbl>
    <w:p w14:paraId="0EAA85D1" w14:textId="77777777" w:rsidR="00B41628" w:rsidRPr="006621DE" w:rsidRDefault="00B41628" w:rsidP="00B41628">
      <w:r w:rsidRPr="006621DE">
        <w:t xml:space="preserve">Note: </w:t>
      </w:r>
      <w:r w:rsidRPr="006621DE">
        <w:rPr>
          <w:u w:val="single"/>
        </w:rPr>
        <w:t xml:space="preserve">#records </w:t>
      </w:r>
      <w:r w:rsidRPr="006621DE">
        <w:rPr>
          <w:iCs/>
          <w:u w:val="single"/>
        </w:rPr>
        <w:t>start</w:t>
      </w:r>
      <w:r w:rsidRPr="006621DE">
        <w:t xml:space="preserve"> refers to total unique patient records for +Covid swab in period 1 March 2020 to 28 Feb 2021 (last swab date 17 Feb 2021 in case of QEH).  The data refer to patients registered at NWCCG primary care practices.  Some unique patient records were linked to more than one provider and are double counted in this table.  </w:t>
      </w:r>
      <w:r w:rsidRPr="006621DE">
        <w:rPr>
          <w:u w:val="single"/>
        </w:rPr>
        <w:t>#records (full data)</w:t>
      </w:r>
      <w:r w:rsidRPr="006621DE">
        <w:t xml:space="preserve"> means count of records that had complete data for all of age/sex/deprivation/mortality outcome.   Records from WSH provider were incomplete due to lack of home area (postcode) thus no deprivation indicator.  The only large provider group with many incomplete records was the ‘Other’ category which reported on 388 Pillar 1 patients in Wave 1, and 1448 patients in Wave 2; this provider category was subsumed into other providers after 28 Jan 2021.</w:t>
      </w:r>
    </w:p>
    <w:p w14:paraId="3EDC592D" w14:textId="77777777" w:rsidR="00B41628" w:rsidRPr="006621DE" w:rsidRDefault="00B41628" w:rsidP="00B41628"/>
    <w:p w14:paraId="2655DA4F" w14:textId="77777777" w:rsidR="00B41628" w:rsidRPr="006621DE" w:rsidRDefault="00B41628" w:rsidP="00B41628"/>
    <w:p w14:paraId="46A4BCB3" w14:textId="77777777" w:rsidR="00B41628" w:rsidRPr="006621DE" w:rsidRDefault="00B41628" w:rsidP="00B41628"/>
    <w:p w14:paraId="38E7FB1D" w14:textId="77777777" w:rsidR="00B41628" w:rsidRPr="006621DE" w:rsidRDefault="00B41628" w:rsidP="00B41628">
      <w:pPr>
        <w:rPr>
          <w:rStyle w:val="Heading2Char"/>
          <w:color w:val="auto"/>
        </w:rPr>
      </w:pPr>
      <w:r w:rsidRPr="006621DE">
        <w:rPr>
          <w:rStyle w:val="Heading2Char"/>
          <w:color w:val="auto"/>
        </w:rPr>
        <w:br w:type="page"/>
      </w:r>
    </w:p>
    <w:p w14:paraId="36996A71" w14:textId="77777777" w:rsidR="00B41628" w:rsidRPr="006621DE" w:rsidRDefault="00B41628" w:rsidP="00B41628">
      <w:pPr>
        <w:pStyle w:val="Heading2"/>
        <w:rPr>
          <w:color w:val="auto"/>
        </w:rPr>
      </w:pPr>
      <w:r w:rsidRPr="006621DE">
        <w:rPr>
          <w:rStyle w:val="Heading2Char"/>
          <w:color w:val="auto"/>
        </w:rPr>
        <w:t>Supplementary Figure 1</w:t>
      </w:r>
      <w:r w:rsidRPr="006621DE">
        <w:rPr>
          <w:color w:val="auto"/>
        </w:rPr>
        <w:t>.  Increased predominance of variant B.1.1.7 (Alpha variant) of SARS-CoV-2 over second wave period</w:t>
      </w:r>
    </w:p>
    <w:p w14:paraId="369541E6" w14:textId="77777777" w:rsidR="00B41628" w:rsidRPr="006621DE" w:rsidRDefault="00B41628" w:rsidP="00B41628"/>
    <w:p w14:paraId="170DEE06" w14:textId="77777777" w:rsidR="00B41628" w:rsidRPr="006621DE" w:rsidRDefault="00B41628" w:rsidP="00B41628"/>
    <w:p w14:paraId="0C710B03" w14:textId="77777777" w:rsidR="00B41628" w:rsidRPr="006621DE" w:rsidRDefault="00B41628" w:rsidP="00B41628">
      <w:r w:rsidRPr="006621DE">
        <w:rPr>
          <w:noProof/>
          <w:lang w:val="en-US" w:eastAsia="en-US"/>
        </w:rPr>
        <w:drawing>
          <wp:inline distT="0" distB="0" distL="0" distR="0" wp14:anchorId="492896A2" wp14:editId="3527A609">
            <wp:extent cx="6157595" cy="3108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7595" cy="3108960"/>
                    </a:xfrm>
                    <a:prstGeom prst="rect">
                      <a:avLst/>
                    </a:prstGeom>
                    <a:noFill/>
                  </pic:spPr>
                </pic:pic>
              </a:graphicData>
            </a:graphic>
          </wp:inline>
        </w:drawing>
      </w:r>
    </w:p>
    <w:p w14:paraId="67C039B8" w14:textId="77777777" w:rsidR="00B41628" w:rsidRPr="006621DE" w:rsidRDefault="00B41628" w:rsidP="00B41628"/>
    <w:p w14:paraId="2CF29F57" w14:textId="05CA9A71" w:rsidR="00B41628" w:rsidRPr="006621DE" w:rsidRDefault="00982E6A" w:rsidP="00B41628">
      <w:pPr>
        <w:rPr>
          <w:rStyle w:val="Heading2Char"/>
          <w:rFonts w:ascii="Times New Roman" w:eastAsiaTheme="minorHAnsi" w:hAnsi="Times New Roman" w:cs="Times New Roman"/>
          <w:color w:val="auto"/>
          <w:sz w:val="24"/>
          <w:szCs w:val="24"/>
        </w:rPr>
      </w:pPr>
      <w:r w:rsidRPr="006621DE">
        <w:rPr>
          <w:b/>
          <w:bCs/>
        </w:rPr>
        <w:t>Source</w:t>
      </w:r>
      <w:r w:rsidRPr="006621DE">
        <w:t xml:space="preserve">: </w:t>
      </w:r>
      <w:r w:rsidR="00B41628" w:rsidRPr="006621DE">
        <w:t xml:space="preserve">Data downloaded from </w:t>
      </w:r>
      <w:r w:rsidR="006A4E46" w:rsidRPr="006621DE">
        <w:t xml:space="preserve">https://covid19.sanger.ac.uk/lineages/raw.  </w:t>
      </w:r>
      <w:r w:rsidR="00B41628" w:rsidRPr="006621DE">
        <w:t xml:space="preserve">Note: Data </w:t>
      </w:r>
      <w:r w:rsidR="00226354" w:rsidRPr="006621DE">
        <w:t xml:space="preserve">shown </w:t>
      </w:r>
      <w:r w:rsidR="00B41628" w:rsidRPr="006621DE">
        <w:t>relate only to cases resident in N&amp;W CCG local tier authority areas.</w:t>
      </w:r>
      <w:r w:rsidR="00B41628" w:rsidRPr="006621DE">
        <w:rPr>
          <w:rStyle w:val="Heading2Char"/>
          <w:color w:val="auto"/>
        </w:rPr>
        <w:t xml:space="preserve"> </w:t>
      </w:r>
    </w:p>
    <w:p w14:paraId="72D78613" w14:textId="77777777" w:rsidR="00B41628" w:rsidRPr="006621DE" w:rsidRDefault="00B41628" w:rsidP="00B41628">
      <w:pPr>
        <w:rPr>
          <w:rStyle w:val="Heading2Char"/>
          <w:color w:val="auto"/>
        </w:rPr>
      </w:pPr>
    </w:p>
    <w:p w14:paraId="513F6CF4" w14:textId="77777777" w:rsidR="00B41628" w:rsidRPr="006621DE" w:rsidRDefault="00B41628" w:rsidP="00B41628">
      <w:pPr>
        <w:rPr>
          <w:rStyle w:val="Heading2Char"/>
          <w:color w:val="auto"/>
        </w:rPr>
      </w:pPr>
      <w:r w:rsidRPr="006621DE">
        <w:rPr>
          <w:rStyle w:val="Heading2Char"/>
          <w:color w:val="auto"/>
        </w:rPr>
        <w:br w:type="page"/>
      </w:r>
    </w:p>
    <w:p w14:paraId="0943B5C5" w14:textId="77777777" w:rsidR="00B41628" w:rsidRPr="006621DE" w:rsidRDefault="00B41628" w:rsidP="00B41628">
      <w:pPr>
        <w:pStyle w:val="Heading2"/>
        <w:rPr>
          <w:color w:val="auto"/>
        </w:rPr>
      </w:pPr>
      <w:r w:rsidRPr="006621DE">
        <w:rPr>
          <w:rStyle w:val="Heading2Char"/>
          <w:color w:val="auto"/>
        </w:rPr>
        <w:t>Supplementary Figure 2</w:t>
      </w:r>
      <w:r w:rsidRPr="006621DE">
        <w:rPr>
          <w:color w:val="auto"/>
        </w:rPr>
        <w:t>.  Morality among Covid+ patients following stays in critical care units (all UK)</w:t>
      </w:r>
    </w:p>
    <w:p w14:paraId="05A0F3FA" w14:textId="77777777" w:rsidR="00B41628" w:rsidRPr="006621DE" w:rsidRDefault="00B41628" w:rsidP="00B41628"/>
    <w:p w14:paraId="0ABC7426" w14:textId="77777777" w:rsidR="00B41628" w:rsidRPr="006621DE" w:rsidRDefault="00B41628" w:rsidP="00B41628"/>
    <w:p w14:paraId="7AC07D5D" w14:textId="77777777" w:rsidR="00B41628" w:rsidRPr="006621DE" w:rsidRDefault="00B41628" w:rsidP="00B41628">
      <w:r w:rsidRPr="006621DE">
        <w:rPr>
          <w:noProof/>
          <w:lang w:val="en-US" w:eastAsia="en-US"/>
        </w:rPr>
        <w:drawing>
          <wp:inline distT="0" distB="0" distL="0" distR="0" wp14:anchorId="4D19714C" wp14:editId="641C5C21">
            <wp:extent cx="6220047" cy="3324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5965564" w14:textId="77777777" w:rsidR="00B41628" w:rsidRPr="006621DE" w:rsidRDefault="00B41628" w:rsidP="00B41628"/>
    <w:p w14:paraId="3356B9DE" w14:textId="77777777" w:rsidR="00B41628" w:rsidRPr="006621DE" w:rsidRDefault="00B41628" w:rsidP="00B41628">
      <w:r w:rsidRPr="006621DE">
        <w:rPr>
          <w:b/>
        </w:rPr>
        <w:t>Source</w:t>
      </w:r>
      <w:r w:rsidRPr="006621DE">
        <w:t xml:space="preserve">: Data updated through 5 July 2021, from the Intensive Care National Audit &amp; Research Centre (ICNARC), </w:t>
      </w:r>
      <w:hyperlink w:history="1"/>
      <w:r w:rsidRPr="006621DE">
        <w:t>https://www.icnarc.org/our-audit/audits/cmp/reports.</w:t>
      </w:r>
    </w:p>
    <w:p w14:paraId="212539A4" w14:textId="7B964A98" w:rsidR="00B41628" w:rsidRPr="006621DE" w:rsidRDefault="00B41628" w:rsidP="00B41628">
      <w:pPr>
        <w:rPr>
          <w:rStyle w:val="Heading2Char"/>
          <w:color w:val="auto"/>
        </w:rPr>
      </w:pPr>
    </w:p>
    <w:p w14:paraId="4FB898B6" w14:textId="77C762BE" w:rsidR="00DA676F" w:rsidRPr="006621DE" w:rsidRDefault="00DA676F" w:rsidP="00B41628">
      <w:pPr>
        <w:rPr>
          <w:rStyle w:val="Heading2Char"/>
          <w:color w:val="auto"/>
        </w:rPr>
      </w:pPr>
    </w:p>
    <w:p w14:paraId="3724110E" w14:textId="7DAF0DA4" w:rsidR="00DA676F" w:rsidRPr="006621DE" w:rsidRDefault="00DA676F">
      <w:pPr>
        <w:spacing w:after="160" w:line="259" w:lineRule="auto"/>
        <w:rPr>
          <w:rStyle w:val="Heading2Char"/>
          <w:color w:val="auto"/>
        </w:rPr>
      </w:pPr>
      <w:r w:rsidRPr="006621DE">
        <w:rPr>
          <w:rStyle w:val="Heading2Char"/>
          <w:color w:val="auto"/>
        </w:rPr>
        <w:br w:type="page"/>
      </w:r>
    </w:p>
    <w:p w14:paraId="269CA9C9" w14:textId="77777777" w:rsidR="00DA676F" w:rsidRPr="006621DE" w:rsidRDefault="00DA676F" w:rsidP="00DA676F"/>
    <w:p w14:paraId="632A517E" w14:textId="77777777" w:rsidR="00DA676F" w:rsidRPr="006621DE" w:rsidRDefault="00DA676F" w:rsidP="00DA676F">
      <w:pPr>
        <w:pStyle w:val="Heading2"/>
        <w:rPr>
          <w:color w:val="auto"/>
        </w:rPr>
      </w:pPr>
      <w:r w:rsidRPr="006621DE">
        <w:rPr>
          <w:rStyle w:val="Heading2Char"/>
          <w:color w:val="auto"/>
        </w:rPr>
        <w:t>Supplementary Table 2</w:t>
      </w:r>
    </w:p>
    <w:p w14:paraId="698547EE" w14:textId="77777777" w:rsidR="00DA676F" w:rsidRPr="006621DE" w:rsidRDefault="00DA676F" w:rsidP="00DA676F"/>
    <w:p w14:paraId="39256AA6" w14:textId="77777777" w:rsidR="00DA676F" w:rsidRPr="006621DE" w:rsidRDefault="00DA676F" w:rsidP="00DA676F">
      <w:r w:rsidRPr="006621DE">
        <w:t>Case fatality rates (pillar 1 cases) in Norfolk and Waveney (adjusted by the Norfolk and Waveney population total in each subgroup)</w:t>
      </w:r>
    </w:p>
    <w:tbl>
      <w:tblPr>
        <w:tblW w:w="6460" w:type="dxa"/>
        <w:tblLook w:val="04A0" w:firstRow="1" w:lastRow="0" w:firstColumn="1" w:lastColumn="0" w:noHBand="0" w:noVBand="1"/>
      </w:tblPr>
      <w:tblGrid>
        <w:gridCol w:w="1580"/>
        <w:gridCol w:w="2440"/>
        <w:gridCol w:w="2440"/>
      </w:tblGrid>
      <w:tr w:rsidR="00DA676F" w:rsidRPr="006621DE" w14:paraId="062AD8FD" w14:textId="77777777" w:rsidTr="00420B56">
        <w:trPr>
          <w:trHeight w:val="315"/>
        </w:trPr>
        <w:tc>
          <w:tcPr>
            <w:tcW w:w="1580" w:type="dxa"/>
            <w:tcBorders>
              <w:top w:val="nil"/>
              <w:left w:val="nil"/>
              <w:bottom w:val="nil"/>
              <w:right w:val="nil"/>
            </w:tcBorders>
            <w:shd w:val="clear" w:color="auto" w:fill="auto"/>
            <w:noWrap/>
            <w:vAlign w:val="bottom"/>
            <w:hideMark/>
          </w:tcPr>
          <w:p w14:paraId="6B793F70" w14:textId="77777777" w:rsidR="00DA676F" w:rsidRPr="006621DE" w:rsidRDefault="00DA676F" w:rsidP="00420B56">
            <w:pPr>
              <w:rPr>
                <w:rFonts w:eastAsia="Times New Roman"/>
              </w:rPr>
            </w:pPr>
          </w:p>
        </w:tc>
        <w:tc>
          <w:tcPr>
            <w:tcW w:w="2440" w:type="dxa"/>
            <w:tcBorders>
              <w:top w:val="nil"/>
              <w:left w:val="nil"/>
              <w:bottom w:val="nil"/>
              <w:right w:val="nil"/>
            </w:tcBorders>
            <w:shd w:val="clear" w:color="auto" w:fill="auto"/>
            <w:noWrap/>
            <w:vAlign w:val="bottom"/>
            <w:hideMark/>
          </w:tcPr>
          <w:p w14:paraId="2583A36D" w14:textId="77777777" w:rsidR="00DA676F" w:rsidRPr="006621DE" w:rsidRDefault="00DA676F" w:rsidP="00420B56">
            <w:pPr>
              <w:jc w:val="center"/>
              <w:rPr>
                <w:rFonts w:eastAsia="Times New Roman"/>
              </w:rPr>
            </w:pPr>
            <w:r w:rsidRPr="006621DE">
              <w:rPr>
                <w:rFonts w:eastAsia="Times New Roman"/>
              </w:rPr>
              <w:t>Wave 1</w:t>
            </w:r>
          </w:p>
        </w:tc>
        <w:tc>
          <w:tcPr>
            <w:tcW w:w="2440" w:type="dxa"/>
            <w:tcBorders>
              <w:top w:val="nil"/>
              <w:left w:val="nil"/>
              <w:bottom w:val="nil"/>
              <w:right w:val="nil"/>
            </w:tcBorders>
            <w:shd w:val="clear" w:color="auto" w:fill="auto"/>
            <w:noWrap/>
            <w:vAlign w:val="bottom"/>
            <w:hideMark/>
          </w:tcPr>
          <w:p w14:paraId="46214A43" w14:textId="77777777" w:rsidR="00DA676F" w:rsidRPr="006621DE" w:rsidRDefault="00DA676F" w:rsidP="00420B56">
            <w:pPr>
              <w:jc w:val="center"/>
              <w:rPr>
                <w:rFonts w:eastAsia="Times New Roman"/>
              </w:rPr>
            </w:pPr>
            <w:r w:rsidRPr="006621DE">
              <w:rPr>
                <w:rFonts w:eastAsia="Times New Roman"/>
              </w:rPr>
              <w:t>Wave 2</w:t>
            </w:r>
          </w:p>
        </w:tc>
      </w:tr>
      <w:tr w:rsidR="00DA676F" w:rsidRPr="006621DE" w14:paraId="0B6FC5E0" w14:textId="77777777" w:rsidTr="00420B56">
        <w:trPr>
          <w:trHeight w:val="227"/>
        </w:trPr>
        <w:tc>
          <w:tcPr>
            <w:tcW w:w="1580" w:type="dxa"/>
            <w:tcBorders>
              <w:top w:val="single" w:sz="8" w:space="0" w:color="auto"/>
              <w:left w:val="nil"/>
              <w:bottom w:val="single" w:sz="8" w:space="0" w:color="auto"/>
              <w:right w:val="nil"/>
            </w:tcBorders>
            <w:shd w:val="clear" w:color="auto" w:fill="auto"/>
            <w:vAlign w:val="bottom"/>
            <w:hideMark/>
          </w:tcPr>
          <w:p w14:paraId="34D323EC" w14:textId="77777777" w:rsidR="00DA676F" w:rsidRPr="006621DE" w:rsidRDefault="00DA676F" w:rsidP="00420B56">
            <w:pPr>
              <w:jc w:val="center"/>
              <w:rPr>
                <w:rFonts w:eastAsia="Times New Roman"/>
              </w:rPr>
            </w:pPr>
            <w:r w:rsidRPr="006621DE">
              <w:rPr>
                <w:rFonts w:eastAsia="Times New Roman"/>
              </w:rPr>
              <w:t> </w:t>
            </w:r>
          </w:p>
        </w:tc>
        <w:tc>
          <w:tcPr>
            <w:tcW w:w="2440" w:type="dxa"/>
            <w:tcBorders>
              <w:top w:val="single" w:sz="8" w:space="0" w:color="auto"/>
              <w:left w:val="nil"/>
              <w:bottom w:val="single" w:sz="8" w:space="0" w:color="auto"/>
              <w:right w:val="nil"/>
            </w:tcBorders>
            <w:shd w:val="clear" w:color="auto" w:fill="auto"/>
            <w:vAlign w:val="bottom"/>
            <w:hideMark/>
          </w:tcPr>
          <w:p w14:paraId="2315EF8D" w14:textId="77777777" w:rsidR="00DA676F" w:rsidRPr="006621DE" w:rsidRDefault="00DA676F" w:rsidP="00420B56">
            <w:pPr>
              <w:jc w:val="right"/>
              <w:rPr>
                <w:rFonts w:eastAsia="Times New Roman"/>
              </w:rPr>
            </w:pPr>
            <w:r w:rsidRPr="006621DE">
              <w:rPr>
                <w:rFonts w:eastAsia="Times New Roman"/>
              </w:rPr>
              <w:t>% (95%CI)</w:t>
            </w:r>
          </w:p>
        </w:tc>
        <w:tc>
          <w:tcPr>
            <w:tcW w:w="2440" w:type="dxa"/>
            <w:tcBorders>
              <w:top w:val="single" w:sz="8" w:space="0" w:color="auto"/>
              <w:left w:val="nil"/>
              <w:bottom w:val="single" w:sz="8" w:space="0" w:color="auto"/>
              <w:right w:val="nil"/>
            </w:tcBorders>
            <w:shd w:val="clear" w:color="auto" w:fill="auto"/>
            <w:vAlign w:val="bottom"/>
            <w:hideMark/>
          </w:tcPr>
          <w:p w14:paraId="1B93AD65" w14:textId="77777777" w:rsidR="00DA676F" w:rsidRPr="006621DE" w:rsidRDefault="00DA676F" w:rsidP="00420B56">
            <w:pPr>
              <w:jc w:val="right"/>
              <w:rPr>
                <w:rFonts w:eastAsia="Times New Roman"/>
              </w:rPr>
            </w:pPr>
            <w:r w:rsidRPr="006621DE">
              <w:rPr>
                <w:rFonts w:eastAsia="Times New Roman"/>
              </w:rPr>
              <w:t>% (95%CI)</w:t>
            </w:r>
          </w:p>
        </w:tc>
      </w:tr>
      <w:tr w:rsidR="00DA676F" w:rsidRPr="006621DE" w14:paraId="413B869C" w14:textId="77777777" w:rsidTr="00420B56">
        <w:trPr>
          <w:trHeight w:val="300"/>
        </w:trPr>
        <w:tc>
          <w:tcPr>
            <w:tcW w:w="1580" w:type="dxa"/>
            <w:tcBorders>
              <w:top w:val="nil"/>
              <w:left w:val="nil"/>
              <w:bottom w:val="nil"/>
              <w:right w:val="nil"/>
            </w:tcBorders>
            <w:shd w:val="clear" w:color="auto" w:fill="auto"/>
            <w:vAlign w:val="bottom"/>
            <w:hideMark/>
          </w:tcPr>
          <w:p w14:paraId="5A06CF1B" w14:textId="77777777" w:rsidR="00DA676F" w:rsidRPr="006621DE" w:rsidRDefault="00DA676F" w:rsidP="00420B56">
            <w:pPr>
              <w:rPr>
                <w:rFonts w:eastAsia="Times New Roman"/>
              </w:rPr>
            </w:pPr>
            <w:r w:rsidRPr="006621DE">
              <w:rPr>
                <w:rFonts w:eastAsia="Times New Roman"/>
              </w:rPr>
              <w:t>ALL</w:t>
            </w:r>
          </w:p>
        </w:tc>
        <w:tc>
          <w:tcPr>
            <w:tcW w:w="2440" w:type="dxa"/>
            <w:tcBorders>
              <w:top w:val="nil"/>
              <w:left w:val="nil"/>
              <w:bottom w:val="nil"/>
              <w:right w:val="nil"/>
            </w:tcBorders>
            <w:shd w:val="clear" w:color="auto" w:fill="auto"/>
            <w:noWrap/>
            <w:vAlign w:val="bottom"/>
            <w:hideMark/>
          </w:tcPr>
          <w:p w14:paraId="52442981" w14:textId="77777777" w:rsidR="00DA676F" w:rsidRPr="006621DE" w:rsidRDefault="00DA676F" w:rsidP="00420B56">
            <w:pPr>
              <w:jc w:val="right"/>
              <w:rPr>
                <w:rFonts w:eastAsia="Times New Roman"/>
              </w:rPr>
            </w:pPr>
            <w:r w:rsidRPr="006621DE">
              <w:rPr>
                <w:rFonts w:eastAsia="Times New Roman"/>
              </w:rPr>
              <w:t>10.7 (9.3-12.2)</w:t>
            </w:r>
          </w:p>
        </w:tc>
        <w:tc>
          <w:tcPr>
            <w:tcW w:w="2440" w:type="dxa"/>
            <w:tcBorders>
              <w:top w:val="nil"/>
              <w:left w:val="nil"/>
              <w:bottom w:val="nil"/>
              <w:right w:val="nil"/>
            </w:tcBorders>
            <w:shd w:val="clear" w:color="auto" w:fill="auto"/>
            <w:noWrap/>
            <w:vAlign w:val="bottom"/>
            <w:hideMark/>
          </w:tcPr>
          <w:p w14:paraId="1BF92CE1" w14:textId="77777777" w:rsidR="00DA676F" w:rsidRPr="006621DE" w:rsidRDefault="00DA676F" w:rsidP="00420B56">
            <w:pPr>
              <w:jc w:val="right"/>
              <w:rPr>
                <w:rFonts w:eastAsia="Times New Roman"/>
                <w:iCs/>
              </w:rPr>
            </w:pPr>
            <w:r w:rsidRPr="006621DE">
              <w:rPr>
                <w:rFonts w:eastAsia="Times New Roman"/>
                <w:iCs/>
              </w:rPr>
              <w:t>8.3 (7.8-8.9)</w:t>
            </w:r>
          </w:p>
        </w:tc>
      </w:tr>
      <w:tr w:rsidR="00DA676F" w:rsidRPr="006621DE" w14:paraId="4BFB3349" w14:textId="77777777" w:rsidTr="00420B56">
        <w:trPr>
          <w:trHeight w:val="300"/>
        </w:trPr>
        <w:tc>
          <w:tcPr>
            <w:tcW w:w="1580" w:type="dxa"/>
            <w:tcBorders>
              <w:top w:val="nil"/>
              <w:left w:val="nil"/>
              <w:bottom w:val="nil"/>
              <w:right w:val="nil"/>
            </w:tcBorders>
            <w:shd w:val="clear" w:color="auto" w:fill="auto"/>
            <w:noWrap/>
            <w:vAlign w:val="bottom"/>
            <w:hideMark/>
          </w:tcPr>
          <w:p w14:paraId="23A7E478" w14:textId="77777777" w:rsidR="00DA676F" w:rsidRPr="006621DE" w:rsidRDefault="00DA676F" w:rsidP="00420B56">
            <w:pPr>
              <w:rPr>
                <w:rFonts w:eastAsia="Times New Roman"/>
                <w:b/>
                <w:bCs/>
              </w:rPr>
            </w:pPr>
            <w:r w:rsidRPr="006621DE">
              <w:rPr>
                <w:rFonts w:eastAsia="Times New Roman"/>
                <w:b/>
                <w:bCs/>
              </w:rPr>
              <w:t>SEX</w:t>
            </w:r>
          </w:p>
        </w:tc>
        <w:tc>
          <w:tcPr>
            <w:tcW w:w="2440" w:type="dxa"/>
            <w:tcBorders>
              <w:top w:val="nil"/>
              <w:left w:val="nil"/>
              <w:bottom w:val="nil"/>
              <w:right w:val="nil"/>
            </w:tcBorders>
            <w:shd w:val="clear" w:color="auto" w:fill="auto"/>
            <w:noWrap/>
            <w:vAlign w:val="bottom"/>
            <w:hideMark/>
          </w:tcPr>
          <w:p w14:paraId="7AF4823E" w14:textId="77777777" w:rsidR="00DA676F" w:rsidRPr="006621DE" w:rsidRDefault="00DA676F" w:rsidP="00420B56">
            <w:pPr>
              <w:rPr>
                <w:rFonts w:eastAsia="Times New Roman"/>
                <w:b/>
                <w:bCs/>
              </w:rPr>
            </w:pPr>
          </w:p>
        </w:tc>
        <w:tc>
          <w:tcPr>
            <w:tcW w:w="2440" w:type="dxa"/>
            <w:tcBorders>
              <w:top w:val="nil"/>
              <w:left w:val="nil"/>
              <w:bottom w:val="nil"/>
              <w:right w:val="nil"/>
            </w:tcBorders>
            <w:shd w:val="clear" w:color="auto" w:fill="auto"/>
            <w:noWrap/>
            <w:vAlign w:val="bottom"/>
            <w:hideMark/>
          </w:tcPr>
          <w:p w14:paraId="11357CA3" w14:textId="77777777" w:rsidR="00DA676F" w:rsidRPr="006621DE" w:rsidRDefault="00DA676F" w:rsidP="00420B56">
            <w:pPr>
              <w:rPr>
                <w:rFonts w:eastAsia="Times New Roman"/>
              </w:rPr>
            </w:pPr>
          </w:p>
        </w:tc>
      </w:tr>
      <w:tr w:rsidR="00DA676F" w:rsidRPr="006621DE" w14:paraId="054BEA8C" w14:textId="77777777" w:rsidTr="00420B56">
        <w:trPr>
          <w:trHeight w:val="300"/>
        </w:trPr>
        <w:tc>
          <w:tcPr>
            <w:tcW w:w="1580" w:type="dxa"/>
            <w:tcBorders>
              <w:top w:val="nil"/>
              <w:left w:val="nil"/>
              <w:bottom w:val="nil"/>
              <w:right w:val="nil"/>
            </w:tcBorders>
            <w:shd w:val="clear" w:color="auto" w:fill="auto"/>
            <w:noWrap/>
            <w:vAlign w:val="bottom"/>
            <w:hideMark/>
          </w:tcPr>
          <w:p w14:paraId="7EEB4897" w14:textId="77777777" w:rsidR="00DA676F" w:rsidRPr="006621DE" w:rsidRDefault="00DA676F" w:rsidP="00420B56">
            <w:pPr>
              <w:rPr>
                <w:rFonts w:eastAsia="Times New Roman"/>
              </w:rPr>
            </w:pPr>
            <w:r w:rsidRPr="006621DE">
              <w:rPr>
                <w:rFonts w:eastAsia="Times New Roman"/>
              </w:rPr>
              <w:t>Male</w:t>
            </w:r>
          </w:p>
        </w:tc>
        <w:tc>
          <w:tcPr>
            <w:tcW w:w="2440" w:type="dxa"/>
            <w:tcBorders>
              <w:top w:val="nil"/>
              <w:left w:val="nil"/>
              <w:bottom w:val="nil"/>
              <w:right w:val="nil"/>
            </w:tcBorders>
            <w:shd w:val="clear" w:color="auto" w:fill="auto"/>
            <w:noWrap/>
            <w:vAlign w:val="bottom"/>
            <w:hideMark/>
          </w:tcPr>
          <w:p w14:paraId="234CB73A" w14:textId="77777777" w:rsidR="00DA676F" w:rsidRPr="006621DE" w:rsidRDefault="00DA676F" w:rsidP="00420B56">
            <w:pPr>
              <w:jc w:val="right"/>
              <w:rPr>
                <w:rFonts w:eastAsia="Times New Roman"/>
                <w:iCs/>
              </w:rPr>
            </w:pPr>
            <w:r w:rsidRPr="006621DE">
              <w:rPr>
                <w:rFonts w:eastAsia="Times New Roman"/>
                <w:iCs/>
              </w:rPr>
              <w:t>11.9 (10.4-13.6)</w:t>
            </w:r>
          </w:p>
        </w:tc>
        <w:tc>
          <w:tcPr>
            <w:tcW w:w="2440" w:type="dxa"/>
            <w:tcBorders>
              <w:top w:val="nil"/>
              <w:left w:val="nil"/>
              <w:bottom w:val="nil"/>
              <w:right w:val="nil"/>
            </w:tcBorders>
            <w:shd w:val="clear" w:color="auto" w:fill="auto"/>
            <w:noWrap/>
            <w:vAlign w:val="bottom"/>
            <w:hideMark/>
          </w:tcPr>
          <w:p w14:paraId="511DF4FA" w14:textId="77777777" w:rsidR="00DA676F" w:rsidRPr="006621DE" w:rsidRDefault="00DA676F" w:rsidP="00420B56">
            <w:pPr>
              <w:jc w:val="right"/>
              <w:rPr>
                <w:rFonts w:eastAsia="Times New Roman"/>
                <w:iCs/>
              </w:rPr>
            </w:pPr>
            <w:r w:rsidRPr="006621DE">
              <w:rPr>
                <w:rFonts w:eastAsia="Times New Roman"/>
                <w:iCs/>
              </w:rPr>
              <w:t>9.3 (8.5-10.1)</w:t>
            </w:r>
          </w:p>
        </w:tc>
      </w:tr>
      <w:tr w:rsidR="00DA676F" w:rsidRPr="006621DE" w14:paraId="459578DB" w14:textId="77777777" w:rsidTr="00420B56">
        <w:trPr>
          <w:trHeight w:val="300"/>
        </w:trPr>
        <w:tc>
          <w:tcPr>
            <w:tcW w:w="1580" w:type="dxa"/>
            <w:tcBorders>
              <w:top w:val="nil"/>
              <w:left w:val="nil"/>
              <w:bottom w:val="nil"/>
              <w:right w:val="nil"/>
            </w:tcBorders>
            <w:shd w:val="clear" w:color="auto" w:fill="auto"/>
            <w:noWrap/>
            <w:vAlign w:val="bottom"/>
            <w:hideMark/>
          </w:tcPr>
          <w:p w14:paraId="4C71BA86" w14:textId="77777777" w:rsidR="00DA676F" w:rsidRPr="006621DE" w:rsidRDefault="00DA676F" w:rsidP="00420B56">
            <w:pPr>
              <w:rPr>
                <w:rFonts w:eastAsia="Times New Roman"/>
              </w:rPr>
            </w:pPr>
            <w:r w:rsidRPr="006621DE">
              <w:rPr>
                <w:rFonts w:eastAsia="Times New Roman"/>
              </w:rPr>
              <w:t>Female</w:t>
            </w:r>
          </w:p>
        </w:tc>
        <w:tc>
          <w:tcPr>
            <w:tcW w:w="2440" w:type="dxa"/>
            <w:tcBorders>
              <w:top w:val="nil"/>
              <w:left w:val="nil"/>
              <w:bottom w:val="nil"/>
              <w:right w:val="nil"/>
            </w:tcBorders>
            <w:shd w:val="clear" w:color="auto" w:fill="auto"/>
            <w:noWrap/>
            <w:vAlign w:val="bottom"/>
            <w:hideMark/>
          </w:tcPr>
          <w:p w14:paraId="420D9353" w14:textId="77777777" w:rsidR="00DA676F" w:rsidRPr="006621DE" w:rsidRDefault="00DA676F" w:rsidP="00420B56">
            <w:pPr>
              <w:jc w:val="right"/>
              <w:rPr>
                <w:rFonts w:eastAsia="Times New Roman"/>
                <w:iCs/>
              </w:rPr>
            </w:pPr>
            <w:r w:rsidRPr="006621DE">
              <w:rPr>
                <w:rFonts w:eastAsia="Times New Roman"/>
                <w:iCs/>
              </w:rPr>
              <w:t>9.9 (7.3-13.2)</w:t>
            </w:r>
          </w:p>
        </w:tc>
        <w:tc>
          <w:tcPr>
            <w:tcW w:w="2440" w:type="dxa"/>
            <w:tcBorders>
              <w:top w:val="nil"/>
              <w:left w:val="nil"/>
              <w:bottom w:val="nil"/>
              <w:right w:val="nil"/>
            </w:tcBorders>
            <w:shd w:val="clear" w:color="auto" w:fill="auto"/>
            <w:noWrap/>
            <w:vAlign w:val="bottom"/>
            <w:hideMark/>
          </w:tcPr>
          <w:p w14:paraId="1DD9BF88" w14:textId="77777777" w:rsidR="00DA676F" w:rsidRPr="006621DE" w:rsidRDefault="00DA676F" w:rsidP="00420B56">
            <w:pPr>
              <w:jc w:val="right"/>
              <w:rPr>
                <w:rFonts w:eastAsia="Times New Roman"/>
                <w:iCs/>
              </w:rPr>
            </w:pPr>
            <w:r w:rsidRPr="006621DE">
              <w:rPr>
                <w:rFonts w:eastAsia="Times New Roman"/>
                <w:iCs/>
              </w:rPr>
              <w:t>7.4 (6.6-8.2)</w:t>
            </w:r>
          </w:p>
        </w:tc>
      </w:tr>
      <w:tr w:rsidR="00DA676F" w:rsidRPr="006621DE" w14:paraId="09E735A7" w14:textId="77777777" w:rsidTr="00420B56">
        <w:trPr>
          <w:trHeight w:val="300"/>
        </w:trPr>
        <w:tc>
          <w:tcPr>
            <w:tcW w:w="4020" w:type="dxa"/>
            <w:gridSpan w:val="2"/>
            <w:tcBorders>
              <w:top w:val="nil"/>
              <w:left w:val="nil"/>
              <w:bottom w:val="nil"/>
              <w:right w:val="nil"/>
            </w:tcBorders>
            <w:shd w:val="clear" w:color="auto" w:fill="auto"/>
            <w:noWrap/>
            <w:vAlign w:val="bottom"/>
            <w:hideMark/>
          </w:tcPr>
          <w:p w14:paraId="124A4918" w14:textId="77777777" w:rsidR="00DA676F" w:rsidRPr="006621DE" w:rsidRDefault="00DA676F" w:rsidP="00420B56">
            <w:pPr>
              <w:rPr>
                <w:rFonts w:eastAsia="Times New Roman"/>
                <w:b/>
                <w:bCs/>
              </w:rPr>
            </w:pPr>
            <w:r w:rsidRPr="006621DE">
              <w:rPr>
                <w:rFonts w:eastAsia="Times New Roman"/>
                <w:b/>
                <w:bCs/>
              </w:rPr>
              <w:t>AGE band (</w:t>
            </w:r>
            <w:proofErr w:type="spellStart"/>
            <w:r w:rsidRPr="006621DE">
              <w:rPr>
                <w:rFonts w:eastAsia="Times New Roman"/>
                <w:b/>
                <w:bCs/>
              </w:rPr>
              <w:t>yrs</w:t>
            </w:r>
            <w:proofErr w:type="spellEnd"/>
            <w:r w:rsidRPr="006621DE">
              <w:rPr>
                <w:rFonts w:eastAsia="Times New Roman"/>
                <w:b/>
                <w:bCs/>
              </w:rPr>
              <w:t>)</w:t>
            </w:r>
          </w:p>
        </w:tc>
        <w:tc>
          <w:tcPr>
            <w:tcW w:w="2440" w:type="dxa"/>
            <w:tcBorders>
              <w:top w:val="nil"/>
              <w:left w:val="nil"/>
              <w:bottom w:val="nil"/>
              <w:right w:val="nil"/>
            </w:tcBorders>
            <w:shd w:val="clear" w:color="auto" w:fill="auto"/>
            <w:noWrap/>
            <w:vAlign w:val="bottom"/>
            <w:hideMark/>
          </w:tcPr>
          <w:p w14:paraId="46E2E7E6" w14:textId="77777777" w:rsidR="00DA676F" w:rsidRPr="006621DE" w:rsidRDefault="00DA676F" w:rsidP="00420B56">
            <w:pPr>
              <w:rPr>
                <w:rFonts w:eastAsia="Times New Roman"/>
              </w:rPr>
            </w:pPr>
          </w:p>
        </w:tc>
      </w:tr>
      <w:tr w:rsidR="00DA676F" w:rsidRPr="006621DE" w14:paraId="21FD88F3" w14:textId="77777777" w:rsidTr="00420B56">
        <w:trPr>
          <w:trHeight w:val="300"/>
        </w:trPr>
        <w:tc>
          <w:tcPr>
            <w:tcW w:w="1580" w:type="dxa"/>
            <w:tcBorders>
              <w:top w:val="nil"/>
              <w:left w:val="nil"/>
              <w:bottom w:val="nil"/>
              <w:right w:val="nil"/>
            </w:tcBorders>
            <w:shd w:val="clear" w:color="auto" w:fill="auto"/>
            <w:noWrap/>
            <w:vAlign w:val="bottom"/>
            <w:hideMark/>
          </w:tcPr>
          <w:p w14:paraId="06020C02" w14:textId="77777777" w:rsidR="00DA676F" w:rsidRPr="006621DE" w:rsidRDefault="00DA676F" w:rsidP="00420B56">
            <w:pPr>
              <w:rPr>
                <w:rFonts w:eastAsia="Times New Roman"/>
              </w:rPr>
            </w:pPr>
            <w:r w:rsidRPr="006621DE">
              <w:rPr>
                <w:rFonts w:eastAsia="Times New Roman"/>
              </w:rPr>
              <w:t>&lt;40</w:t>
            </w:r>
          </w:p>
        </w:tc>
        <w:tc>
          <w:tcPr>
            <w:tcW w:w="2440" w:type="dxa"/>
            <w:tcBorders>
              <w:top w:val="nil"/>
              <w:left w:val="nil"/>
              <w:bottom w:val="nil"/>
              <w:right w:val="nil"/>
            </w:tcBorders>
            <w:shd w:val="clear" w:color="auto" w:fill="auto"/>
            <w:noWrap/>
            <w:vAlign w:val="bottom"/>
            <w:hideMark/>
          </w:tcPr>
          <w:p w14:paraId="17934F05" w14:textId="77777777" w:rsidR="00DA676F" w:rsidRPr="006621DE" w:rsidRDefault="00DA676F" w:rsidP="00420B56">
            <w:pPr>
              <w:jc w:val="right"/>
              <w:rPr>
                <w:rFonts w:eastAsia="Times New Roman"/>
              </w:rPr>
            </w:pPr>
            <w:r w:rsidRPr="006621DE">
              <w:rPr>
                <w:rFonts w:eastAsia="Times New Roman"/>
              </w:rPr>
              <w:t>1.9 (0.5-6.2)</w:t>
            </w:r>
          </w:p>
        </w:tc>
        <w:tc>
          <w:tcPr>
            <w:tcW w:w="2440" w:type="dxa"/>
            <w:tcBorders>
              <w:top w:val="nil"/>
              <w:left w:val="nil"/>
              <w:bottom w:val="nil"/>
              <w:right w:val="nil"/>
            </w:tcBorders>
            <w:shd w:val="clear" w:color="auto" w:fill="auto"/>
            <w:noWrap/>
            <w:vAlign w:val="bottom"/>
            <w:hideMark/>
          </w:tcPr>
          <w:p w14:paraId="094B1F54" w14:textId="77777777" w:rsidR="00DA676F" w:rsidRPr="006621DE" w:rsidRDefault="00DA676F" w:rsidP="00420B56">
            <w:pPr>
              <w:jc w:val="right"/>
              <w:rPr>
                <w:rFonts w:eastAsia="Times New Roman"/>
              </w:rPr>
            </w:pPr>
            <w:r w:rsidRPr="006621DE">
              <w:rPr>
                <w:rFonts w:eastAsia="Times New Roman"/>
              </w:rPr>
              <w:t>0.2 (0.1-0.7)</w:t>
            </w:r>
          </w:p>
        </w:tc>
      </w:tr>
      <w:tr w:rsidR="00DA676F" w:rsidRPr="006621DE" w14:paraId="6CE12E23" w14:textId="77777777" w:rsidTr="00420B56">
        <w:trPr>
          <w:trHeight w:val="300"/>
        </w:trPr>
        <w:tc>
          <w:tcPr>
            <w:tcW w:w="1580" w:type="dxa"/>
            <w:tcBorders>
              <w:top w:val="nil"/>
              <w:left w:val="nil"/>
              <w:bottom w:val="nil"/>
              <w:right w:val="nil"/>
            </w:tcBorders>
            <w:shd w:val="clear" w:color="auto" w:fill="auto"/>
            <w:noWrap/>
            <w:vAlign w:val="bottom"/>
            <w:hideMark/>
          </w:tcPr>
          <w:p w14:paraId="167B84EF" w14:textId="77777777" w:rsidR="00DA676F" w:rsidRPr="006621DE" w:rsidRDefault="00DA676F" w:rsidP="00420B56">
            <w:pPr>
              <w:rPr>
                <w:rFonts w:eastAsia="Times New Roman"/>
              </w:rPr>
            </w:pPr>
            <w:r w:rsidRPr="006621DE">
              <w:rPr>
                <w:rFonts w:eastAsia="Times New Roman"/>
              </w:rPr>
              <w:t>40-49</w:t>
            </w:r>
          </w:p>
        </w:tc>
        <w:tc>
          <w:tcPr>
            <w:tcW w:w="2440" w:type="dxa"/>
            <w:tcBorders>
              <w:top w:val="nil"/>
              <w:left w:val="nil"/>
              <w:bottom w:val="nil"/>
              <w:right w:val="nil"/>
            </w:tcBorders>
            <w:shd w:val="clear" w:color="auto" w:fill="auto"/>
            <w:noWrap/>
            <w:vAlign w:val="bottom"/>
            <w:hideMark/>
          </w:tcPr>
          <w:p w14:paraId="1BA77036" w14:textId="77777777" w:rsidR="00DA676F" w:rsidRPr="006621DE" w:rsidRDefault="00DA676F" w:rsidP="00420B56">
            <w:pPr>
              <w:jc w:val="right"/>
              <w:rPr>
                <w:rFonts w:eastAsia="Times New Roman"/>
              </w:rPr>
            </w:pPr>
            <w:r w:rsidRPr="006621DE">
              <w:rPr>
                <w:rFonts w:eastAsia="Times New Roman"/>
              </w:rPr>
              <w:t>1.1 (0.3-4.2)</w:t>
            </w:r>
          </w:p>
        </w:tc>
        <w:tc>
          <w:tcPr>
            <w:tcW w:w="2440" w:type="dxa"/>
            <w:tcBorders>
              <w:top w:val="nil"/>
              <w:left w:val="nil"/>
              <w:bottom w:val="nil"/>
              <w:right w:val="nil"/>
            </w:tcBorders>
            <w:shd w:val="clear" w:color="auto" w:fill="auto"/>
            <w:noWrap/>
            <w:vAlign w:val="bottom"/>
            <w:hideMark/>
          </w:tcPr>
          <w:p w14:paraId="0188819E" w14:textId="77777777" w:rsidR="00DA676F" w:rsidRPr="006621DE" w:rsidRDefault="00DA676F" w:rsidP="00420B56">
            <w:pPr>
              <w:jc w:val="right"/>
              <w:rPr>
                <w:rFonts w:eastAsia="Times New Roman"/>
              </w:rPr>
            </w:pPr>
            <w:r w:rsidRPr="006621DE">
              <w:rPr>
                <w:rFonts w:eastAsia="Times New Roman"/>
              </w:rPr>
              <w:t>2.6 (1.5-4.4)</w:t>
            </w:r>
          </w:p>
        </w:tc>
      </w:tr>
      <w:tr w:rsidR="00DA676F" w:rsidRPr="006621DE" w14:paraId="3687FA3F" w14:textId="77777777" w:rsidTr="00420B56">
        <w:trPr>
          <w:trHeight w:val="300"/>
        </w:trPr>
        <w:tc>
          <w:tcPr>
            <w:tcW w:w="1580" w:type="dxa"/>
            <w:tcBorders>
              <w:top w:val="nil"/>
              <w:left w:val="nil"/>
              <w:bottom w:val="nil"/>
              <w:right w:val="nil"/>
            </w:tcBorders>
            <w:shd w:val="clear" w:color="auto" w:fill="auto"/>
            <w:noWrap/>
            <w:vAlign w:val="bottom"/>
            <w:hideMark/>
          </w:tcPr>
          <w:p w14:paraId="15B3E736" w14:textId="77777777" w:rsidR="00DA676F" w:rsidRPr="006621DE" w:rsidRDefault="00DA676F" w:rsidP="00420B56">
            <w:pPr>
              <w:rPr>
                <w:rFonts w:eastAsia="Times New Roman"/>
              </w:rPr>
            </w:pPr>
            <w:r w:rsidRPr="006621DE">
              <w:rPr>
                <w:rFonts w:eastAsia="Times New Roman"/>
              </w:rPr>
              <w:t>50-59</w:t>
            </w:r>
          </w:p>
        </w:tc>
        <w:tc>
          <w:tcPr>
            <w:tcW w:w="2440" w:type="dxa"/>
            <w:tcBorders>
              <w:top w:val="nil"/>
              <w:left w:val="nil"/>
              <w:bottom w:val="nil"/>
              <w:right w:val="nil"/>
            </w:tcBorders>
            <w:shd w:val="clear" w:color="auto" w:fill="auto"/>
            <w:noWrap/>
            <w:vAlign w:val="bottom"/>
            <w:hideMark/>
          </w:tcPr>
          <w:p w14:paraId="31B9B040" w14:textId="77777777" w:rsidR="00DA676F" w:rsidRPr="006621DE" w:rsidRDefault="00DA676F" w:rsidP="00420B56">
            <w:pPr>
              <w:jc w:val="right"/>
              <w:rPr>
                <w:rFonts w:eastAsia="Times New Roman"/>
              </w:rPr>
            </w:pPr>
            <w:r w:rsidRPr="006621DE">
              <w:rPr>
                <w:rFonts w:eastAsia="Times New Roman"/>
              </w:rPr>
              <w:t>7.3 (4.7-11.3)</w:t>
            </w:r>
          </w:p>
        </w:tc>
        <w:tc>
          <w:tcPr>
            <w:tcW w:w="2440" w:type="dxa"/>
            <w:tcBorders>
              <w:top w:val="nil"/>
              <w:left w:val="nil"/>
              <w:bottom w:val="nil"/>
              <w:right w:val="nil"/>
            </w:tcBorders>
            <w:shd w:val="clear" w:color="auto" w:fill="auto"/>
            <w:noWrap/>
            <w:vAlign w:val="bottom"/>
            <w:hideMark/>
          </w:tcPr>
          <w:p w14:paraId="3BAB527B" w14:textId="77777777" w:rsidR="00DA676F" w:rsidRPr="006621DE" w:rsidRDefault="00DA676F" w:rsidP="00420B56">
            <w:pPr>
              <w:jc w:val="right"/>
              <w:rPr>
                <w:rFonts w:eastAsia="Times New Roman"/>
              </w:rPr>
            </w:pPr>
            <w:r w:rsidRPr="006621DE">
              <w:rPr>
                <w:rFonts w:eastAsia="Times New Roman"/>
              </w:rPr>
              <w:t>6.7 (5.1-8.7)</w:t>
            </w:r>
          </w:p>
        </w:tc>
      </w:tr>
      <w:tr w:rsidR="00DA676F" w:rsidRPr="006621DE" w14:paraId="250EC48B" w14:textId="77777777" w:rsidTr="00420B56">
        <w:trPr>
          <w:trHeight w:val="300"/>
        </w:trPr>
        <w:tc>
          <w:tcPr>
            <w:tcW w:w="1580" w:type="dxa"/>
            <w:tcBorders>
              <w:top w:val="nil"/>
              <w:left w:val="nil"/>
              <w:bottom w:val="nil"/>
              <w:right w:val="nil"/>
            </w:tcBorders>
            <w:shd w:val="clear" w:color="auto" w:fill="auto"/>
            <w:noWrap/>
            <w:vAlign w:val="bottom"/>
            <w:hideMark/>
          </w:tcPr>
          <w:p w14:paraId="19981A41" w14:textId="77777777" w:rsidR="00DA676F" w:rsidRPr="006621DE" w:rsidRDefault="00DA676F" w:rsidP="00420B56">
            <w:pPr>
              <w:rPr>
                <w:rFonts w:eastAsia="Times New Roman"/>
              </w:rPr>
            </w:pPr>
            <w:r w:rsidRPr="006621DE">
              <w:rPr>
                <w:rFonts w:eastAsia="Times New Roman"/>
              </w:rPr>
              <w:t>60-69</w:t>
            </w:r>
          </w:p>
        </w:tc>
        <w:tc>
          <w:tcPr>
            <w:tcW w:w="2440" w:type="dxa"/>
            <w:tcBorders>
              <w:top w:val="nil"/>
              <w:left w:val="nil"/>
              <w:bottom w:val="nil"/>
              <w:right w:val="nil"/>
            </w:tcBorders>
            <w:shd w:val="clear" w:color="auto" w:fill="auto"/>
            <w:noWrap/>
            <w:vAlign w:val="bottom"/>
            <w:hideMark/>
          </w:tcPr>
          <w:p w14:paraId="7B340182" w14:textId="77777777" w:rsidR="00DA676F" w:rsidRPr="006621DE" w:rsidRDefault="00DA676F" w:rsidP="00420B56">
            <w:pPr>
              <w:jc w:val="right"/>
              <w:rPr>
                <w:rFonts w:eastAsia="Times New Roman"/>
              </w:rPr>
            </w:pPr>
            <w:r w:rsidRPr="006621DE">
              <w:rPr>
                <w:rFonts w:eastAsia="Times New Roman"/>
              </w:rPr>
              <w:t>19.1 (14.2-25.3)</w:t>
            </w:r>
          </w:p>
        </w:tc>
        <w:tc>
          <w:tcPr>
            <w:tcW w:w="2440" w:type="dxa"/>
            <w:tcBorders>
              <w:top w:val="nil"/>
              <w:left w:val="nil"/>
              <w:bottom w:val="nil"/>
              <w:right w:val="nil"/>
            </w:tcBorders>
            <w:shd w:val="clear" w:color="auto" w:fill="auto"/>
            <w:noWrap/>
            <w:vAlign w:val="bottom"/>
            <w:hideMark/>
          </w:tcPr>
          <w:p w14:paraId="152AC686" w14:textId="77777777" w:rsidR="00DA676F" w:rsidRPr="006621DE" w:rsidRDefault="00DA676F" w:rsidP="00420B56">
            <w:pPr>
              <w:jc w:val="right"/>
              <w:rPr>
                <w:rFonts w:eastAsia="Times New Roman"/>
              </w:rPr>
            </w:pPr>
            <w:r w:rsidRPr="006621DE">
              <w:rPr>
                <w:rFonts w:eastAsia="Times New Roman"/>
              </w:rPr>
              <w:t>15.7 (13.1-18.7)</w:t>
            </w:r>
          </w:p>
        </w:tc>
      </w:tr>
      <w:tr w:rsidR="00DA676F" w:rsidRPr="006621DE" w14:paraId="5E42A433" w14:textId="77777777" w:rsidTr="00420B56">
        <w:trPr>
          <w:trHeight w:val="300"/>
        </w:trPr>
        <w:tc>
          <w:tcPr>
            <w:tcW w:w="1580" w:type="dxa"/>
            <w:tcBorders>
              <w:top w:val="nil"/>
              <w:left w:val="nil"/>
              <w:bottom w:val="nil"/>
              <w:right w:val="nil"/>
            </w:tcBorders>
            <w:shd w:val="clear" w:color="auto" w:fill="auto"/>
            <w:noWrap/>
            <w:vAlign w:val="bottom"/>
            <w:hideMark/>
          </w:tcPr>
          <w:p w14:paraId="4296D55F" w14:textId="77777777" w:rsidR="00DA676F" w:rsidRPr="006621DE" w:rsidRDefault="00DA676F" w:rsidP="00420B56">
            <w:pPr>
              <w:rPr>
                <w:rFonts w:eastAsia="Times New Roman"/>
              </w:rPr>
            </w:pPr>
            <w:r w:rsidRPr="006621DE">
              <w:rPr>
                <w:rFonts w:eastAsia="Times New Roman"/>
              </w:rPr>
              <w:t>70-79</w:t>
            </w:r>
          </w:p>
        </w:tc>
        <w:tc>
          <w:tcPr>
            <w:tcW w:w="2440" w:type="dxa"/>
            <w:tcBorders>
              <w:top w:val="nil"/>
              <w:left w:val="nil"/>
              <w:bottom w:val="nil"/>
              <w:right w:val="nil"/>
            </w:tcBorders>
            <w:shd w:val="clear" w:color="auto" w:fill="auto"/>
            <w:noWrap/>
            <w:vAlign w:val="bottom"/>
            <w:hideMark/>
          </w:tcPr>
          <w:p w14:paraId="2F84854A" w14:textId="77777777" w:rsidR="00DA676F" w:rsidRPr="006621DE" w:rsidRDefault="00DA676F" w:rsidP="00420B56">
            <w:pPr>
              <w:jc w:val="right"/>
              <w:rPr>
                <w:rFonts w:eastAsia="Times New Roman"/>
              </w:rPr>
            </w:pPr>
            <w:r w:rsidRPr="006621DE">
              <w:rPr>
                <w:rFonts w:eastAsia="Times New Roman"/>
              </w:rPr>
              <w:t>33.3 (28-39)</w:t>
            </w:r>
          </w:p>
        </w:tc>
        <w:tc>
          <w:tcPr>
            <w:tcW w:w="2440" w:type="dxa"/>
            <w:tcBorders>
              <w:top w:val="nil"/>
              <w:left w:val="nil"/>
              <w:bottom w:val="nil"/>
              <w:right w:val="nil"/>
            </w:tcBorders>
            <w:shd w:val="clear" w:color="auto" w:fill="auto"/>
            <w:noWrap/>
            <w:vAlign w:val="bottom"/>
            <w:hideMark/>
          </w:tcPr>
          <w:p w14:paraId="09FA3151" w14:textId="77777777" w:rsidR="00DA676F" w:rsidRPr="006621DE" w:rsidRDefault="00DA676F" w:rsidP="00420B56">
            <w:pPr>
              <w:jc w:val="right"/>
              <w:rPr>
                <w:rFonts w:eastAsia="Times New Roman"/>
              </w:rPr>
            </w:pPr>
            <w:r w:rsidRPr="006621DE">
              <w:rPr>
                <w:rFonts w:eastAsia="Times New Roman"/>
              </w:rPr>
              <w:t>23.6 (21-26.5)</w:t>
            </w:r>
          </w:p>
        </w:tc>
      </w:tr>
      <w:tr w:rsidR="00DA676F" w:rsidRPr="006621DE" w14:paraId="17916CC4" w14:textId="77777777" w:rsidTr="00420B56">
        <w:trPr>
          <w:trHeight w:val="300"/>
        </w:trPr>
        <w:tc>
          <w:tcPr>
            <w:tcW w:w="1580" w:type="dxa"/>
            <w:tcBorders>
              <w:top w:val="nil"/>
              <w:left w:val="nil"/>
              <w:bottom w:val="nil"/>
              <w:right w:val="nil"/>
            </w:tcBorders>
            <w:shd w:val="clear" w:color="auto" w:fill="auto"/>
            <w:noWrap/>
            <w:vAlign w:val="bottom"/>
            <w:hideMark/>
          </w:tcPr>
          <w:p w14:paraId="3DA22613" w14:textId="77777777" w:rsidR="00DA676F" w:rsidRPr="006621DE" w:rsidRDefault="00DA676F" w:rsidP="00420B56">
            <w:pPr>
              <w:rPr>
                <w:rFonts w:eastAsia="Times New Roman"/>
              </w:rPr>
            </w:pPr>
            <w:r w:rsidRPr="006621DE">
              <w:rPr>
                <w:rFonts w:eastAsia="Times New Roman"/>
              </w:rPr>
              <w:t>80+</w:t>
            </w:r>
          </w:p>
        </w:tc>
        <w:tc>
          <w:tcPr>
            <w:tcW w:w="2440" w:type="dxa"/>
            <w:tcBorders>
              <w:top w:val="nil"/>
              <w:left w:val="nil"/>
              <w:bottom w:val="nil"/>
              <w:right w:val="nil"/>
            </w:tcBorders>
            <w:shd w:val="clear" w:color="auto" w:fill="auto"/>
            <w:noWrap/>
            <w:vAlign w:val="bottom"/>
            <w:hideMark/>
          </w:tcPr>
          <w:p w14:paraId="109B6FD0" w14:textId="77777777" w:rsidR="00DA676F" w:rsidRPr="006621DE" w:rsidRDefault="00DA676F" w:rsidP="00420B56">
            <w:pPr>
              <w:jc w:val="right"/>
              <w:rPr>
                <w:rFonts w:eastAsia="Times New Roman"/>
              </w:rPr>
            </w:pPr>
            <w:r w:rsidRPr="006621DE">
              <w:rPr>
                <w:rFonts w:eastAsia="Times New Roman"/>
              </w:rPr>
              <w:t>40.3 (36.5-44.2)</w:t>
            </w:r>
          </w:p>
        </w:tc>
        <w:tc>
          <w:tcPr>
            <w:tcW w:w="2440" w:type="dxa"/>
            <w:tcBorders>
              <w:top w:val="nil"/>
              <w:left w:val="nil"/>
              <w:bottom w:val="nil"/>
              <w:right w:val="nil"/>
            </w:tcBorders>
            <w:shd w:val="clear" w:color="auto" w:fill="auto"/>
            <w:noWrap/>
            <w:vAlign w:val="bottom"/>
            <w:hideMark/>
          </w:tcPr>
          <w:p w14:paraId="361D27ED" w14:textId="77777777" w:rsidR="00DA676F" w:rsidRPr="006621DE" w:rsidRDefault="00DA676F" w:rsidP="00420B56">
            <w:pPr>
              <w:jc w:val="right"/>
              <w:rPr>
                <w:rFonts w:eastAsia="Times New Roman"/>
              </w:rPr>
            </w:pPr>
            <w:r w:rsidRPr="006621DE">
              <w:rPr>
                <w:rFonts w:eastAsia="Times New Roman"/>
              </w:rPr>
              <w:t>37.3 (34.9-39.7)</w:t>
            </w:r>
          </w:p>
        </w:tc>
      </w:tr>
      <w:tr w:rsidR="00DA676F" w:rsidRPr="006621DE" w14:paraId="460157E5" w14:textId="77777777" w:rsidTr="00420B56">
        <w:trPr>
          <w:trHeight w:val="300"/>
        </w:trPr>
        <w:tc>
          <w:tcPr>
            <w:tcW w:w="1580" w:type="dxa"/>
            <w:tcBorders>
              <w:top w:val="nil"/>
              <w:left w:val="nil"/>
              <w:bottom w:val="nil"/>
              <w:right w:val="nil"/>
            </w:tcBorders>
            <w:shd w:val="clear" w:color="auto" w:fill="auto"/>
            <w:noWrap/>
            <w:vAlign w:val="bottom"/>
            <w:hideMark/>
          </w:tcPr>
          <w:p w14:paraId="4106617C" w14:textId="77777777" w:rsidR="00DA676F" w:rsidRPr="006621DE" w:rsidRDefault="00DA676F" w:rsidP="00420B56">
            <w:pPr>
              <w:rPr>
                <w:rFonts w:eastAsia="Times New Roman"/>
                <w:b/>
                <w:bCs/>
              </w:rPr>
            </w:pPr>
            <w:r w:rsidRPr="006621DE">
              <w:rPr>
                <w:rFonts w:eastAsia="Times New Roman"/>
                <w:b/>
                <w:bCs/>
              </w:rPr>
              <w:t>IMD quintile</w:t>
            </w:r>
          </w:p>
        </w:tc>
        <w:tc>
          <w:tcPr>
            <w:tcW w:w="2440" w:type="dxa"/>
            <w:tcBorders>
              <w:top w:val="nil"/>
              <w:left w:val="nil"/>
              <w:bottom w:val="nil"/>
              <w:right w:val="nil"/>
            </w:tcBorders>
            <w:shd w:val="clear" w:color="auto" w:fill="auto"/>
            <w:noWrap/>
            <w:vAlign w:val="bottom"/>
            <w:hideMark/>
          </w:tcPr>
          <w:p w14:paraId="2CD6BA6C" w14:textId="77777777" w:rsidR="00DA676F" w:rsidRPr="006621DE" w:rsidRDefault="00DA676F" w:rsidP="00420B56">
            <w:pPr>
              <w:rPr>
                <w:rFonts w:eastAsia="Times New Roman"/>
                <w:b/>
                <w:bCs/>
              </w:rPr>
            </w:pPr>
          </w:p>
        </w:tc>
        <w:tc>
          <w:tcPr>
            <w:tcW w:w="2440" w:type="dxa"/>
            <w:tcBorders>
              <w:top w:val="nil"/>
              <w:left w:val="nil"/>
              <w:bottom w:val="nil"/>
              <w:right w:val="nil"/>
            </w:tcBorders>
            <w:shd w:val="clear" w:color="auto" w:fill="auto"/>
            <w:noWrap/>
            <w:vAlign w:val="bottom"/>
            <w:hideMark/>
          </w:tcPr>
          <w:p w14:paraId="44BA9C0C" w14:textId="77777777" w:rsidR="00DA676F" w:rsidRPr="006621DE" w:rsidRDefault="00DA676F" w:rsidP="00420B56">
            <w:pPr>
              <w:rPr>
                <w:rFonts w:eastAsia="Times New Roman"/>
              </w:rPr>
            </w:pPr>
          </w:p>
        </w:tc>
      </w:tr>
      <w:tr w:rsidR="00DA676F" w:rsidRPr="006621DE" w14:paraId="6F1ADF60" w14:textId="77777777" w:rsidTr="00420B56">
        <w:trPr>
          <w:trHeight w:val="300"/>
        </w:trPr>
        <w:tc>
          <w:tcPr>
            <w:tcW w:w="1580" w:type="dxa"/>
            <w:tcBorders>
              <w:top w:val="nil"/>
              <w:left w:val="nil"/>
              <w:bottom w:val="nil"/>
              <w:right w:val="nil"/>
            </w:tcBorders>
            <w:shd w:val="clear" w:color="auto" w:fill="auto"/>
            <w:noWrap/>
            <w:vAlign w:val="bottom"/>
            <w:hideMark/>
          </w:tcPr>
          <w:p w14:paraId="3C95B65F" w14:textId="77777777" w:rsidR="00DA676F" w:rsidRPr="006621DE" w:rsidRDefault="00DA676F" w:rsidP="00420B56">
            <w:pPr>
              <w:rPr>
                <w:rFonts w:eastAsia="Times New Roman"/>
              </w:rPr>
            </w:pPr>
            <w:r w:rsidRPr="006621DE">
              <w:rPr>
                <w:rFonts w:eastAsia="Times New Roman"/>
              </w:rPr>
              <w:t>1</w:t>
            </w:r>
          </w:p>
        </w:tc>
        <w:tc>
          <w:tcPr>
            <w:tcW w:w="2440" w:type="dxa"/>
            <w:tcBorders>
              <w:top w:val="nil"/>
              <w:left w:val="nil"/>
              <w:bottom w:val="nil"/>
              <w:right w:val="nil"/>
            </w:tcBorders>
            <w:shd w:val="clear" w:color="auto" w:fill="auto"/>
            <w:noWrap/>
            <w:vAlign w:val="bottom"/>
            <w:hideMark/>
          </w:tcPr>
          <w:p w14:paraId="56822D9B" w14:textId="77777777" w:rsidR="00DA676F" w:rsidRPr="006621DE" w:rsidRDefault="00DA676F" w:rsidP="00420B56">
            <w:pPr>
              <w:jc w:val="right"/>
              <w:rPr>
                <w:rFonts w:eastAsia="Times New Roman"/>
              </w:rPr>
            </w:pPr>
            <w:r w:rsidRPr="006621DE">
              <w:rPr>
                <w:rFonts w:eastAsia="Times New Roman"/>
              </w:rPr>
              <w:t>18.5 (15.6-21.7)</w:t>
            </w:r>
          </w:p>
        </w:tc>
        <w:tc>
          <w:tcPr>
            <w:tcW w:w="2440" w:type="dxa"/>
            <w:tcBorders>
              <w:top w:val="nil"/>
              <w:left w:val="nil"/>
              <w:bottom w:val="nil"/>
              <w:right w:val="nil"/>
            </w:tcBorders>
            <w:shd w:val="clear" w:color="auto" w:fill="auto"/>
            <w:noWrap/>
            <w:vAlign w:val="bottom"/>
            <w:hideMark/>
          </w:tcPr>
          <w:p w14:paraId="5B1C7E01" w14:textId="77777777" w:rsidR="00DA676F" w:rsidRPr="006621DE" w:rsidRDefault="00DA676F" w:rsidP="00420B56">
            <w:pPr>
              <w:jc w:val="right"/>
              <w:rPr>
                <w:rFonts w:eastAsia="Times New Roman"/>
              </w:rPr>
            </w:pPr>
            <w:r w:rsidRPr="006621DE">
              <w:rPr>
                <w:rFonts w:eastAsia="Times New Roman"/>
              </w:rPr>
              <w:t>9.1 (7.8-10.5)</w:t>
            </w:r>
          </w:p>
        </w:tc>
      </w:tr>
      <w:tr w:rsidR="00DA676F" w:rsidRPr="006621DE" w14:paraId="6B196ADC" w14:textId="77777777" w:rsidTr="00420B56">
        <w:trPr>
          <w:trHeight w:val="300"/>
        </w:trPr>
        <w:tc>
          <w:tcPr>
            <w:tcW w:w="1580" w:type="dxa"/>
            <w:tcBorders>
              <w:top w:val="nil"/>
              <w:left w:val="nil"/>
              <w:bottom w:val="nil"/>
              <w:right w:val="nil"/>
            </w:tcBorders>
            <w:shd w:val="clear" w:color="auto" w:fill="auto"/>
            <w:noWrap/>
            <w:vAlign w:val="bottom"/>
            <w:hideMark/>
          </w:tcPr>
          <w:p w14:paraId="74F85F1B" w14:textId="77777777" w:rsidR="00DA676F" w:rsidRPr="006621DE" w:rsidRDefault="00DA676F" w:rsidP="00420B56">
            <w:pPr>
              <w:rPr>
                <w:rFonts w:eastAsia="Times New Roman"/>
              </w:rPr>
            </w:pPr>
            <w:r w:rsidRPr="006621DE">
              <w:rPr>
                <w:rFonts w:eastAsia="Times New Roman"/>
              </w:rPr>
              <w:t>2</w:t>
            </w:r>
          </w:p>
        </w:tc>
        <w:tc>
          <w:tcPr>
            <w:tcW w:w="2440" w:type="dxa"/>
            <w:tcBorders>
              <w:top w:val="nil"/>
              <w:left w:val="nil"/>
              <w:bottom w:val="nil"/>
              <w:right w:val="nil"/>
            </w:tcBorders>
            <w:shd w:val="clear" w:color="auto" w:fill="auto"/>
            <w:noWrap/>
            <w:vAlign w:val="bottom"/>
            <w:hideMark/>
          </w:tcPr>
          <w:p w14:paraId="77658B1D" w14:textId="77777777" w:rsidR="00DA676F" w:rsidRPr="006621DE" w:rsidRDefault="00DA676F" w:rsidP="00420B56">
            <w:pPr>
              <w:jc w:val="right"/>
              <w:rPr>
                <w:rFonts w:eastAsia="Times New Roman"/>
              </w:rPr>
            </w:pPr>
            <w:r w:rsidRPr="006621DE">
              <w:rPr>
                <w:rFonts w:eastAsia="Times New Roman"/>
              </w:rPr>
              <w:t>12.1 (10-14.7)</w:t>
            </w:r>
          </w:p>
        </w:tc>
        <w:tc>
          <w:tcPr>
            <w:tcW w:w="2440" w:type="dxa"/>
            <w:tcBorders>
              <w:top w:val="nil"/>
              <w:left w:val="nil"/>
              <w:bottom w:val="nil"/>
              <w:right w:val="nil"/>
            </w:tcBorders>
            <w:shd w:val="clear" w:color="auto" w:fill="auto"/>
            <w:noWrap/>
            <w:vAlign w:val="bottom"/>
            <w:hideMark/>
          </w:tcPr>
          <w:p w14:paraId="0D96BE91" w14:textId="77777777" w:rsidR="00DA676F" w:rsidRPr="006621DE" w:rsidRDefault="00DA676F" w:rsidP="00420B56">
            <w:pPr>
              <w:jc w:val="right"/>
              <w:rPr>
                <w:rFonts w:eastAsia="Times New Roman"/>
              </w:rPr>
            </w:pPr>
            <w:r w:rsidRPr="006621DE">
              <w:rPr>
                <w:rFonts w:eastAsia="Times New Roman"/>
              </w:rPr>
              <w:t>8.3 (7.2-9.6)</w:t>
            </w:r>
          </w:p>
        </w:tc>
      </w:tr>
      <w:tr w:rsidR="00DA676F" w:rsidRPr="006621DE" w14:paraId="34DC5591" w14:textId="77777777" w:rsidTr="00420B56">
        <w:trPr>
          <w:trHeight w:val="300"/>
        </w:trPr>
        <w:tc>
          <w:tcPr>
            <w:tcW w:w="1580" w:type="dxa"/>
            <w:tcBorders>
              <w:top w:val="nil"/>
              <w:left w:val="nil"/>
              <w:bottom w:val="nil"/>
              <w:right w:val="nil"/>
            </w:tcBorders>
            <w:shd w:val="clear" w:color="auto" w:fill="auto"/>
            <w:noWrap/>
            <w:vAlign w:val="bottom"/>
            <w:hideMark/>
          </w:tcPr>
          <w:p w14:paraId="49255DE0" w14:textId="77777777" w:rsidR="00DA676F" w:rsidRPr="006621DE" w:rsidRDefault="00DA676F" w:rsidP="00420B56">
            <w:pPr>
              <w:rPr>
                <w:rFonts w:eastAsia="Times New Roman"/>
              </w:rPr>
            </w:pPr>
            <w:r w:rsidRPr="006621DE">
              <w:rPr>
                <w:rFonts w:eastAsia="Times New Roman"/>
              </w:rPr>
              <w:t>3</w:t>
            </w:r>
          </w:p>
        </w:tc>
        <w:tc>
          <w:tcPr>
            <w:tcW w:w="2440" w:type="dxa"/>
            <w:tcBorders>
              <w:top w:val="nil"/>
              <w:left w:val="nil"/>
              <w:bottom w:val="nil"/>
              <w:right w:val="nil"/>
            </w:tcBorders>
            <w:shd w:val="clear" w:color="auto" w:fill="auto"/>
            <w:noWrap/>
            <w:vAlign w:val="bottom"/>
            <w:hideMark/>
          </w:tcPr>
          <w:p w14:paraId="398F4034" w14:textId="77777777" w:rsidR="00DA676F" w:rsidRPr="006621DE" w:rsidRDefault="00DA676F" w:rsidP="00420B56">
            <w:pPr>
              <w:jc w:val="right"/>
              <w:rPr>
                <w:rFonts w:eastAsia="Times New Roman"/>
              </w:rPr>
            </w:pPr>
            <w:r w:rsidRPr="006621DE">
              <w:rPr>
                <w:rFonts w:eastAsia="Times New Roman"/>
              </w:rPr>
              <w:t>12.6 (10.4-15.2)</w:t>
            </w:r>
          </w:p>
        </w:tc>
        <w:tc>
          <w:tcPr>
            <w:tcW w:w="2440" w:type="dxa"/>
            <w:tcBorders>
              <w:top w:val="nil"/>
              <w:left w:val="nil"/>
              <w:bottom w:val="nil"/>
              <w:right w:val="nil"/>
            </w:tcBorders>
            <w:shd w:val="clear" w:color="auto" w:fill="auto"/>
            <w:noWrap/>
            <w:vAlign w:val="bottom"/>
            <w:hideMark/>
          </w:tcPr>
          <w:p w14:paraId="479EDEF6" w14:textId="77777777" w:rsidR="00DA676F" w:rsidRPr="006621DE" w:rsidRDefault="00DA676F" w:rsidP="00420B56">
            <w:pPr>
              <w:jc w:val="right"/>
              <w:rPr>
                <w:rFonts w:eastAsia="Times New Roman"/>
              </w:rPr>
            </w:pPr>
            <w:r w:rsidRPr="006621DE">
              <w:rPr>
                <w:rFonts w:eastAsia="Times New Roman"/>
              </w:rPr>
              <w:t>8.4 (7.3-9.5)</w:t>
            </w:r>
          </w:p>
        </w:tc>
      </w:tr>
      <w:tr w:rsidR="00DA676F" w:rsidRPr="006621DE" w14:paraId="06C6EA55" w14:textId="77777777" w:rsidTr="00420B56">
        <w:trPr>
          <w:trHeight w:val="300"/>
        </w:trPr>
        <w:tc>
          <w:tcPr>
            <w:tcW w:w="1580" w:type="dxa"/>
            <w:tcBorders>
              <w:top w:val="nil"/>
              <w:left w:val="nil"/>
              <w:bottom w:val="nil"/>
              <w:right w:val="nil"/>
            </w:tcBorders>
            <w:shd w:val="clear" w:color="auto" w:fill="auto"/>
            <w:noWrap/>
            <w:vAlign w:val="bottom"/>
            <w:hideMark/>
          </w:tcPr>
          <w:p w14:paraId="03CB591F" w14:textId="77777777" w:rsidR="00DA676F" w:rsidRPr="006621DE" w:rsidRDefault="00DA676F" w:rsidP="00420B56">
            <w:pPr>
              <w:rPr>
                <w:rFonts w:eastAsia="Times New Roman"/>
              </w:rPr>
            </w:pPr>
            <w:r w:rsidRPr="006621DE">
              <w:rPr>
                <w:rFonts w:eastAsia="Times New Roman"/>
              </w:rPr>
              <w:t>4</w:t>
            </w:r>
          </w:p>
        </w:tc>
        <w:tc>
          <w:tcPr>
            <w:tcW w:w="2440" w:type="dxa"/>
            <w:tcBorders>
              <w:top w:val="nil"/>
              <w:left w:val="nil"/>
              <w:bottom w:val="nil"/>
              <w:right w:val="nil"/>
            </w:tcBorders>
            <w:shd w:val="clear" w:color="auto" w:fill="auto"/>
            <w:noWrap/>
            <w:vAlign w:val="bottom"/>
            <w:hideMark/>
          </w:tcPr>
          <w:p w14:paraId="2B26ABA4" w14:textId="77777777" w:rsidR="00DA676F" w:rsidRPr="006621DE" w:rsidRDefault="00DA676F" w:rsidP="00420B56">
            <w:pPr>
              <w:jc w:val="right"/>
              <w:rPr>
                <w:rFonts w:eastAsia="Times New Roman"/>
              </w:rPr>
            </w:pPr>
            <w:r w:rsidRPr="006621DE">
              <w:rPr>
                <w:rFonts w:eastAsia="Times New Roman"/>
              </w:rPr>
              <w:t>7.4 (5.3-10.2)</w:t>
            </w:r>
          </w:p>
        </w:tc>
        <w:tc>
          <w:tcPr>
            <w:tcW w:w="2440" w:type="dxa"/>
            <w:tcBorders>
              <w:top w:val="nil"/>
              <w:left w:val="nil"/>
              <w:bottom w:val="nil"/>
              <w:right w:val="nil"/>
            </w:tcBorders>
            <w:shd w:val="clear" w:color="auto" w:fill="auto"/>
            <w:noWrap/>
            <w:vAlign w:val="bottom"/>
            <w:hideMark/>
          </w:tcPr>
          <w:p w14:paraId="059380F5" w14:textId="77777777" w:rsidR="00DA676F" w:rsidRPr="006621DE" w:rsidRDefault="00DA676F" w:rsidP="00420B56">
            <w:pPr>
              <w:jc w:val="right"/>
              <w:rPr>
                <w:rFonts w:eastAsia="Times New Roman"/>
              </w:rPr>
            </w:pPr>
            <w:r w:rsidRPr="006621DE">
              <w:rPr>
                <w:rFonts w:eastAsia="Times New Roman"/>
              </w:rPr>
              <w:t>9.5 (8.1-11.1)</w:t>
            </w:r>
          </w:p>
        </w:tc>
      </w:tr>
      <w:tr w:rsidR="00DA676F" w:rsidRPr="006621DE" w14:paraId="38AF8B87" w14:textId="77777777" w:rsidTr="00420B56">
        <w:trPr>
          <w:trHeight w:val="300"/>
        </w:trPr>
        <w:tc>
          <w:tcPr>
            <w:tcW w:w="1580" w:type="dxa"/>
            <w:tcBorders>
              <w:top w:val="nil"/>
              <w:left w:val="nil"/>
              <w:bottom w:val="nil"/>
              <w:right w:val="nil"/>
            </w:tcBorders>
            <w:shd w:val="clear" w:color="auto" w:fill="auto"/>
            <w:noWrap/>
            <w:vAlign w:val="bottom"/>
            <w:hideMark/>
          </w:tcPr>
          <w:p w14:paraId="1818829E" w14:textId="77777777" w:rsidR="00DA676F" w:rsidRPr="006621DE" w:rsidRDefault="00DA676F" w:rsidP="00420B56">
            <w:pPr>
              <w:rPr>
                <w:rFonts w:eastAsia="Times New Roman"/>
              </w:rPr>
            </w:pPr>
            <w:r w:rsidRPr="006621DE">
              <w:rPr>
                <w:rFonts w:eastAsia="Times New Roman"/>
              </w:rPr>
              <w:t>5</w:t>
            </w:r>
          </w:p>
        </w:tc>
        <w:tc>
          <w:tcPr>
            <w:tcW w:w="2440" w:type="dxa"/>
            <w:tcBorders>
              <w:top w:val="nil"/>
              <w:left w:val="nil"/>
              <w:bottom w:val="nil"/>
              <w:right w:val="nil"/>
            </w:tcBorders>
            <w:shd w:val="clear" w:color="auto" w:fill="auto"/>
            <w:noWrap/>
            <w:vAlign w:val="bottom"/>
            <w:hideMark/>
          </w:tcPr>
          <w:p w14:paraId="7F57A2AA" w14:textId="77777777" w:rsidR="00DA676F" w:rsidRPr="006621DE" w:rsidRDefault="00DA676F" w:rsidP="00420B56">
            <w:pPr>
              <w:jc w:val="right"/>
              <w:rPr>
                <w:rFonts w:eastAsia="Times New Roman"/>
              </w:rPr>
            </w:pPr>
            <w:r w:rsidRPr="006621DE">
              <w:rPr>
                <w:rFonts w:eastAsia="Times New Roman"/>
              </w:rPr>
              <w:t>4.2 (2.6-6.7)</w:t>
            </w:r>
          </w:p>
        </w:tc>
        <w:tc>
          <w:tcPr>
            <w:tcW w:w="2440" w:type="dxa"/>
            <w:tcBorders>
              <w:top w:val="nil"/>
              <w:left w:val="nil"/>
              <w:bottom w:val="nil"/>
              <w:right w:val="nil"/>
            </w:tcBorders>
            <w:shd w:val="clear" w:color="auto" w:fill="auto"/>
            <w:noWrap/>
            <w:vAlign w:val="bottom"/>
            <w:hideMark/>
          </w:tcPr>
          <w:p w14:paraId="60084798" w14:textId="77777777" w:rsidR="00DA676F" w:rsidRPr="006621DE" w:rsidRDefault="00DA676F" w:rsidP="00420B56">
            <w:pPr>
              <w:jc w:val="right"/>
              <w:rPr>
                <w:rFonts w:eastAsia="Times New Roman"/>
              </w:rPr>
            </w:pPr>
            <w:r w:rsidRPr="006621DE">
              <w:rPr>
                <w:rFonts w:eastAsia="Times New Roman"/>
              </w:rPr>
              <w:t>8.1 (6.4-10.2)</w:t>
            </w:r>
          </w:p>
        </w:tc>
      </w:tr>
      <w:tr w:rsidR="00DA676F" w:rsidRPr="006621DE" w14:paraId="2B96A50E" w14:textId="77777777" w:rsidTr="00420B56">
        <w:trPr>
          <w:trHeight w:val="300"/>
        </w:trPr>
        <w:tc>
          <w:tcPr>
            <w:tcW w:w="4020" w:type="dxa"/>
            <w:gridSpan w:val="2"/>
            <w:tcBorders>
              <w:top w:val="nil"/>
              <w:left w:val="nil"/>
              <w:bottom w:val="nil"/>
              <w:right w:val="nil"/>
            </w:tcBorders>
            <w:shd w:val="clear" w:color="auto" w:fill="auto"/>
            <w:noWrap/>
            <w:vAlign w:val="bottom"/>
            <w:hideMark/>
          </w:tcPr>
          <w:p w14:paraId="418896CE" w14:textId="77777777" w:rsidR="00DA676F" w:rsidRPr="006621DE" w:rsidRDefault="00DA676F" w:rsidP="00420B56">
            <w:pPr>
              <w:rPr>
                <w:rFonts w:eastAsia="Times New Roman"/>
                <w:b/>
                <w:bCs/>
              </w:rPr>
            </w:pPr>
            <w:r w:rsidRPr="006621DE">
              <w:rPr>
                <w:rFonts w:eastAsia="Times New Roman"/>
                <w:b/>
                <w:bCs/>
              </w:rPr>
              <w:t>DATE +swab</w:t>
            </w:r>
          </w:p>
        </w:tc>
        <w:tc>
          <w:tcPr>
            <w:tcW w:w="2440" w:type="dxa"/>
            <w:tcBorders>
              <w:top w:val="nil"/>
              <w:left w:val="nil"/>
              <w:bottom w:val="nil"/>
              <w:right w:val="nil"/>
            </w:tcBorders>
            <w:shd w:val="clear" w:color="auto" w:fill="auto"/>
            <w:noWrap/>
            <w:vAlign w:val="bottom"/>
            <w:hideMark/>
          </w:tcPr>
          <w:p w14:paraId="300E31BB" w14:textId="77777777" w:rsidR="00DA676F" w:rsidRPr="006621DE" w:rsidRDefault="00DA676F" w:rsidP="00420B56">
            <w:pPr>
              <w:rPr>
                <w:rFonts w:eastAsia="Times New Roman"/>
              </w:rPr>
            </w:pPr>
          </w:p>
        </w:tc>
      </w:tr>
      <w:tr w:rsidR="00DA676F" w:rsidRPr="006621DE" w14:paraId="36E45F57" w14:textId="77777777" w:rsidTr="00420B56">
        <w:trPr>
          <w:trHeight w:val="300"/>
        </w:trPr>
        <w:tc>
          <w:tcPr>
            <w:tcW w:w="1580" w:type="dxa"/>
            <w:tcBorders>
              <w:top w:val="nil"/>
              <w:left w:val="nil"/>
              <w:bottom w:val="nil"/>
              <w:right w:val="nil"/>
            </w:tcBorders>
            <w:shd w:val="clear" w:color="auto" w:fill="auto"/>
            <w:noWrap/>
            <w:vAlign w:val="bottom"/>
            <w:hideMark/>
          </w:tcPr>
          <w:p w14:paraId="4D46E6EC" w14:textId="77777777" w:rsidR="00DA676F" w:rsidRPr="006621DE" w:rsidRDefault="00DA676F" w:rsidP="00420B56">
            <w:pPr>
              <w:rPr>
                <w:rFonts w:eastAsia="Times New Roman"/>
              </w:rPr>
            </w:pPr>
            <w:r w:rsidRPr="006621DE">
              <w:rPr>
                <w:rFonts w:eastAsia="Times New Roman"/>
              </w:rPr>
              <w:t>March 2020</w:t>
            </w:r>
          </w:p>
        </w:tc>
        <w:tc>
          <w:tcPr>
            <w:tcW w:w="2440" w:type="dxa"/>
            <w:tcBorders>
              <w:top w:val="nil"/>
              <w:left w:val="nil"/>
              <w:bottom w:val="nil"/>
              <w:right w:val="nil"/>
            </w:tcBorders>
            <w:shd w:val="clear" w:color="auto" w:fill="auto"/>
            <w:noWrap/>
            <w:vAlign w:val="bottom"/>
            <w:hideMark/>
          </w:tcPr>
          <w:p w14:paraId="3415C799" w14:textId="77777777" w:rsidR="00DA676F" w:rsidRPr="006621DE" w:rsidRDefault="00DA676F" w:rsidP="00420B56">
            <w:pPr>
              <w:jc w:val="right"/>
              <w:rPr>
                <w:rFonts w:eastAsia="Times New Roman"/>
              </w:rPr>
            </w:pPr>
            <w:r w:rsidRPr="006621DE">
              <w:rPr>
                <w:rFonts w:eastAsia="Times New Roman"/>
              </w:rPr>
              <w:t>24.2 (19.8-29.1)</w:t>
            </w:r>
          </w:p>
        </w:tc>
        <w:tc>
          <w:tcPr>
            <w:tcW w:w="2440" w:type="dxa"/>
            <w:tcBorders>
              <w:top w:val="nil"/>
              <w:left w:val="nil"/>
              <w:bottom w:val="nil"/>
              <w:right w:val="nil"/>
            </w:tcBorders>
            <w:shd w:val="clear" w:color="auto" w:fill="auto"/>
            <w:noWrap/>
            <w:vAlign w:val="bottom"/>
            <w:hideMark/>
          </w:tcPr>
          <w:p w14:paraId="42970695" w14:textId="77777777" w:rsidR="00DA676F" w:rsidRPr="006621DE" w:rsidRDefault="00DA676F" w:rsidP="00420B56">
            <w:pPr>
              <w:jc w:val="right"/>
              <w:rPr>
                <w:rFonts w:eastAsia="Times New Roman"/>
              </w:rPr>
            </w:pPr>
          </w:p>
        </w:tc>
      </w:tr>
      <w:tr w:rsidR="00DA676F" w:rsidRPr="006621DE" w14:paraId="370FC783" w14:textId="77777777" w:rsidTr="00420B56">
        <w:trPr>
          <w:trHeight w:val="315"/>
        </w:trPr>
        <w:tc>
          <w:tcPr>
            <w:tcW w:w="1580" w:type="dxa"/>
            <w:tcBorders>
              <w:top w:val="nil"/>
              <w:left w:val="nil"/>
              <w:bottom w:val="nil"/>
              <w:right w:val="nil"/>
            </w:tcBorders>
            <w:shd w:val="clear" w:color="auto" w:fill="auto"/>
            <w:noWrap/>
            <w:vAlign w:val="bottom"/>
            <w:hideMark/>
          </w:tcPr>
          <w:p w14:paraId="722A64F1" w14:textId="77777777" w:rsidR="00DA676F" w:rsidRPr="006621DE" w:rsidRDefault="00DA676F" w:rsidP="00420B56">
            <w:pPr>
              <w:rPr>
                <w:rFonts w:eastAsia="Times New Roman"/>
              </w:rPr>
            </w:pPr>
            <w:r w:rsidRPr="006621DE">
              <w:rPr>
                <w:rFonts w:eastAsia="Times New Roman"/>
              </w:rPr>
              <w:t>April 2020</w:t>
            </w:r>
          </w:p>
        </w:tc>
        <w:tc>
          <w:tcPr>
            <w:tcW w:w="2440" w:type="dxa"/>
            <w:tcBorders>
              <w:top w:val="nil"/>
              <w:left w:val="nil"/>
              <w:bottom w:val="nil"/>
              <w:right w:val="nil"/>
            </w:tcBorders>
            <w:shd w:val="clear" w:color="auto" w:fill="auto"/>
            <w:noWrap/>
            <w:vAlign w:val="bottom"/>
            <w:hideMark/>
          </w:tcPr>
          <w:p w14:paraId="5F6F77AC" w14:textId="77777777" w:rsidR="00DA676F" w:rsidRPr="006621DE" w:rsidRDefault="00DA676F" w:rsidP="00420B56">
            <w:pPr>
              <w:jc w:val="right"/>
              <w:rPr>
                <w:rFonts w:eastAsia="Times New Roman"/>
              </w:rPr>
            </w:pPr>
            <w:r w:rsidRPr="006621DE">
              <w:rPr>
                <w:rFonts w:eastAsia="Times New Roman"/>
              </w:rPr>
              <w:t>11.2 (9.7-12.9)</w:t>
            </w:r>
          </w:p>
        </w:tc>
        <w:tc>
          <w:tcPr>
            <w:tcW w:w="2440" w:type="dxa"/>
            <w:tcBorders>
              <w:top w:val="nil"/>
              <w:left w:val="nil"/>
              <w:bottom w:val="nil"/>
              <w:right w:val="nil"/>
            </w:tcBorders>
            <w:shd w:val="clear" w:color="auto" w:fill="auto"/>
            <w:noWrap/>
            <w:vAlign w:val="bottom"/>
            <w:hideMark/>
          </w:tcPr>
          <w:p w14:paraId="524EE0B8" w14:textId="77777777" w:rsidR="00DA676F" w:rsidRPr="006621DE" w:rsidRDefault="00DA676F" w:rsidP="00420B56">
            <w:pPr>
              <w:jc w:val="right"/>
              <w:rPr>
                <w:rFonts w:eastAsia="Times New Roman"/>
              </w:rPr>
            </w:pPr>
          </w:p>
        </w:tc>
      </w:tr>
      <w:tr w:rsidR="00DA676F" w:rsidRPr="006621DE" w14:paraId="7B9AC61B" w14:textId="77777777" w:rsidTr="00420B56">
        <w:trPr>
          <w:trHeight w:val="315"/>
        </w:trPr>
        <w:tc>
          <w:tcPr>
            <w:tcW w:w="1580" w:type="dxa"/>
            <w:tcBorders>
              <w:top w:val="nil"/>
              <w:left w:val="nil"/>
              <w:bottom w:val="nil"/>
              <w:right w:val="nil"/>
            </w:tcBorders>
            <w:shd w:val="clear" w:color="auto" w:fill="auto"/>
            <w:noWrap/>
            <w:vAlign w:val="bottom"/>
            <w:hideMark/>
          </w:tcPr>
          <w:p w14:paraId="7365D02B" w14:textId="77777777" w:rsidR="00DA676F" w:rsidRPr="006621DE" w:rsidRDefault="00DA676F" w:rsidP="00420B56">
            <w:pPr>
              <w:rPr>
                <w:rFonts w:eastAsia="Times New Roman"/>
              </w:rPr>
            </w:pPr>
            <w:r w:rsidRPr="006621DE">
              <w:rPr>
                <w:rFonts w:eastAsia="Times New Roman"/>
              </w:rPr>
              <w:t>May 2020</w:t>
            </w:r>
          </w:p>
        </w:tc>
        <w:tc>
          <w:tcPr>
            <w:tcW w:w="2440" w:type="dxa"/>
            <w:tcBorders>
              <w:top w:val="nil"/>
              <w:left w:val="nil"/>
              <w:bottom w:val="nil"/>
              <w:right w:val="nil"/>
            </w:tcBorders>
            <w:shd w:val="clear" w:color="auto" w:fill="auto"/>
            <w:noWrap/>
            <w:vAlign w:val="bottom"/>
            <w:hideMark/>
          </w:tcPr>
          <w:p w14:paraId="23EFEAD3" w14:textId="77777777" w:rsidR="00DA676F" w:rsidRPr="006621DE" w:rsidRDefault="00DA676F" w:rsidP="00420B56">
            <w:pPr>
              <w:jc w:val="right"/>
              <w:rPr>
                <w:rFonts w:eastAsia="Times New Roman"/>
              </w:rPr>
            </w:pPr>
            <w:r w:rsidRPr="006621DE">
              <w:rPr>
                <w:rFonts w:eastAsia="Times New Roman"/>
              </w:rPr>
              <w:t>5.9 (4.5-7.8)</w:t>
            </w:r>
          </w:p>
        </w:tc>
        <w:tc>
          <w:tcPr>
            <w:tcW w:w="2440" w:type="dxa"/>
            <w:tcBorders>
              <w:top w:val="nil"/>
              <w:left w:val="nil"/>
              <w:bottom w:val="nil"/>
              <w:right w:val="nil"/>
            </w:tcBorders>
            <w:shd w:val="clear" w:color="auto" w:fill="auto"/>
            <w:noWrap/>
            <w:vAlign w:val="bottom"/>
            <w:hideMark/>
          </w:tcPr>
          <w:p w14:paraId="46105507" w14:textId="77777777" w:rsidR="00DA676F" w:rsidRPr="006621DE" w:rsidRDefault="00DA676F" w:rsidP="00420B56">
            <w:pPr>
              <w:jc w:val="right"/>
              <w:rPr>
                <w:rFonts w:eastAsia="Times New Roman"/>
              </w:rPr>
            </w:pPr>
          </w:p>
        </w:tc>
      </w:tr>
      <w:tr w:rsidR="00DA676F" w:rsidRPr="006621DE" w14:paraId="1AC48033" w14:textId="77777777" w:rsidTr="00420B56">
        <w:trPr>
          <w:trHeight w:val="300"/>
        </w:trPr>
        <w:tc>
          <w:tcPr>
            <w:tcW w:w="1580" w:type="dxa"/>
            <w:tcBorders>
              <w:top w:val="nil"/>
              <w:left w:val="nil"/>
              <w:bottom w:val="nil"/>
              <w:right w:val="nil"/>
            </w:tcBorders>
            <w:shd w:val="clear" w:color="auto" w:fill="auto"/>
            <w:noWrap/>
            <w:vAlign w:val="bottom"/>
            <w:hideMark/>
          </w:tcPr>
          <w:p w14:paraId="7BAEEE78" w14:textId="77777777" w:rsidR="00DA676F" w:rsidRPr="006621DE" w:rsidRDefault="00DA676F" w:rsidP="00420B56">
            <w:pPr>
              <w:rPr>
                <w:rFonts w:eastAsia="Times New Roman"/>
              </w:rPr>
            </w:pPr>
            <w:r w:rsidRPr="006621DE">
              <w:rPr>
                <w:rFonts w:eastAsia="Times New Roman"/>
              </w:rPr>
              <w:t>October 2020</w:t>
            </w:r>
          </w:p>
        </w:tc>
        <w:tc>
          <w:tcPr>
            <w:tcW w:w="2440" w:type="dxa"/>
            <w:tcBorders>
              <w:top w:val="nil"/>
              <w:left w:val="nil"/>
              <w:bottom w:val="nil"/>
              <w:right w:val="nil"/>
            </w:tcBorders>
            <w:shd w:val="clear" w:color="auto" w:fill="auto"/>
            <w:noWrap/>
            <w:vAlign w:val="bottom"/>
            <w:hideMark/>
          </w:tcPr>
          <w:p w14:paraId="00FF6AC2" w14:textId="77777777" w:rsidR="00DA676F" w:rsidRPr="006621DE" w:rsidRDefault="00DA676F" w:rsidP="00420B56">
            <w:pPr>
              <w:rPr>
                <w:rFonts w:eastAsia="Times New Roman"/>
              </w:rPr>
            </w:pPr>
          </w:p>
        </w:tc>
        <w:tc>
          <w:tcPr>
            <w:tcW w:w="2440" w:type="dxa"/>
            <w:tcBorders>
              <w:top w:val="nil"/>
              <w:left w:val="nil"/>
              <w:bottom w:val="nil"/>
              <w:right w:val="nil"/>
            </w:tcBorders>
            <w:shd w:val="clear" w:color="auto" w:fill="auto"/>
            <w:noWrap/>
            <w:vAlign w:val="bottom"/>
            <w:hideMark/>
          </w:tcPr>
          <w:p w14:paraId="61AF3D03" w14:textId="77777777" w:rsidR="00DA676F" w:rsidRPr="006621DE" w:rsidRDefault="00DA676F" w:rsidP="00420B56">
            <w:pPr>
              <w:jc w:val="right"/>
              <w:rPr>
                <w:rFonts w:eastAsia="Times New Roman"/>
              </w:rPr>
            </w:pPr>
            <w:r w:rsidRPr="006621DE">
              <w:rPr>
                <w:rFonts w:eastAsia="Times New Roman"/>
              </w:rPr>
              <w:t>6.3 (4.3-9.1)</w:t>
            </w:r>
          </w:p>
        </w:tc>
      </w:tr>
      <w:tr w:rsidR="00DA676F" w:rsidRPr="006621DE" w14:paraId="0F9D6874" w14:textId="77777777" w:rsidTr="00420B56">
        <w:trPr>
          <w:trHeight w:val="300"/>
        </w:trPr>
        <w:tc>
          <w:tcPr>
            <w:tcW w:w="1580" w:type="dxa"/>
            <w:tcBorders>
              <w:top w:val="nil"/>
              <w:left w:val="nil"/>
              <w:bottom w:val="nil"/>
              <w:right w:val="nil"/>
            </w:tcBorders>
            <w:shd w:val="clear" w:color="auto" w:fill="auto"/>
            <w:noWrap/>
            <w:vAlign w:val="bottom"/>
            <w:hideMark/>
          </w:tcPr>
          <w:p w14:paraId="7F76D6E0" w14:textId="77777777" w:rsidR="00DA676F" w:rsidRPr="006621DE" w:rsidRDefault="00DA676F" w:rsidP="00420B56">
            <w:pPr>
              <w:rPr>
                <w:rFonts w:eastAsia="Times New Roman"/>
              </w:rPr>
            </w:pPr>
            <w:r w:rsidRPr="006621DE">
              <w:rPr>
                <w:rFonts w:eastAsia="Times New Roman"/>
              </w:rPr>
              <w:t>Nov. 2020</w:t>
            </w:r>
          </w:p>
        </w:tc>
        <w:tc>
          <w:tcPr>
            <w:tcW w:w="2440" w:type="dxa"/>
            <w:tcBorders>
              <w:top w:val="nil"/>
              <w:left w:val="nil"/>
              <w:bottom w:val="nil"/>
              <w:right w:val="nil"/>
            </w:tcBorders>
            <w:shd w:val="clear" w:color="auto" w:fill="auto"/>
            <w:noWrap/>
            <w:vAlign w:val="bottom"/>
            <w:hideMark/>
          </w:tcPr>
          <w:p w14:paraId="0D1E51FA" w14:textId="77777777" w:rsidR="00DA676F" w:rsidRPr="006621DE" w:rsidRDefault="00DA676F" w:rsidP="00420B56">
            <w:pPr>
              <w:rPr>
                <w:rFonts w:eastAsia="Times New Roman"/>
              </w:rPr>
            </w:pPr>
          </w:p>
        </w:tc>
        <w:tc>
          <w:tcPr>
            <w:tcW w:w="2440" w:type="dxa"/>
            <w:tcBorders>
              <w:top w:val="nil"/>
              <w:left w:val="nil"/>
              <w:bottom w:val="nil"/>
              <w:right w:val="nil"/>
            </w:tcBorders>
            <w:shd w:val="clear" w:color="auto" w:fill="auto"/>
            <w:noWrap/>
            <w:vAlign w:val="bottom"/>
            <w:hideMark/>
          </w:tcPr>
          <w:p w14:paraId="5F3BAE5F" w14:textId="77777777" w:rsidR="00DA676F" w:rsidRPr="006621DE" w:rsidRDefault="00DA676F" w:rsidP="00420B56">
            <w:pPr>
              <w:jc w:val="right"/>
              <w:rPr>
                <w:rFonts w:eastAsia="Times New Roman"/>
              </w:rPr>
            </w:pPr>
            <w:r w:rsidRPr="006621DE">
              <w:rPr>
                <w:rFonts w:eastAsia="Times New Roman"/>
              </w:rPr>
              <w:t>6.6 (5.2-8.3)</w:t>
            </w:r>
          </w:p>
        </w:tc>
      </w:tr>
      <w:tr w:rsidR="00DA676F" w:rsidRPr="006621DE" w14:paraId="075355A0" w14:textId="77777777" w:rsidTr="00420B56">
        <w:trPr>
          <w:trHeight w:val="300"/>
        </w:trPr>
        <w:tc>
          <w:tcPr>
            <w:tcW w:w="1580" w:type="dxa"/>
            <w:tcBorders>
              <w:top w:val="nil"/>
              <w:left w:val="nil"/>
              <w:bottom w:val="nil"/>
              <w:right w:val="nil"/>
            </w:tcBorders>
            <w:shd w:val="clear" w:color="auto" w:fill="auto"/>
            <w:noWrap/>
            <w:vAlign w:val="bottom"/>
            <w:hideMark/>
          </w:tcPr>
          <w:p w14:paraId="24BCD9DF" w14:textId="77777777" w:rsidR="00DA676F" w:rsidRPr="006621DE" w:rsidRDefault="00DA676F" w:rsidP="00420B56">
            <w:pPr>
              <w:rPr>
                <w:rFonts w:eastAsia="Times New Roman"/>
              </w:rPr>
            </w:pPr>
            <w:r w:rsidRPr="006621DE">
              <w:rPr>
                <w:rFonts w:eastAsia="Times New Roman"/>
              </w:rPr>
              <w:t>Dec. 2020</w:t>
            </w:r>
          </w:p>
        </w:tc>
        <w:tc>
          <w:tcPr>
            <w:tcW w:w="2440" w:type="dxa"/>
            <w:tcBorders>
              <w:top w:val="nil"/>
              <w:left w:val="nil"/>
              <w:bottom w:val="nil"/>
              <w:right w:val="nil"/>
            </w:tcBorders>
            <w:shd w:val="clear" w:color="auto" w:fill="auto"/>
            <w:noWrap/>
            <w:vAlign w:val="bottom"/>
            <w:hideMark/>
          </w:tcPr>
          <w:p w14:paraId="7BFF0E89" w14:textId="77777777" w:rsidR="00DA676F" w:rsidRPr="006621DE" w:rsidRDefault="00DA676F" w:rsidP="00420B56">
            <w:pPr>
              <w:rPr>
                <w:rFonts w:eastAsia="Times New Roman"/>
              </w:rPr>
            </w:pPr>
          </w:p>
        </w:tc>
        <w:tc>
          <w:tcPr>
            <w:tcW w:w="2440" w:type="dxa"/>
            <w:tcBorders>
              <w:top w:val="nil"/>
              <w:left w:val="nil"/>
              <w:bottom w:val="nil"/>
              <w:right w:val="nil"/>
            </w:tcBorders>
            <w:shd w:val="clear" w:color="auto" w:fill="auto"/>
            <w:noWrap/>
            <w:vAlign w:val="bottom"/>
            <w:hideMark/>
          </w:tcPr>
          <w:p w14:paraId="02DD8566" w14:textId="77777777" w:rsidR="00DA676F" w:rsidRPr="006621DE" w:rsidRDefault="00DA676F" w:rsidP="00420B56">
            <w:pPr>
              <w:jc w:val="right"/>
              <w:rPr>
                <w:rFonts w:eastAsia="Times New Roman"/>
              </w:rPr>
            </w:pPr>
            <w:r w:rsidRPr="006621DE">
              <w:rPr>
                <w:rFonts w:eastAsia="Times New Roman"/>
              </w:rPr>
              <w:t>8.9 (7.8-10.2)</w:t>
            </w:r>
          </w:p>
        </w:tc>
      </w:tr>
      <w:tr w:rsidR="00DA676F" w:rsidRPr="006621DE" w14:paraId="510BB9C3" w14:textId="77777777" w:rsidTr="00420B56">
        <w:trPr>
          <w:trHeight w:val="315"/>
        </w:trPr>
        <w:tc>
          <w:tcPr>
            <w:tcW w:w="1580" w:type="dxa"/>
            <w:tcBorders>
              <w:top w:val="nil"/>
              <w:left w:val="nil"/>
              <w:bottom w:val="nil"/>
              <w:right w:val="nil"/>
            </w:tcBorders>
            <w:shd w:val="clear" w:color="auto" w:fill="auto"/>
            <w:noWrap/>
            <w:vAlign w:val="bottom"/>
            <w:hideMark/>
          </w:tcPr>
          <w:p w14:paraId="23089E1E" w14:textId="77777777" w:rsidR="00DA676F" w:rsidRPr="006621DE" w:rsidRDefault="00DA676F" w:rsidP="00420B56">
            <w:pPr>
              <w:rPr>
                <w:rFonts w:eastAsia="Times New Roman"/>
              </w:rPr>
            </w:pPr>
            <w:r w:rsidRPr="006621DE">
              <w:rPr>
                <w:rFonts w:eastAsia="Times New Roman"/>
              </w:rPr>
              <w:t>January 2021</w:t>
            </w:r>
          </w:p>
        </w:tc>
        <w:tc>
          <w:tcPr>
            <w:tcW w:w="2440" w:type="dxa"/>
            <w:tcBorders>
              <w:top w:val="nil"/>
              <w:left w:val="nil"/>
              <w:bottom w:val="nil"/>
              <w:right w:val="nil"/>
            </w:tcBorders>
            <w:shd w:val="clear" w:color="auto" w:fill="auto"/>
            <w:noWrap/>
            <w:vAlign w:val="bottom"/>
            <w:hideMark/>
          </w:tcPr>
          <w:p w14:paraId="1CA697D8" w14:textId="77777777" w:rsidR="00DA676F" w:rsidRPr="006621DE" w:rsidRDefault="00DA676F" w:rsidP="00420B56">
            <w:pPr>
              <w:rPr>
                <w:rFonts w:eastAsia="Times New Roman"/>
              </w:rPr>
            </w:pPr>
          </w:p>
        </w:tc>
        <w:tc>
          <w:tcPr>
            <w:tcW w:w="2440" w:type="dxa"/>
            <w:tcBorders>
              <w:top w:val="nil"/>
              <w:left w:val="nil"/>
              <w:bottom w:val="nil"/>
              <w:right w:val="nil"/>
            </w:tcBorders>
            <w:shd w:val="clear" w:color="auto" w:fill="auto"/>
            <w:noWrap/>
            <w:vAlign w:val="bottom"/>
            <w:hideMark/>
          </w:tcPr>
          <w:p w14:paraId="3E1BF17A" w14:textId="77777777" w:rsidR="00DA676F" w:rsidRPr="006621DE" w:rsidRDefault="00DA676F" w:rsidP="00420B56">
            <w:pPr>
              <w:jc w:val="right"/>
              <w:rPr>
                <w:rFonts w:eastAsia="Times New Roman"/>
              </w:rPr>
            </w:pPr>
            <w:r w:rsidRPr="006621DE">
              <w:rPr>
                <w:rFonts w:eastAsia="Times New Roman"/>
              </w:rPr>
              <w:t>8.8 (8-9.7)</w:t>
            </w:r>
          </w:p>
        </w:tc>
      </w:tr>
      <w:tr w:rsidR="00DA676F" w:rsidRPr="006621DE" w14:paraId="3B8500FC" w14:textId="77777777" w:rsidTr="00420B56">
        <w:trPr>
          <w:trHeight w:val="273"/>
        </w:trPr>
        <w:tc>
          <w:tcPr>
            <w:tcW w:w="1580" w:type="dxa"/>
            <w:tcBorders>
              <w:top w:val="nil"/>
              <w:left w:val="nil"/>
              <w:bottom w:val="single" w:sz="8" w:space="0" w:color="auto"/>
              <w:right w:val="nil"/>
            </w:tcBorders>
            <w:shd w:val="clear" w:color="auto" w:fill="auto"/>
            <w:noWrap/>
            <w:vAlign w:val="bottom"/>
            <w:hideMark/>
          </w:tcPr>
          <w:p w14:paraId="49E2474E" w14:textId="77777777" w:rsidR="00DA676F" w:rsidRPr="006621DE" w:rsidRDefault="00DA676F" w:rsidP="00420B56">
            <w:pPr>
              <w:rPr>
                <w:rFonts w:eastAsia="Times New Roman"/>
              </w:rPr>
            </w:pPr>
            <w:r w:rsidRPr="006621DE">
              <w:rPr>
                <w:rFonts w:eastAsia="Times New Roman"/>
              </w:rPr>
              <w:t>Feb. 2021</w:t>
            </w:r>
          </w:p>
        </w:tc>
        <w:tc>
          <w:tcPr>
            <w:tcW w:w="2440" w:type="dxa"/>
            <w:tcBorders>
              <w:top w:val="nil"/>
              <w:left w:val="nil"/>
              <w:bottom w:val="single" w:sz="8" w:space="0" w:color="auto"/>
              <w:right w:val="nil"/>
            </w:tcBorders>
            <w:shd w:val="clear" w:color="auto" w:fill="auto"/>
            <w:noWrap/>
            <w:vAlign w:val="bottom"/>
            <w:hideMark/>
          </w:tcPr>
          <w:p w14:paraId="08D65088" w14:textId="77777777" w:rsidR="00DA676F" w:rsidRPr="006621DE" w:rsidRDefault="00DA676F" w:rsidP="00420B56">
            <w:pPr>
              <w:rPr>
                <w:rFonts w:eastAsia="Times New Roman"/>
              </w:rPr>
            </w:pPr>
            <w:r w:rsidRPr="006621DE">
              <w:rPr>
                <w:rFonts w:eastAsia="Times New Roman"/>
              </w:rPr>
              <w:t> </w:t>
            </w:r>
          </w:p>
        </w:tc>
        <w:tc>
          <w:tcPr>
            <w:tcW w:w="2440" w:type="dxa"/>
            <w:tcBorders>
              <w:top w:val="nil"/>
              <w:left w:val="nil"/>
              <w:bottom w:val="single" w:sz="8" w:space="0" w:color="auto"/>
              <w:right w:val="nil"/>
            </w:tcBorders>
            <w:shd w:val="clear" w:color="auto" w:fill="auto"/>
            <w:noWrap/>
            <w:vAlign w:val="bottom"/>
            <w:hideMark/>
          </w:tcPr>
          <w:p w14:paraId="20DC390A" w14:textId="77777777" w:rsidR="00DA676F" w:rsidRPr="006621DE" w:rsidRDefault="00DA676F" w:rsidP="00420B56">
            <w:pPr>
              <w:jc w:val="right"/>
              <w:rPr>
                <w:rFonts w:eastAsia="Times New Roman"/>
              </w:rPr>
            </w:pPr>
            <w:r w:rsidRPr="006621DE">
              <w:rPr>
                <w:rFonts w:eastAsia="Times New Roman"/>
              </w:rPr>
              <w:t>7.2 (5.4-9.6)</w:t>
            </w:r>
          </w:p>
        </w:tc>
      </w:tr>
    </w:tbl>
    <w:p w14:paraId="7883A0E8" w14:textId="77777777" w:rsidR="00DA676F" w:rsidRPr="006621DE" w:rsidRDefault="00DA676F" w:rsidP="00DA676F"/>
    <w:p w14:paraId="6CC0CA8E" w14:textId="77777777" w:rsidR="00DA676F" w:rsidRPr="006621DE" w:rsidRDefault="00DA676F" w:rsidP="00DA676F">
      <w:pPr>
        <w:rPr>
          <w:rFonts w:eastAsiaTheme="minorEastAsia"/>
        </w:rPr>
      </w:pPr>
      <w:r w:rsidRPr="006621DE">
        <w:t xml:space="preserve">Notes:  CFR = Case fatality rate.  CFRs were adjusted by Norfolk and Waveney population totals in each subgroup.  The 95% intervals are calculated as binomial CI. </w:t>
      </w:r>
    </w:p>
    <w:p w14:paraId="3B27A78B" w14:textId="77777777" w:rsidR="00DA676F" w:rsidRPr="006621DE" w:rsidRDefault="00DA676F" w:rsidP="00DA676F"/>
    <w:p w14:paraId="3FAB3853" w14:textId="55C0BDFB" w:rsidR="00DA676F" w:rsidRPr="006621DE" w:rsidRDefault="00DA676F">
      <w:pPr>
        <w:spacing w:after="160" w:line="259" w:lineRule="auto"/>
        <w:rPr>
          <w:rStyle w:val="Heading2Char"/>
          <w:color w:val="auto"/>
        </w:rPr>
      </w:pPr>
    </w:p>
    <w:p w14:paraId="0D5E7C49" w14:textId="77777777" w:rsidR="00DA676F" w:rsidRPr="006621DE" w:rsidRDefault="00DA676F">
      <w:pPr>
        <w:spacing w:after="160" w:line="259" w:lineRule="auto"/>
        <w:rPr>
          <w:rStyle w:val="Heading2Char"/>
          <w:rFonts w:ascii="Times New Roman" w:hAnsi="Times New Roman" w:cs="Times New Roman"/>
          <w:color w:val="auto"/>
        </w:rPr>
      </w:pPr>
      <w:r w:rsidRPr="006621DE">
        <w:rPr>
          <w:rStyle w:val="Heading2Char"/>
          <w:rFonts w:ascii="Times New Roman" w:hAnsi="Times New Roman" w:cs="Times New Roman"/>
          <w:color w:val="auto"/>
        </w:rPr>
        <w:br w:type="page"/>
      </w:r>
    </w:p>
    <w:p w14:paraId="3890436A" w14:textId="08C54EBC" w:rsidR="00DA676F" w:rsidRPr="006621DE" w:rsidRDefault="00DA676F" w:rsidP="00DA676F">
      <w:r w:rsidRPr="006621DE">
        <w:rPr>
          <w:rStyle w:val="Heading2Char"/>
          <w:rFonts w:ascii="Times New Roman" w:hAnsi="Times New Roman" w:cs="Times New Roman"/>
          <w:color w:val="auto"/>
        </w:rPr>
        <w:t>Supplementary Figure 3</w:t>
      </w:r>
      <w:r w:rsidRPr="006621DE">
        <w:rPr>
          <w:rStyle w:val="Heading3Char"/>
        </w:rPr>
        <w:t>: Marginal probabilities of dying in the CCG dataset after multivariable logistic regression: Wave 1</w:t>
      </w:r>
    </w:p>
    <w:p w14:paraId="117707F6" w14:textId="77777777" w:rsidR="00DA676F" w:rsidRPr="006621DE" w:rsidRDefault="00DA676F" w:rsidP="00DA676F"/>
    <w:p w14:paraId="1E7922AA" w14:textId="77777777" w:rsidR="00DA676F" w:rsidRPr="006621DE" w:rsidRDefault="00DA676F" w:rsidP="00DA676F">
      <w:pPr>
        <w:jc w:val="center"/>
      </w:pPr>
    </w:p>
    <w:p w14:paraId="28339360" w14:textId="77777777" w:rsidR="00DA676F" w:rsidRPr="006621DE" w:rsidRDefault="00DA676F" w:rsidP="00DA676F">
      <w:pPr>
        <w:rPr>
          <w:b/>
        </w:rPr>
      </w:pPr>
      <w:r w:rsidRPr="006621DE">
        <w:rPr>
          <w:b/>
          <w:noProof/>
          <w:lang w:val="en-US" w:eastAsia="en-US"/>
        </w:rPr>
        <w:drawing>
          <wp:inline distT="0" distB="0" distL="0" distR="0" wp14:anchorId="6C099620" wp14:editId="46D136DF">
            <wp:extent cx="5044509" cy="48958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anLogisic_w1.png"/>
                    <pic:cNvPicPr/>
                  </pic:nvPicPr>
                  <pic:blipFill>
                    <a:blip r:embed="rId6">
                      <a:extLst>
                        <a:ext uri="{28A0092B-C50C-407E-A947-70E740481C1C}">
                          <a14:useLocalDpi xmlns:a14="http://schemas.microsoft.com/office/drawing/2010/main" val="0"/>
                        </a:ext>
                      </a:extLst>
                    </a:blip>
                    <a:stretch>
                      <a:fillRect/>
                    </a:stretch>
                  </pic:blipFill>
                  <pic:spPr>
                    <a:xfrm>
                      <a:off x="0" y="0"/>
                      <a:ext cx="5047088" cy="4898353"/>
                    </a:xfrm>
                    <a:prstGeom prst="rect">
                      <a:avLst/>
                    </a:prstGeom>
                  </pic:spPr>
                </pic:pic>
              </a:graphicData>
            </a:graphic>
          </wp:inline>
        </w:drawing>
      </w:r>
    </w:p>
    <w:p w14:paraId="5DA98584" w14:textId="77777777" w:rsidR="00DA676F" w:rsidRPr="006621DE" w:rsidRDefault="00DA676F" w:rsidP="00DA676F"/>
    <w:p w14:paraId="4B740945" w14:textId="23677A0A" w:rsidR="00DA676F" w:rsidRPr="006621DE" w:rsidRDefault="007F2823" w:rsidP="00DA676F">
      <w:pPr>
        <w:rPr>
          <w:rStyle w:val="Heading2Char"/>
          <w:rFonts w:ascii="Times New Roman" w:hAnsi="Times New Roman" w:cs="Times New Roman"/>
          <w:color w:val="auto"/>
        </w:rPr>
      </w:pPr>
      <w:r w:rsidRPr="006621DE">
        <w:rPr>
          <w:rStyle w:val="Heading2Char"/>
          <w:i/>
          <w:iCs/>
          <w:color w:val="auto"/>
        </w:rPr>
        <w:t>Note</w:t>
      </w:r>
      <w:r w:rsidRPr="006621DE">
        <w:rPr>
          <w:rStyle w:val="Heading2Char"/>
          <w:color w:val="auto"/>
        </w:rPr>
        <w:t>: the probabilities shown were calculated only with respect to all cases in the Pillar 1 dataset analysed in the main manuscript.</w:t>
      </w:r>
      <w:r w:rsidR="00DA676F" w:rsidRPr="006621DE">
        <w:rPr>
          <w:rStyle w:val="Heading2Char"/>
          <w:rFonts w:ascii="Times New Roman" w:hAnsi="Times New Roman" w:cs="Times New Roman"/>
          <w:color w:val="auto"/>
        </w:rPr>
        <w:br w:type="page"/>
      </w:r>
    </w:p>
    <w:p w14:paraId="3D94809F" w14:textId="4B77CE2E" w:rsidR="00DA676F" w:rsidRPr="006621DE" w:rsidRDefault="00DA676F" w:rsidP="00DA676F">
      <w:pPr>
        <w:pStyle w:val="Heading2"/>
        <w:rPr>
          <w:rFonts w:ascii="Times New Roman" w:hAnsi="Times New Roman" w:cs="Times New Roman"/>
          <w:color w:val="auto"/>
        </w:rPr>
      </w:pPr>
      <w:r w:rsidRPr="006621DE">
        <w:rPr>
          <w:rStyle w:val="Heading2Char"/>
          <w:rFonts w:ascii="Times New Roman" w:hAnsi="Times New Roman" w:cs="Times New Roman"/>
          <w:color w:val="auto"/>
        </w:rPr>
        <w:t>Supplementary Figure 4</w:t>
      </w:r>
      <w:r w:rsidRPr="006621DE">
        <w:rPr>
          <w:rFonts w:ascii="Times New Roman" w:hAnsi="Times New Roman" w:cs="Times New Roman"/>
          <w:color w:val="auto"/>
        </w:rPr>
        <w:t>: Marginal probabilities of dying in the CCG dataset after multivariable logistic regression: Wave 2</w:t>
      </w:r>
    </w:p>
    <w:p w14:paraId="05172477" w14:textId="77777777" w:rsidR="00DA676F" w:rsidRPr="006621DE" w:rsidRDefault="00DA676F" w:rsidP="00DA676F"/>
    <w:p w14:paraId="5E453B12" w14:textId="63DE8E65" w:rsidR="00DA676F" w:rsidRPr="006621DE" w:rsidRDefault="00DA676F" w:rsidP="00DA676F">
      <w:pPr>
        <w:spacing w:after="160" w:line="259" w:lineRule="auto"/>
        <w:rPr>
          <w:rStyle w:val="Heading2Char"/>
          <w:color w:val="auto"/>
        </w:rPr>
      </w:pPr>
      <w:r w:rsidRPr="006621DE">
        <w:rPr>
          <w:noProof/>
          <w:lang w:val="en-US" w:eastAsia="en-US"/>
        </w:rPr>
        <w:drawing>
          <wp:inline distT="0" distB="0" distL="0" distR="0" wp14:anchorId="6332DC8E" wp14:editId="314421BB">
            <wp:extent cx="5019675" cy="5991225"/>
            <wp:effectExtent l="0" t="0" r="9525" b="9525"/>
            <wp:docPr id="8" name="Picture 8"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019675" cy="5991225"/>
                    </a:xfrm>
                    <a:prstGeom prst="rect">
                      <a:avLst/>
                    </a:prstGeom>
                  </pic:spPr>
                </pic:pic>
              </a:graphicData>
            </a:graphic>
          </wp:inline>
        </w:drawing>
      </w:r>
    </w:p>
    <w:p w14:paraId="43CB75A0" w14:textId="77777777" w:rsidR="00DA676F" w:rsidRPr="006621DE" w:rsidRDefault="00DA676F" w:rsidP="00B41628">
      <w:pPr>
        <w:rPr>
          <w:rStyle w:val="Heading2Char"/>
          <w:color w:val="auto"/>
        </w:rPr>
      </w:pPr>
    </w:p>
    <w:p w14:paraId="2B553558" w14:textId="7F2672E6" w:rsidR="008020CD" w:rsidRPr="006621DE" w:rsidRDefault="008020CD">
      <w:pPr>
        <w:spacing w:after="160" w:line="259" w:lineRule="auto"/>
        <w:rPr>
          <w:rStyle w:val="Heading2Char"/>
          <w:color w:val="auto"/>
        </w:rPr>
      </w:pPr>
      <w:r w:rsidRPr="006621DE">
        <w:rPr>
          <w:rStyle w:val="Heading2Char"/>
          <w:i/>
          <w:iCs/>
          <w:color w:val="auto"/>
        </w:rPr>
        <w:t>Note</w:t>
      </w:r>
      <w:r w:rsidRPr="006621DE">
        <w:rPr>
          <w:rStyle w:val="Heading2Char"/>
          <w:color w:val="auto"/>
        </w:rPr>
        <w:t xml:space="preserve">: the probabilities shown </w:t>
      </w:r>
      <w:r w:rsidR="007F2823" w:rsidRPr="006621DE">
        <w:rPr>
          <w:rStyle w:val="Heading2Char"/>
          <w:color w:val="auto"/>
        </w:rPr>
        <w:t>we</w:t>
      </w:r>
      <w:r w:rsidRPr="006621DE">
        <w:rPr>
          <w:rStyle w:val="Heading2Char"/>
          <w:color w:val="auto"/>
        </w:rPr>
        <w:t xml:space="preserve">re </w:t>
      </w:r>
      <w:r w:rsidR="007F2823" w:rsidRPr="006621DE">
        <w:rPr>
          <w:rStyle w:val="Heading2Char"/>
          <w:color w:val="auto"/>
        </w:rPr>
        <w:t>calculated only with respect to all cases in the Pillar 1 dataset analysed in the main manuscript.</w:t>
      </w:r>
      <w:r w:rsidRPr="006621DE">
        <w:rPr>
          <w:rStyle w:val="Heading2Char"/>
          <w:color w:val="auto"/>
        </w:rPr>
        <w:br w:type="page"/>
      </w:r>
    </w:p>
    <w:p w14:paraId="2C2100B3" w14:textId="1A5AE022" w:rsidR="00B41628" w:rsidRPr="006621DE" w:rsidRDefault="00B41628" w:rsidP="00B41628">
      <w:pPr>
        <w:pStyle w:val="Heading2"/>
        <w:rPr>
          <w:color w:val="auto"/>
        </w:rPr>
      </w:pPr>
      <w:r w:rsidRPr="006621DE">
        <w:rPr>
          <w:rStyle w:val="Heading2Char"/>
          <w:color w:val="auto"/>
        </w:rPr>
        <w:t xml:space="preserve">Supplementary Figure </w:t>
      </w:r>
      <w:r w:rsidR="00DA676F" w:rsidRPr="006621DE">
        <w:rPr>
          <w:rStyle w:val="Heading2Char"/>
          <w:color w:val="auto"/>
        </w:rPr>
        <w:t>5</w:t>
      </w:r>
      <w:r w:rsidRPr="006621DE">
        <w:rPr>
          <w:color w:val="auto"/>
        </w:rPr>
        <w:t>.  Vaccination uptake in NWCCG in persons age 70+</w:t>
      </w:r>
    </w:p>
    <w:p w14:paraId="0924AEBE" w14:textId="77777777" w:rsidR="00B41628" w:rsidRPr="006621DE" w:rsidRDefault="00B41628" w:rsidP="00B41628"/>
    <w:p w14:paraId="5F506F16" w14:textId="77777777" w:rsidR="00B41628" w:rsidRPr="006621DE" w:rsidRDefault="00B41628" w:rsidP="00B41628">
      <w:r w:rsidRPr="006621DE">
        <w:rPr>
          <w:noProof/>
          <w:lang w:val="en-US" w:eastAsia="en-US"/>
        </w:rPr>
        <w:drawing>
          <wp:inline distT="0" distB="0" distL="0" distR="0" wp14:anchorId="2F0750EE" wp14:editId="46B8865D">
            <wp:extent cx="6507815" cy="44323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435" cy="4434085"/>
                    </a:xfrm>
                    <a:prstGeom prst="rect">
                      <a:avLst/>
                    </a:prstGeom>
                    <a:noFill/>
                  </pic:spPr>
                </pic:pic>
              </a:graphicData>
            </a:graphic>
          </wp:inline>
        </w:drawing>
      </w:r>
      <w:bookmarkStart w:id="0" w:name="_GoBack"/>
      <w:bookmarkEnd w:id="0"/>
    </w:p>
    <w:p w14:paraId="2BC28472" w14:textId="77777777" w:rsidR="00B41628" w:rsidRPr="006621DE" w:rsidRDefault="00B41628" w:rsidP="00B41628"/>
    <w:p w14:paraId="605FE101" w14:textId="77777777" w:rsidR="00B41628" w:rsidRPr="006621DE" w:rsidRDefault="00B41628" w:rsidP="00B41628">
      <w:r w:rsidRPr="006621DE">
        <w:t>Concurrent priority groups (only groups) eligible for vaccination until 15 February 2021:</w:t>
      </w:r>
    </w:p>
    <w:p w14:paraId="5947CA2A" w14:textId="77777777" w:rsidR="00B41628" w:rsidRPr="006621DE" w:rsidRDefault="00B41628" w:rsidP="00B41628"/>
    <w:p w14:paraId="32238F31" w14:textId="77777777" w:rsidR="00B41628" w:rsidRPr="006621DE" w:rsidRDefault="00B41628" w:rsidP="00B41628">
      <w:pPr>
        <w:rPr>
          <w:spacing w:val="3"/>
          <w:shd w:val="clear" w:color="auto" w:fill="FFFFFF"/>
        </w:rPr>
      </w:pPr>
      <w:r w:rsidRPr="006621DE">
        <w:rPr>
          <w:spacing w:val="3"/>
          <w:shd w:val="clear" w:color="auto" w:fill="FFFFFF"/>
        </w:rPr>
        <w:t>1. care home residents and their carers</w:t>
      </w:r>
    </w:p>
    <w:p w14:paraId="19390DCA" w14:textId="77777777" w:rsidR="00B41628" w:rsidRPr="006621DE" w:rsidRDefault="00B41628" w:rsidP="00B41628">
      <w:pPr>
        <w:rPr>
          <w:spacing w:val="3"/>
          <w:shd w:val="clear" w:color="auto" w:fill="FFFFFF"/>
        </w:rPr>
      </w:pPr>
      <w:r w:rsidRPr="006621DE">
        <w:rPr>
          <w:spacing w:val="3"/>
          <w:shd w:val="clear" w:color="auto" w:fill="FFFFFF"/>
        </w:rPr>
        <w:t xml:space="preserve">2. people over the age of 80 and frontline health and social care workers </w:t>
      </w:r>
    </w:p>
    <w:p w14:paraId="3CD2C0B2" w14:textId="77777777" w:rsidR="00B41628" w:rsidRPr="006621DE" w:rsidRDefault="00B41628" w:rsidP="00B41628">
      <w:pPr>
        <w:rPr>
          <w:spacing w:val="3"/>
          <w:shd w:val="clear" w:color="auto" w:fill="FFFFFF"/>
        </w:rPr>
      </w:pPr>
      <w:r w:rsidRPr="006621DE">
        <w:rPr>
          <w:spacing w:val="3"/>
          <w:shd w:val="clear" w:color="auto" w:fill="FFFFFF"/>
        </w:rPr>
        <w:t>3. people aged 75 to 79</w:t>
      </w:r>
    </w:p>
    <w:p w14:paraId="7C373CFC" w14:textId="77777777" w:rsidR="00B41628" w:rsidRPr="006621DE" w:rsidRDefault="00B41628" w:rsidP="00B41628">
      <w:r w:rsidRPr="006621DE">
        <w:rPr>
          <w:spacing w:val="3"/>
          <w:shd w:val="clear" w:color="auto" w:fill="FFFFFF"/>
        </w:rPr>
        <w:t>4. people aged 70-74 and those under 70 deemed to be “clinically extremely vulnerable”</w:t>
      </w:r>
    </w:p>
    <w:p w14:paraId="6E2B84F5" w14:textId="77777777" w:rsidR="00B41628" w:rsidRPr="006621DE" w:rsidRDefault="00B41628" w:rsidP="00B41628"/>
    <w:p w14:paraId="16989D1F" w14:textId="77777777" w:rsidR="00B41628" w:rsidRPr="002A6E61" w:rsidRDefault="00B41628" w:rsidP="00B41628">
      <w:r w:rsidRPr="006621DE">
        <w:rPr>
          <w:b/>
        </w:rPr>
        <w:t>Source</w:t>
      </w:r>
      <w:r w:rsidRPr="006621DE">
        <w:t>: Data available at https://www.england.nhs.uk/statistics/statistical-work-areas/covid-19-vaccinations/.  Persons age 75+ may have been vaccinated more quickly than persons age 80+ due to greater mobility (better access to transport to vaccine centres, fewer were house-bound).</w:t>
      </w:r>
    </w:p>
    <w:p w14:paraId="77D07A50" w14:textId="77777777" w:rsidR="00B41628" w:rsidRPr="002A6E61" w:rsidRDefault="00B41628" w:rsidP="00B41628"/>
    <w:p w14:paraId="13F136EB" w14:textId="77777777" w:rsidR="00B41628" w:rsidRPr="002A6E61" w:rsidRDefault="00B41628" w:rsidP="00B41628"/>
    <w:p w14:paraId="27D47F8F" w14:textId="564F3C14" w:rsidR="00B41628" w:rsidRPr="002A6E61" w:rsidRDefault="00B41628" w:rsidP="00B41628"/>
    <w:sectPr w:rsidR="00B41628" w:rsidRPr="002A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28"/>
    <w:rsid w:val="00041AB8"/>
    <w:rsid w:val="00226354"/>
    <w:rsid w:val="003C3E0C"/>
    <w:rsid w:val="006621DE"/>
    <w:rsid w:val="006A4E46"/>
    <w:rsid w:val="006F7CBE"/>
    <w:rsid w:val="007F2823"/>
    <w:rsid w:val="008020CD"/>
    <w:rsid w:val="00982E6A"/>
    <w:rsid w:val="00B41628"/>
    <w:rsid w:val="00D255F4"/>
    <w:rsid w:val="00DA676F"/>
    <w:rsid w:val="00F9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8F32"/>
  <w15:chartTrackingRefBased/>
  <w15:docId w15:val="{A74C5872-1BC9-4204-9C31-A4D811B8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2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41628"/>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B41628"/>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DA67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628"/>
    <w:rPr>
      <w:rFonts w:asciiTheme="majorHAnsi" w:eastAsiaTheme="majorEastAsia" w:hAnsiTheme="majorHAnsi" w:cstheme="majorBidi"/>
      <w:color w:val="1F3864" w:themeColor="accent1" w:themeShade="80"/>
      <w:sz w:val="32"/>
      <w:szCs w:val="32"/>
      <w:lang w:eastAsia="en-GB"/>
    </w:rPr>
  </w:style>
  <w:style w:type="character" w:customStyle="1" w:styleId="Heading2Char">
    <w:name w:val="Heading 2 Char"/>
    <w:basedOn w:val="DefaultParagraphFont"/>
    <w:link w:val="Heading2"/>
    <w:uiPriority w:val="9"/>
    <w:rsid w:val="00B41628"/>
    <w:rPr>
      <w:rFonts w:asciiTheme="majorHAnsi" w:eastAsiaTheme="majorEastAsia" w:hAnsiTheme="majorHAnsi" w:cstheme="majorBidi"/>
      <w:color w:val="1F3864" w:themeColor="accent1" w:themeShade="80"/>
      <w:sz w:val="26"/>
      <w:szCs w:val="26"/>
      <w:lang w:eastAsia="en-GB"/>
    </w:rPr>
  </w:style>
  <w:style w:type="table" w:styleId="TableGrid">
    <w:name w:val="Table Grid"/>
    <w:basedOn w:val="TableNormal"/>
    <w:uiPriority w:val="39"/>
    <w:rsid w:val="00B416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676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Mortality</a:t>
            </a:r>
            <a:r>
              <a:rPr lang="en-GB" baseline="0"/>
              <a:t> among covid+ patients following placement in ICU by subgroups and wave period</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85892388451444"/>
          <c:y val="0.20699140401146132"/>
          <c:w val="0.83591885389326337"/>
          <c:h val="0.57656716979145506"/>
        </c:manualLayout>
      </c:layout>
      <c:barChart>
        <c:barDir val="bar"/>
        <c:grouping val="clustered"/>
        <c:varyColors val="0"/>
        <c:ser>
          <c:idx val="0"/>
          <c:order val="0"/>
          <c:tx>
            <c:strRef>
              <c:f>'Fig 41 mortality subgroups 1'!$H$1</c:f>
              <c:strCache>
                <c:ptCount val="1"/>
                <c:pt idx="0">
                  <c:v>28-day in-hospital mortality (%) (1 Sep 2020 onwards)</c:v>
                </c:pt>
              </c:strCache>
            </c:strRef>
          </c:tx>
          <c:spPr>
            <a:solidFill>
              <a:schemeClr val="accent1"/>
            </a:solidFill>
            <a:ln>
              <a:noFill/>
            </a:ln>
            <a:effectLst/>
          </c:spPr>
          <c:invertIfNegative val="0"/>
          <c:cat>
            <c:strRef>
              <c:f>'Fig 41 mortality subgroups 1'!$B$2:$B$9</c:f>
              <c:strCache>
                <c:ptCount val="8"/>
                <c:pt idx="0">
                  <c:v>16-39</c:v>
                </c:pt>
                <c:pt idx="1">
                  <c:v>40-49</c:v>
                </c:pt>
                <c:pt idx="2">
                  <c:v>50-59</c:v>
                </c:pt>
                <c:pt idx="3">
                  <c:v>60-69</c:v>
                </c:pt>
                <c:pt idx="4">
                  <c:v>70-79</c:v>
                </c:pt>
                <c:pt idx="5">
                  <c:v>age 80+</c:v>
                </c:pt>
                <c:pt idx="6">
                  <c:v>Female</c:v>
                </c:pt>
                <c:pt idx="7">
                  <c:v>Male</c:v>
                </c:pt>
              </c:strCache>
            </c:strRef>
          </c:cat>
          <c:val>
            <c:numRef>
              <c:f>'Fig 41 mortality subgroups 1'!$H$2:$H$9</c:f>
              <c:numCache>
                <c:formatCode>##0.0</c:formatCode>
                <c:ptCount val="8"/>
                <c:pt idx="0">
                  <c:v>12.001250267028809</c:v>
                </c:pt>
                <c:pt idx="1">
                  <c:v>18.877891540527344</c:v>
                </c:pt>
                <c:pt idx="2">
                  <c:v>27.181520462036133</c:v>
                </c:pt>
                <c:pt idx="3">
                  <c:v>43.301631927490234</c:v>
                </c:pt>
                <c:pt idx="4">
                  <c:v>57.109977722167969</c:v>
                </c:pt>
                <c:pt idx="5">
                  <c:v>65.793487548828125</c:v>
                </c:pt>
                <c:pt idx="6">
                  <c:v>33.363700866699219</c:v>
                </c:pt>
                <c:pt idx="7">
                  <c:v>38.270805358886719</c:v>
                </c:pt>
              </c:numCache>
            </c:numRef>
          </c:val>
          <c:extLst xmlns:c16r2="http://schemas.microsoft.com/office/drawing/2015/06/chart">
            <c:ext xmlns:c16="http://schemas.microsoft.com/office/drawing/2014/chart" uri="{C3380CC4-5D6E-409C-BE32-E72D297353CC}">
              <c16:uniqueId val="{00000000-8D21-494D-83C4-8B58672D1653}"/>
            </c:ext>
          </c:extLst>
        </c:ser>
        <c:ser>
          <c:idx val="1"/>
          <c:order val="1"/>
          <c:tx>
            <c:strRef>
              <c:f>'Fig 41 mortality subgroups 1'!$D$1</c:f>
              <c:strCache>
                <c:ptCount val="1"/>
                <c:pt idx="0">
                  <c:v>28-day in-hospital mortality (%) (up to 31 Aug 2020)</c:v>
                </c:pt>
              </c:strCache>
            </c:strRef>
          </c:tx>
          <c:spPr>
            <a:solidFill>
              <a:schemeClr val="accent2"/>
            </a:solidFill>
            <a:ln>
              <a:noFill/>
            </a:ln>
            <a:effectLst/>
          </c:spPr>
          <c:invertIfNegative val="0"/>
          <c:cat>
            <c:strRef>
              <c:f>'Fig 41 mortality subgroups 1'!$B$2:$B$9</c:f>
              <c:strCache>
                <c:ptCount val="8"/>
                <c:pt idx="0">
                  <c:v>16-39</c:v>
                </c:pt>
                <c:pt idx="1">
                  <c:v>40-49</c:v>
                </c:pt>
                <c:pt idx="2">
                  <c:v>50-59</c:v>
                </c:pt>
                <c:pt idx="3">
                  <c:v>60-69</c:v>
                </c:pt>
                <c:pt idx="4">
                  <c:v>70-79</c:v>
                </c:pt>
                <c:pt idx="5">
                  <c:v>age 80+</c:v>
                </c:pt>
                <c:pt idx="6">
                  <c:v>Female</c:v>
                </c:pt>
                <c:pt idx="7">
                  <c:v>Male</c:v>
                </c:pt>
              </c:strCache>
            </c:strRef>
          </c:cat>
          <c:val>
            <c:numRef>
              <c:f>'Fig 41 mortality subgroups 1'!$D$2:$D$9</c:f>
              <c:numCache>
                <c:formatCode>##0.0</c:formatCode>
                <c:ptCount val="8"/>
                <c:pt idx="0">
                  <c:v>14.109743118286133</c:v>
                </c:pt>
                <c:pt idx="1">
                  <c:v>20.217710494995117</c:v>
                </c:pt>
                <c:pt idx="2">
                  <c:v>31.048122406005859</c:v>
                </c:pt>
                <c:pt idx="3">
                  <c:v>44.282615661621094</c:v>
                </c:pt>
                <c:pt idx="4">
                  <c:v>62.354724884033203</c:v>
                </c:pt>
                <c:pt idx="5">
                  <c:v>71.299095153808594</c:v>
                </c:pt>
                <c:pt idx="6">
                  <c:v>35.091461181640625</c:v>
                </c:pt>
                <c:pt idx="7">
                  <c:v>40.636764526367188</c:v>
                </c:pt>
              </c:numCache>
            </c:numRef>
          </c:val>
          <c:extLst xmlns:c16r2="http://schemas.microsoft.com/office/drawing/2015/06/chart">
            <c:ext xmlns:c16="http://schemas.microsoft.com/office/drawing/2014/chart" uri="{C3380CC4-5D6E-409C-BE32-E72D297353CC}">
              <c16:uniqueId val="{00000001-8D21-494D-83C4-8B58672D1653}"/>
            </c:ext>
          </c:extLst>
        </c:ser>
        <c:dLbls>
          <c:showLegendKey val="0"/>
          <c:showVal val="0"/>
          <c:showCatName val="0"/>
          <c:showSerName val="0"/>
          <c:showPercent val="0"/>
          <c:showBubbleSize val="0"/>
        </c:dLbls>
        <c:gapWidth val="150"/>
        <c:axId val="-1208758336"/>
        <c:axId val="-1208784992"/>
      </c:barChart>
      <c:catAx>
        <c:axId val="-120875833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784992"/>
        <c:crosses val="autoZero"/>
        <c:auto val="1"/>
        <c:lblAlgn val="ctr"/>
        <c:lblOffset val="100"/>
        <c:noMultiLvlLbl val="0"/>
      </c:catAx>
      <c:valAx>
        <c:axId val="-12087849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died of those who</a:t>
                </a:r>
                <a:r>
                  <a:rPr lang="en-GB" baseline="0"/>
                  <a:t> were placed in ICU</a:t>
                </a:r>
                <a:endParaRPr lang="en-GB"/>
              </a:p>
            </c:rich>
          </c:tx>
          <c:layout>
            <c:manualLayout>
              <c:xMode val="edge"/>
              <c:yMode val="edge"/>
              <c:x val="0.4819015748031496"/>
              <c:y val="0.71172769592912632"/>
            </c:manualLayout>
          </c:layout>
          <c:overlay val="0"/>
          <c:spPr>
            <a:solidFill>
              <a:schemeClr val="bg1"/>
            </a:solidFill>
            <a:ln>
              <a:solidFill>
                <a:schemeClr val="accent1"/>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758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Julii Brainard (MED - Staff)</dc:creator>
  <cp:keywords/>
  <dc:description/>
  <cp:lastModifiedBy>Lakshmi R.</cp:lastModifiedBy>
  <cp:revision>9</cp:revision>
  <dcterms:created xsi:type="dcterms:W3CDTF">2021-11-01T17:12:00Z</dcterms:created>
  <dcterms:modified xsi:type="dcterms:W3CDTF">2022-03-01T09:55:00Z</dcterms:modified>
</cp:coreProperties>
</file>