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671F" w14:textId="7F8EF474" w:rsidR="003F26C6" w:rsidRPr="008B5A6F" w:rsidRDefault="00012AF6" w:rsidP="00BB2587">
      <w:pPr>
        <w:jc w:val="center"/>
        <w:rPr>
          <w:b/>
          <w:bCs/>
        </w:rPr>
      </w:pPr>
      <w:r w:rsidRPr="008B5A6F">
        <w:rPr>
          <w:b/>
          <w:bCs/>
        </w:rPr>
        <w:t xml:space="preserve">SUPPLEMENTAL </w:t>
      </w:r>
      <w:r w:rsidR="00BB2587" w:rsidRPr="008B5A6F">
        <w:rPr>
          <w:b/>
          <w:bCs/>
        </w:rPr>
        <w:t>CONTENT</w:t>
      </w:r>
    </w:p>
    <w:p w14:paraId="0620831C" w14:textId="221398DC" w:rsidR="00012AF6" w:rsidRPr="008B5A6F" w:rsidRDefault="00012AF6"/>
    <w:p w14:paraId="5A93033F" w14:textId="7A5FF420" w:rsidR="008C4E28" w:rsidRDefault="008C4E28" w:rsidP="008C4E28">
      <w:pPr>
        <w:rPr>
          <w:b/>
          <w:bCs/>
        </w:rPr>
      </w:pPr>
      <w:r w:rsidRPr="008B5A6F">
        <w:rPr>
          <w:b/>
          <w:bCs/>
        </w:rPr>
        <w:t xml:space="preserve">SUPPLEMENTAL </w:t>
      </w:r>
      <w:r>
        <w:rPr>
          <w:b/>
          <w:bCs/>
        </w:rPr>
        <w:t>METHODS: RETROSPECTIVE ANALYSIS OF CMS CLAIMS DATA</w:t>
      </w:r>
    </w:p>
    <w:p w14:paraId="4E257885" w14:textId="0E8D5AC4" w:rsidR="008C4E28" w:rsidRDefault="008C4E28" w:rsidP="008C4E28">
      <w:pPr>
        <w:rPr>
          <w:b/>
          <w:bCs/>
        </w:rPr>
      </w:pPr>
    </w:p>
    <w:p w14:paraId="735A777B" w14:textId="6F492307" w:rsidR="00C674BB" w:rsidRDefault="00C674BB" w:rsidP="00C674BB">
      <w:pPr>
        <w:rPr>
          <w:rFonts w:cstheme="minorHAnsi"/>
        </w:rPr>
      </w:pPr>
      <w:r w:rsidRPr="00E3086D">
        <w:rPr>
          <w:rFonts w:cstheme="minorHAnsi"/>
          <w:b/>
          <w:color w:val="000000" w:themeColor="text1"/>
        </w:rPr>
        <w:t xml:space="preserve">Background: </w:t>
      </w:r>
      <w:r>
        <w:rPr>
          <w:rFonts w:cstheme="minorHAnsi"/>
        </w:rPr>
        <w:t xml:space="preserve">This retrospective analysis compared medical resource utilization and payments (from a Medicare payor perspective) for patients treated with Balloon Kyphoplasty (BKP), Vertebroplasty (VP), or conservative medical management </w:t>
      </w:r>
      <w:bookmarkStart w:id="0" w:name="_Hlk531006239"/>
      <w:r>
        <w:rPr>
          <w:rFonts w:cstheme="minorHAnsi"/>
        </w:rPr>
        <w:t xml:space="preserve">(CMM) following a diagnosis of Vertebral Compression Fracture (VCF) </w:t>
      </w:r>
      <w:r w:rsidRPr="0049478A">
        <w:rPr>
          <w:rFonts w:cstheme="minorHAnsi"/>
        </w:rPr>
        <w:t>secondary to osteoporosis</w:t>
      </w:r>
      <w:bookmarkEnd w:id="0"/>
      <w:r>
        <w:rPr>
          <w:rFonts w:cstheme="minorHAnsi"/>
        </w:rPr>
        <w:t xml:space="preserve">. The surgery is conducted either in outpatient or inpatient setting so BKP and VP groups were further categorized in the analysis to account for patient differences in the settings. </w:t>
      </w:r>
    </w:p>
    <w:p w14:paraId="70A6AA2F" w14:textId="77777777" w:rsidR="00C674BB" w:rsidRPr="00E3086D" w:rsidRDefault="00C674BB" w:rsidP="00C674BB">
      <w:pPr>
        <w:rPr>
          <w:rFonts w:cstheme="minorHAnsi"/>
        </w:rPr>
      </w:pPr>
    </w:p>
    <w:p w14:paraId="44DBBAB2" w14:textId="77777777" w:rsidR="00C674BB" w:rsidRPr="009516B8" w:rsidRDefault="00C674BB" w:rsidP="00C674BB">
      <w:pPr>
        <w:spacing w:before="60" w:line="288" w:lineRule="auto"/>
        <w:rPr>
          <w:rFonts w:cstheme="minorHAnsi"/>
        </w:rPr>
      </w:pPr>
      <w:r>
        <w:rPr>
          <w:rFonts w:cstheme="minorHAnsi"/>
          <w:b/>
          <w:color w:val="000000" w:themeColor="text1"/>
        </w:rPr>
        <w:t xml:space="preserve">Data Source &amp; Study </w:t>
      </w:r>
      <w:r w:rsidRPr="00E3086D">
        <w:rPr>
          <w:rFonts w:cstheme="minorHAnsi"/>
          <w:b/>
          <w:color w:val="000000" w:themeColor="text1"/>
        </w:rPr>
        <w:t>Time Period:</w:t>
      </w:r>
      <w:r w:rsidRPr="00E3086D">
        <w:rPr>
          <w:rFonts w:cstheme="minorHAnsi"/>
        </w:rPr>
        <w:t xml:space="preserve"> </w:t>
      </w:r>
      <w:r w:rsidRPr="009516B8">
        <w:rPr>
          <w:rFonts w:cstheme="minorHAnsi"/>
        </w:rPr>
        <w:t>CMS 100% claims 2014 – 2016.</w:t>
      </w:r>
    </w:p>
    <w:p w14:paraId="3C960E9D" w14:textId="77777777" w:rsidR="00C674BB" w:rsidRPr="00E3086D" w:rsidRDefault="00C674BB" w:rsidP="00C674BB">
      <w:pPr>
        <w:rPr>
          <w:rFonts w:cstheme="minorHAnsi"/>
        </w:rPr>
      </w:pPr>
    </w:p>
    <w:p w14:paraId="63BB6F9B" w14:textId="77777777" w:rsidR="00C674BB" w:rsidRPr="00E3086D" w:rsidRDefault="00C674BB" w:rsidP="00C674BB">
      <w:pPr>
        <w:rPr>
          <w:rFonts w:cstheme="minorHAnsi"/>
          <w:b/>
          <w:color w:val="000000" w:themeColor="text1"/>
        </w:rPr>
      </w:pPr>
      <w:r>
        <w:rPr>
          <w:rFonts w:cstheme="minorHAnsi"/>
          <w:b/>
          <w:color w:val="000000" w:themeColor="text1"/>
        </w:rPr>
        <w:t>Patient Selection</w:t>
      </w:r>
      <w:r w:rsidRPr="00E3086D">
        <w:rPr>
          <w:rFonts w:cstheme="minorHAnsi"/>
          <w:b/>
          <w:color w:val="000000" w:themeColor="text1"/>
        </w:rPr>
        <w:t xml:space="preserve">: </w:t>
      </w:r>
    </w:p>
    <w:p w14:paraId="28B56D98" w14:textId="77777777" w:rsidR="00C674BB" w:rsidRPr="008A68F8" w:rsidRDefault="00C674BB" w:rsidP="00C674BB">
      <w:pPr>
        <w:spacing w:before="60" w:line="288" w:lineRule="auto"/>
        <w:rPr>
          <w:rFonts w:cstheme="minorHAnsi"/>
        </w:rPr>
      </w:pPr>
      <w:r w:rsidRPr="008A68F8">
        <w:rPr>
          <w:rFonts w:cstheme="minorHAnsi"/>
        </w:rPr>
        <w:t xml:space="preserve">Patients </w:t>
      </w:r>
      <w:r>
        <w:rPr>
          <w:rFonts w:cstheme="minorHAnsi"/>
        </w:rPr>
        <w:t>were</w:t>
      </w:r>
      <w:r w:rsidRPr="008A68F8">
        <w:rPr>
          <w:rFonts w:cstheme="minorHAnsi"/>
        </w:rPr>
        <w:t xml:space="preserve"> selected based on the date of their first Vertebral Compression Fracture (VCF) diagnosis. </w:t>
      </w:r>
      <w:r>
        <w:rPr>
          <w:rFonts w:cstheme="minorHAnsi"/>
        </w:rPr>
        <w:t>For surgical patients, follow-up was evaluated from the day of first VCF diagnosis through two years following discharge from surgery. For CMM patients, follow-up was evaluated over the two years following discharge from their first visit with diagnosis of VCF. Among all patients, f</w:t>
      </w:r>
      <w:r w:rsidRPr="008A68F8">
        <w:rPr>
          <w:rFonts w:cstheme="minorHAnsi"/>
        </w:rPr>
        <w:t xml:space="preserve">ollow-up </w:t>
      </w:r>
      <w:r>
        <w:rPr>
          <w:rFonts w:cstheme="minorHAnsi"/>
        </w:rPr>
        <w:t xml:space="preserve">was censored to end </w:t>
      </w:r>
      <w:r w:rsidRPr="008A68F8">
        <w:rPr>
          <w:rFonts w:cstheme="minorHAnsi"/>
        </w:rPr>
        <w:t xml:space="preserve">at the earliest of death, receipt of a spinal fusion procedure (follow-up censored to the day prior to spinal fusion), or the end of two years follow-up. </w:t>
      </w:r>
    </w:p>
    <w:p w14:paraId="533A235B" w14:textId="77777777" w:rsidR="00C674BB" w:rsidRDefault="00C674BB" w:rsidP="00C674BB">
      <w:pPr>
        <w:rPr>
          <w:rFonts w:cstheme="minorHAnsi"/>
        </w:rPr>
      </w:pPr>
    </w:p>
    <w:p w14:paraId="786B2A4E" w14:textId="124D0149" w:rsidR="00C674BB" w:rsidRPr="00C50AFA" w:rsidRDefault="00C674BB" w:rsidP="00C674BB">
      <w:pPr>
        <w:rPr>
          <w:rFonts w:cstheme="minorHAnsi"/>
          <w:b/>
        </w:rPr>
      </w:pPr>
      <w:r w:rsidRPr="00C50AFA">
        <w:rPr>
          <w:rFonts w:cstheme="minorHAnsi"/>
          <w:b/>
        </w:rPr>
        <w:t>Study Time Period</w:t>
      </w:r>
      <w:r>
        <w:rPr>
          <w:rFonts w:cstheme="minorHAnsi"/>
          <w:b/>
          <w:noProof/>
        </w:rPr>
        <w:drawing>
          <wp:inline distT="0" distB="0" distL="0" distR="0" wp14:anchorId="7137F977" wp14:editId="6B82C1AD">
            <wp:extent cx="6537325" cy="2047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5572" cy="2072348"/>
                    </a:xfrm>
                    <a:prstGeom prst="rect">
                      <a:avLst/>
                    </a:prstGeom>
                    <a:noFill/>
                  </pic:spPr>
                </pic:pic>
              </a:graphicData>
            </a:graphic>
          </wp:inline>
        </w:drawing>
      </w:r>
    </w:p>
    <w:p w14:paraId="4242E0C8" w14:textId="77777777" w:rsidR="00C674BB" w:rsidRPr="00C50AFA" w:rsidRDefault="00C674BB" w:rsidP="00C674BB">
      <w:pPr>
        <w:spacing w:before="60" w:line="288" w:lineRule="auto"/>
        <w:rPr>
          <w:rFonts w:cstheme="minorHAnsi"/>
        </w:rPr>
      </w:pPr>
    </w:p>
    <w:p w14:paraId="1AB6289B" w14:textId="77777777" w:rsidR="00C674BB" w:rsidRDefault="00C674BB" w:rsidP="00C674BB">
      <w:pPr>
        <w:spacing w:before="60" w:line="288" w:lineRule="auto"/>
        <w:rPr>
          <w:rFonts w:cstheme="minorHAnsi"/>
        </w:rPr>
      </w:pPr>
      <w:r>
        <w:rPr>
          <w:rFonts w:cstheme="minorHAnsi"/>
        </w:rPr>
        <w:lastRenderedPageBreak/>
        <w:t xml:space="preserve">Three patient groups (BKP, VP, and CMM) were </w:t>
      </w:r>
      <w:r w:rsidRPr="00E3086D">
        <w:rPr>
          <w:rFonts w:cstheme="minorHAnsi"/>
        </w:rPr>
        <w:t xml:space="preserve">identified using </w:t>
      </w:r>
      <w:r>
        <w:rPr>
          <w:rFonts w:cstheme="minorHAnsi"/>
        </w:rPr>
        <w:t xml:space="preserve">a combination of ICD-9 and </w:t>
      </w:r>
      <w:r w:rsidRPr="00E3086D">
        <w:rPr>
          <w:rFonts w:cstheme="minorHAnsi"/>
        </w:rPr>
        <w:t>ICD</w:t>
      </w:r>
      <w:r>
        <w:rPr>
          <w:rFonts w:cstheme="minorHAnsi"/>
        </w:rPr>
        <w:t>-</w:t>
      </w:r>
      <w:r w:rsidRPr="00E3086D">
        <w:rPr>
          <w:rFonts w:cstheme="minorHAnsi"/>
        </w:rPr>
        <w:t>10 diagnosis codes</w:t>
      </w:r>
      <w:r>
        <w:rPr>
          <w:rFonts w:cstheme="minorHAnsi"/>
        </w:rPr>
        <w:t>, ICD-9 and ICD-10 procedure codes, CPT procedure codes as follows:</w:t>
      </w:r>
    </w:p>
    <w:p w14:paraId="594094E1"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 xml:space="preserve">Diagnosis of VCF – We selected patients with first VCF diagnosis in any setting. </w:t>
      </w:r>
    </w:p>
    <w:p w14:paraId="1D9C5C06"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Balloon Kyphoplasty procedure (BKP) or vertebroplasty (VP) procedure performed for the surgical cohorts; no procedure performed at any time in the study period for the CMM cohort</w:t>
      </w:r>
    </w:p>
    <w:p w14:paraId="12831552"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Survived through the BKP or VP surgical procedure for the surgical cohorts, survived through the initial visit with a VCF diagnosis for the CMM cohort</w:t>
      </w:r>
    </w:p>
    <w:p w14:paraId="49D594AC"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No history of BKP or VP procedures in six months baseline for all cohorts</w:t>
      </w:r>
    </w:p>
    <w:p w14:paraId="21B578EE"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No subsequent BKP or VP procedure (repeat procedure) in follow-up</w:t>
      </w:r>
    </w:p>
    <w:p w14:paraId="49ED1242"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Aged 65+</w:t>
      </w:r>
      <w:bookmarkStart w:id="1" w:name="_GoBack"/>
      <w:bookmarkEnd w:id="1"/>
    </w:p>
    <w:p w14:paraId="26E258FA"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Continuous Medicare enrollment with allowed 30d gap</w:t>
      </w:r>
    </w:p>
    <w:p w14:paraId="547C30FB" w14:textId="77777777" w:rsidR="00C674BB" w:rsidRPr="0044059F" w:rsidRDefault="00C674BB" w:rsidP="00C674BB">
      <w:pPr>
        <w:pStyle w:val="ListParagraph"/>
        <w:numPr>
          <w:ilvl w:val="0"/>
          <w:numId w:val="1"/>
        </w:numPr>
        <w:spacing w:before="60" w:line="288" w:lineRule="auto"/>
        <w:rPr>
          <w:rFonts w:ascii="Arial" w:hAnsi="Arial" w:cs="Arial"/>
        </w:rPr>
      </w:pPr>
      <w:r w:rsidRPr="0044059F">
        <w:rPr>
          <w:rFonts w:ascii="Arial" w:hAnsi="Arial" w:cs="Arial"/>
        </w:rPr>
        <w:t>No diagnosis of cancer (excluding skin cancers)</w:t>
      </w:r>
    </w:p>
    <w:p w14:paraId="3B6FF5EF" w14:textId="77777777" w:rsidR="00C674BB" w:rsidRDefault="00C674BB" w:rsidP="00C674BB">
      <w:pPr>
        <w:rPr>
          <w:rFonts w:cstheme="minorHAnsi"/>
        </w:rPr>
      </w:pPr>
    </w:p>
    <w:p w14:paraId="513AA91D" w14:textId="77777777" w:rsidR="00C674BB" w:rsidRDefault="00C674BB" w:rsidP="00C674BB">
      <w:pPr>
        <w:rPr>
          <w:rFonts w:cstheme="minorHAnsi"/>
        </w:rPr>
      </w:pPr>
      <w:r>
        <w:rPr>
          <w:rFonts w:cstheme="minorHAnsi"/>
        </w:rPr>
        <w:t>Further, surgery groups were divided by place of service – inpatient and outpatient.</w:t>
      </w:r>
    </w:p>
    <w:p w14:paraId="5276AED3" w14:textId="77777777" w:rsidR="00C674BB" w:rsidRDefault="00C674BB" w:rsidP="00C674BB">
      <w:pPr>
        <w:rPr>
          <w:rFonts w:cstheme="minorHAnsi"/>
        </w:rPr>
      </w:pPr>
    </w:p>
    <w:p w14:paraId="2E1DC712" w14:textId="77777777" w:rsidR="00C674BB" w:rsidRPr="00E3086D" w:rsidRDefault="00C674BB" w:rsidP="00C674BB">
      <w:pPr>
        <w:spacing w:before="60" w:line="288" w:lineRule="auto"/>
        <w:rPr>
          <w:rFonts w:cstheme="minorHAnsi"/>
          <w:b/>
          <w:color w:val="000000" w:themeColor="text1"/>
        </w:rPr>
      </w:pPr>
      <w:r>
        <w:rPr>
          <w:rFonts w:cstheme="minorHAnsi"/>
          <w:b/>
          <w:color w:val="000000" w:themeColor="text1"/>
        </w:rPr>
        <w:t>Matching</w:t>
      </w:r>
    </w:p>
    <w:p w14:paraId="476ABF07" w14:textId="7CCC1956" w:rsidR="00C674BB" w:rsidRDefault="00C674BB" w:rsidP="00C674BB">
      <w:pPr>
        <w:rPr>
          <w:rFonts w:cstheme="minorHAnsi"/>
        </w:rPr>
      </w:pPr>
      <w:r w:rsidRPr="009B599A">
        <w:rPr>
          <w:rFonts w:cstheme="minorHAnsi"/>
        </w:rPr>
        <w:t xml:space="preserve">A </w:t>
      </w:r>
      <w:r>
        <w:rPr>
          <w:rFonts w:cstheme="minorHAnsi"/>
        </w:rPr>
        <w:t>propensity score</w:t>
      </w:r>
      <w:r w:rsidRPr="009B599A">
        <w:rPr>
          <w:rFonts w:cstheme="minorHAnsi"/>
        </w:rPr>
        <w:t xml:space="preserve"> match was performed </w:t>
      </w:r>
      <w:r>
        <w:rPr>
          <w:rFonts w:cstheme="minorHAnsi"/>
        </w:rPr>
        <w:t>for the four surgical cohorts combines (BKP Inpatient, BKP Outpatient, VP Inpatient or VP outpatient) versus patients with non-surgical management (CMM) to control for case selection bias for patients undergoing surgery. The following covariates were included in the propensity score model:</w:t>
      </w:r>
    </w:p>
    <w:p w14:paraId="652F3FF0" w14:textId="77777777" w:rsidR="00C674BB" w:rsidRDefault="00C674BB" w:rsidP="00C674BB">
      <w:pPr>
        <w:rPr>
          <w:rFonts w:cstheme="minorHAnsi"/>
        </w:rPr>
      </w:pPr>
    </w:p>
    <w:p w14:paraId="60B4D691"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 xml:space="preserve">Age Group </w:t>
      </w:r>
    </w:p>
    <w:p w14:paraId="14986699"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Gender</w:t>
      </w:r>
    </w:p>
    <w:p w14:paraId="35A4C0F7"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Census Division</w:t>
      </w:r>
    </w:p>
    <w:p w14:paraId="0C8BA537"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 xml:space="preserve">Charlson Score (calculated with diagnoses </w:t>
      </w:r>
      <w:proofErr w:type="gramStart"/>
      <w:r w:rsidRPr="00C674BB">
        <w:rPr>
          <w:rFonts w:ascii="Arial" w:hAnsi="Arial" w:cs="Arial"/>
        </w:rPr>
        <w:t>during</w:t>
      </w:r>
      <w:proofErr w:type="gramEnd"/>
      <w:r w:rsidRPr="00C674BB">
        <w:rPr>
          <w:rFonts w:ascii="Arial" w:hAnsi="Arial" w:cs="Arial"/>
        </w:rPr>
        <w:t xml:space="preserve"> 6 months baseline through the index procedure date)</w:t>
      </w:r>
    </w:p>
    <w:p w14:paraId="644DEE85"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Osteoporosis diagnosis</w:t>
      </w:r>
    </w:p>
    <w:p w14:paraId="1CC43F5B"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t>Historic (Baseline) resource use in the six months prior to VCF diagnosis: total number of Inpatient Visits and/or ED visits</w:t>
      </w:r>
    </w:p>
    <w:p w14:paraId="2FBF5423" w14:textId="77777777" w:rsidR="00C674BB" w:rsidRPr="00C674BB" w:rsidRDefault="00C674BB" w:rsidP="00C674BB">
      <w:pPr>
        <w:pStyle w:val="ListParagraph"/>
        <w:numPr>
          <w:ilvl w:val="0"/>
          <w:numId w:val="2"/>
        </w:numPr>
        <w:spacing w:before="60" w:line="288" w:lineRule="auto"/>
        <w:rPr>
          <w:rFonts w:ascii="Arial" w:hAnsi="Arial" w:cs="Arial"/>
        </w:rPr>
      </w:pPr>
      <w:r w:rsidRPr="00C674BB">
        <w:rPr>
          <w:rFonts w:ascii="Arial" w:hAnsi="Arial" w:cs="Arial"/>
        </w:rPr>
        <w:lastRenderedPageBreak/>
        <w:t>Historic (Baseline) total Medicare payments in the six months prior to VCF diagnosis: categorized as no payments, low (&lt; 25</w:t>
      </w:r>
      <w:r w:rsidRPr="00C674BB">
        <w:rPr>
          <w:rFonts w:ascii="Arial" w:hAnsi="Arial" w:cs="Arial"/>
          <w:vertAlign w:val="superscript"/>
        </w:rPr>
        <w:t>th</w:t>
      </w:r>
      <w:r w:rsidRPr="00C674BB">
        <w:rPr>
          <w:rFonts w:ascii="Arial" w:hAnsi="Arial" w:cs="Arial"/>
        </w:rPr>
        <w:t xml:space="preserve"> percentile), medium (25-75</w:t>
      </w:r>
      <w:r w:rsidRPr="00C674BB">
        <w:rPr>
          <w:rFonts w:ascii="Arial" w:hAnsi="Arial" w:cs="Arial"/>
          <w:vertAlign w:val="superscript"/>
        </w:rPr>
        <w:t>th</w:t>
      </w:r>
      <w:r w:rsidRPr="00C674BB">
        <w:rPr>
          <w:rFonts w:ascii="Arial" w:hAnsi="Arial" w:cs="Arial"/>
        </w:rPr>
        <w:t xml:space="preserve"> percentile), or high (&gt;75</w:t>
      </w:r>
      <w:r w:rsidRPr="00C674BB">
        <w:rPr>
          <w:rFonts w:ascii="Arial" w:hAnsi="Arial" w:cs="Arial"/>
          <w:vertAlign w:val="superscript"/>
        </w:rPr>
        <w:t>th</w:t>
      </w:r>
      <w:r w:rsidRPr="00C674BB">
        <w:rPr>
          <w:rFonts w:ascii="Arial" w:hAnsi="Arial" w:cs="Arial"/>
        </w:rPr>
        <w:t xml:space="preserve"> percentile)</w:t>
      </w:r>
    </w:p>
    <w:p w14:paraId="5A0B8088" w14:textId="77777777" w:rsidR="00C674BB" w:rsidRDefault="00C674BB" w:rsidP="00C674BB">
      <w:pPr>
        <w:rPr>
          <w:rFonts w:cstheme="minorHAnsi"/>
        </w:rPr>
      </w:pPr>
    </w:p>
    <w:p w14:paraId="064EB5A1" w14:textId="77777777" w:rsidR="00C674BB" w:rsidRDefault="00C674BB" w:rsidP="00C674BB">
      <w:pPr>
        <w:spacing w:before="60" w:line="288" w:lineRule="auto"/>
        <w:rPr>
          <w:rFonts w:cstheme="minorHAnsi"/>
          <w:b/>
          <w:color w:val="000000" w:themeColor="text1"/>
        </w:rPr>
      </w:pPr>
      <w:bookmarkStart w:id="2" w:name="_Hlk533013678"/>
      <w:r>
        <w:rPr>
          <w:rFonts w:cstheme="minorHAnsi"/>
          <w:b/>
          <w:color w:val="000000" w:themeColor="text1"/>
        </w:rPr>
        <w:t>Post-Acute Care Use</w:t>
      </w:r>
    </w:p>
    <w:p w14:paraId="0A430E8B" w14:textId="2C3DF6EA" w:rsidR="00C674BB" w:rsidRPr="00C674BB" w:rsidRDefault="00C674BB" w:rsidP="00C674BB">
      <w:pPr>
        <w:spacing w:before="60" w:line="288" w:lineRule="auto"/>
        <w:rPr>
          <w:rFonts w:cstheme="minorHAnsi"/>
        </w:rPr>
      </w:pPr>
      <w:r>
        <w:rPr>
          <w:rFonts w:cstheme="minorHAnsi"/>
        </w:rPr>
        <w:t>The proportion of patients with any visit (all-cause)</w:t>
      </w:r>
      <w:r w:rsidRPr="004C69E8">
        <w:rPr>
          <w:rFonts w:cstheme="minorHAnsi"/>
        </w:rPr>
        <w:t xml:space="preserve"> following VCF diagnosis through</w:t>
      </w:r>
      <w:r>
        <w:rPr>
          <w:rFonts w:cstheme="minorHAnsi"/>
        </w:rPr>
        <w:t xml:space="preserve"> the</w:t>
      </w:r>
      <w:r w:rsidRPr="004C69E8">
        <w:rPr>
          <w:rFonts w:cstheme="minorHAnsi"/>
        </w:rPr>
        <w:t xml:space="preserve"> end of follow-up or death were identified</w:t>
      </w:r>
      <w:r>
        <w:rPr>
          <w:rFonts w:cstheme="minorHAnsi"/>
        </w:rPr>
        <w:t xml:space="preserve"> in the following </w:t>
      </w:r>
      <w:r w:rsidR="0044059F">
        <w:rPr>
          <w:rFonts w:cstheme="minorHAnsi"/>
        </w:rPr>
        <w:t xml:space="preserve">post-acute care </w:t>
      </w:r>
      <w:r>
        <w:rPr>
          <w:rFonts w:cstheme="minorHAnsi"/>
        </w:rPr>
        <w:t xml:space="preserve">settings: </w:t>
      </w:r>
      <w:r w:rsidRPr="00C674BB">
        <w:rPr>
          <w:rFonts w:cs="Arial"/>
        </w:rPr>
        <w:t>home health, skilled nursing facility, inpatient rehab facility and hospice</w:t>
      </w:r>
      <w:r w:rsidR="0044059F">
        <w:rPr>
          <w:rFonts w:cs="Arial"/>
        </w:rPr>
        <w:t>. Additionally, the proportion of patients with a non-VCF related inpatient readmission (i.e. an inpatient readmission with no diagnosis of VCF and no BKP or VP procedure) was summarized. Finally, to estimate the cost of subsequent fracture for the CMM cohort patients with a follow-up inpatient or outpatient hospital admission with primary diagnosis of VCF were flagged. To estimate the cost of subsequent fracture with treatment for the surgical cohorts, follow-up inpatient or outpatient hospital admissions with a BKP or VP procedure performed were flagged.</w:t>
      </w:r>
    </w:p>
    <w:bookmarkEnd w:id="2"/>
    <w:p w14:paraId="63193136" w14:textId="77777777" w:rsidR="00C674BB" w:rsidRDefault="00C674BB" w:rsidP="00C674BB">
      <w:pPr>
        <w:spacing w:before="60" w:line="288" w:lineRule="auto"/>
        <w:rPr>
          <w:rFonts w:cstheme="minorHAnsi"/>
          <w:b/>
          <w:color w:val="000000" w:themeColor="text1"/>
        </w:rPr>
      </w:pPr>
    </w:p>
    <w:p w14:paraId="5881C619" w14:textId="77777777" w:rsidR="00C674BB" w:rsidRDefault="00C674BB" w:rsidP="00C674BB">
      <w:pPr>
        <w:spacing w:before="60" w:line="288" w:lineRule="auto"/>
        <w:rPr>
          <w:rFonts w:cstheme="minorHAnsi"/>
          <w:b/>
          <w:color w:val="000000" w:themeColor="text1"/>
        </w:rPr>
      </w:pPr>
      <w:r>
        <w:rPr>
          <w:rFonts w:cstheme="minorHAnsi"/>
          <w:b/>
          <w:color w:val="000000" w:themeColor="text1"/>
        </w:rPr>
        <w:t>Medicare Payments</w:t>
      </w:r>
    </w:p>
    <w:p w14:paraId="059992FD" w14:textId="37ED643F" w:rsidR="00C674BB" w:rsidRDefault="00C674BB" w:rsidP="00C674BB">
      <w:pPr>
        <w:spacing w:before="60" w:line="288" w:lineRule="auto"/>
      </w:pPr>
      <w:r w:rsidRPr="004C69E8">
        <w:t>Medicare payments</w:t>
      </w:r>
      <w:r w:rsidR="0044059F">
        <w:t xml:space="preserve"> (termed “costs” in the model)</w:t>
      </w:r>
      <w:r w:rsidRPr="004C69E8">
        <w:t xml:space="preserve"> were assessed for the following time periods and settings. </w:t>
      </w:r>
      <w:r>
        <w:t>Conditional payments</w:t>
      </w:r>
      <w:r w:rsidR="0044059F">
        <w:t xml:space="preserve"> (i.e. only among patients with the event of interest)</w:t>
      </w:r>
      <w:r>
        <w:t xml:space="preserve"> were summarized </w:t>
      </w:r>
      <w:r w:rsidR="0044059F">
        <w:t>for use in the model.</w:t>
      </w:r>
    </w:p>
    <w:p w14:paraId="5FDFB983" w14:textId="292BA7DE" w:rsidR="008C4E28" w:rsidRDefault="008C4E28" w:rsidP="008C4E28">
      <w:pPr>
        <w:rPr>
          <w:b/>
          <w:bCs/>
        </w:rPr>
      </w:pPr>
    </w:p>
    <w:p w14:paraId="694AF836" w14:textId="77777777" w:rsidR="0044059F" w:rsidRDefault="0044059F">
      <w:pPr>
        <w:spacing w:after="0"/>
        <w:rPr>
          <w:b/>
          <w:bCs/>
        </w:rPr>
        <w:sectPr w:rsidR="0044059F" w:rsidSect="003F26C6">
          <w:footerReference w:type="default" r:id="rId9"/>
          <w:pgSz w:w="12240" w:h="15840"/>
          <w:pgMar w:top="1440" w:right="1800" w:bottom="1440" w:left="1800" w:header="720" w:footer="720" w:gutter="0"/>
          <w:cols w:space="720"/>
          <w:docGrid w:linePitch="360"/>
        </w:sectPr>
      </w:pPr>
    </w:p>
    <w:p w14:paraId="0AD3C778" w14:textId="61532811" w:rsidR="0044059F" w:rsidRPr="008B5A6F" w:rsidRDefault="0044059F" w:rsidP="0044059F">
      <w:pPr>
        <w:rPr>
          <w:b/>
          <w:bCs/>
        </w:rPr>
      </w:pPr>
      <w:r>
        <w:rPr>
          <w:b/>
          <w:bCs/>
        </w:rPr>
        <w:lastRenderedPageBreak/>
        <w:t>Patient Demographics: CMS Propensity-Score Matched Claims Analysis</w:t>
      </w:r>
    </w:p>
    <w:tbl>
      <w:tblPr>
        <w:tblW w:w="5000" w:type="pct"/>
        <w:tblLook w:val="04A0" w:firstRow="1" w:lastRow="0" w:firstColumn="1" w:lastColumn="0" w:noHBand="0" w:noVBand="1"/>
      </w:tblPr>
      <w:tblGrid>
        <w:gridCol w:w="3782"/>
        <w:gridCol w:w="40"/>
        <w:gridCol w:w="964"/>
        <w:gridCol w:w="964"/>
        <w:gridCol w:w="634"/>
        <w:gridCol w:w="882"/>
        <w:gridCol w:w="762"/>
        <w:gridCol w:w="634"/>
        <w:gridCol w:w="771"/>
        <w:gridCol w:w="762"/>
        <w:gridCol w:w="558"/>
        <w:gridCol w:w="882"/>
        <w:gridCol w:w="762"/>
        <w:gridCol w:w="558"/>
      </w:tblGrid>
      <w:tr w:rsidR="0044059F" w:rsidRPr="0044059F" w14:paraId="69CAED8A" w14:textId="77777777" w:rsidTr="0044059F">
        <w:trPr>
          <w:trHeight w:val="645"/>
          <w:tblHeader/>
        </w:trPr>
        <w:tc>
          <w:tcPr>
            <w:tcW w:w="1112" w:type="pct"/>
            <w:tcBorders>
              <w:top w:val="single" w:sz="4" w:space="0" w:color="auto"/>
              <w:left w:val="nil"/>
              <w:bottom w:val="nil"/>
              <w:right w:val="nil"/>
            </w:tcBorders>
            <w:shd w:val="clear" w:color="auto" w:fill="auto"/>
            <w:noWrap/>
            <w:vAlign w:val="bottom"/>
            <w:hideMark/>
          </w:tcPr>
          <w:p w14:paraId="19BD2A0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1318" w:type="pct"/>
            <w:gridSpan w:val="4"/>
            <w:tcBorders>
              <w:top w:val="single" w:sz="4" w:space="0" w:color="auto"/>
              <w:left w:val="nil"/>
              <w:bottom w:val="single" w:sz="4" w:space="0" w:color="auto"/>
              <w:right w:val="single" w:sz="4" w:space="0" w:color="000000"/>
            </w:tcBorders>
            <w:shd w:val="clear" w:color="auto" w:fill="auto"/>
            <w:vAlign w:val="bottom"/>
            <w:hideMark/>
          </w:tcPr>
          <w:p w14:paraId="09022756"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Matched Group 1: </w:t>
            </w:r>
            <w:r w:rsidRPr="0044059F">
              <w:rPr>
                <w:rFonts w:ascii="Calibri" w:hAnsi="Calibri" w:cs="Calibri"/>
                <w:color w:val="000000"/>
                <w:sz w:val="18"/>
                <w:szCs w:val="18"/>
                <w:lang w:eastAsia="en-US"/>
              </w:rPr>
              <w:br/>
              <w:t>BKP Inpatient vs. CMM</w:t>
            </w:r>
          </w:p>
        </w:tc>
        <w:tc>
          <w:tcPr>
            <w:tcW w:w="871" w:type="pct"/>
            <w:gridSpan w:val="3"/>
            <w:tcBorders>
              <w:top w:val="single" w:sz="4" w:space="0" w:color="auto"/>
              <w:left w:val="nil"/>
              <w:bottom w:val="single" w:sz="4" w:space="0" w:color="auto"/>
              <w:right w:val="single" w:sz="4" w:space="0" w:color="000000"/>
            </w:tcBorders>
            <w:shd w:val="clear" w:color="auto" w:fill="auto"/>
            <w:vAlign w:val="bottom"/>
            <w:hideMark/>
          </w:tcPr>
          <w:p w14:paraId="32ABCB16"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Matched Group 2: </w:t>
            </w:r>
            <w:r w:rsidRPr="0044059F">
              <w:rPr>
                <w:rFonts w:ascii="Calibri" w:hAnsi="Calibri" w:cs="Calibri"/>
                <w:color w:val="000000"/>
                <w:sz w:val="18"/>
                <w:szCs w:val="18"/>
                <w:lang w:eastAsia="en-US"/>
              </w:rPr>
              <w:br/>
              <w:t>BKP Outpatient vs. CMM</w:t>
            </w:r>
          </w:p>
        </w:tc>
        <w:tc>
          <w:tcPr>
            <w:tcW w:w="829" w:type="pct"/>
            <w:gridSpan w:val="3"/>
            <w:tcBorders>
              <w:top w:val="single" w:sz="4" w:space="0" w:color="auto"/>
              <w:left w:val="nil"/>
              <w:bottom w:val="single" w:sz="4" w:space="0" w:color="auto"/>
              <w:right w:val="single" w:sz="4" w:space="0" w:color="000000"/>
            </w:tcBorders>
            <w:shd w:val="clear" w:color="auto" w:fill="auto"/>
            <w:vAlign w:val="bottom"/>
            <w:hideMark/>
          </w:tcPr>
          <w:p w14:paraId="039AD15B"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Matched Group 3: </w:t>
            </w:r>
            <w:r w:rsidRPr="0044059F">
              <w:rPr>
                <w:rFonts w:ascii="Calibri" w:hAnsi="Calibri" w:cs="Calibri"/>
                <w:color w:val="000000"/>
                <w:sz w:val="18"/>
                <w:szCs w:val="18"/>
                <w:lang w:eastAsia="en-US"/>
              </w:rPr>
              <w:br/>
              <w:t>VP Inpatient vs. CMM</w:t>
            </w:r>
          </w:p>
        </w:tc>
        <w:tc>
          <w:tcPr>
            <w:tcW w:w="871" w:type="pct"/>
            <w:gridSpan w:val="3"/>
            <w:tcBorders>
              <w:top w:val="single" w:sz="4" w:space="0" w:color="auto"/>
              <w:left w:val="nil"/>
              <w:bottom w:val="single" w:sz="4" w:space="0" w:color="auto"/>
              <w:right w:val="single" w:sz="4" w:space="0" w:color="000000"/>
            </w:tcBorders>
            <w:shd w:val="clear" w:color="auto" w:fill="auto"/>
            <w:vAlign w:val="bottom"/>
            <w:hideMark/>
          </w:tcPr>
          <w:p w14:paraId="655E32AC"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Matched Group 4: </w:t>
            </w:r>
            <w:r w:rsidRPr="0044059F">
              <w:rPr>
                <w:rFonts w:ascii="Calibri" w:hAnsi="Calibri" w:cs="Calibri"/>
                <w:color w:val="000000"/>
                <w:sz w:val="18"/>
                <w:szCs w:val="18"/>
                <w:lang w:eastAsia="en-US"/>
              </w:rPr>
              <w:br/>
              <w:t>VP Outpatient vs. CMM</w:t>
            </w:r>
          </w:p>
        </w:tc>
      </w:tr>
      <w:tr w:rsidR="0044059F" w:rsidRPr="0044059F" w14:paraId="08E2354B" w14:textId="77777777" w:rsidTr="0044059F">
        <w:trPr>
          <w:trHeight w:val="900"/>
          <w:tblHeader/>
        </w:trPr>
        <w:tc>
          <w:tcPr>
            <w:tcW w:w="1112" w:type="pct"/>
            <w:tcBorders>
              <w:top w:val="nil"/>
              <w:left w:val="nil"/>
              <w:bottom w:val="single" w:sz="4" w:space="0" w:color="auto"/>
              <w:right w:val="nil"/>
            </w:tcBorders>
            <w:shd w:val="clear" w:color="auto" w:fill="auto"/>
            <w:noWrap/>
            <w:vAlign w:val="bottom"/>
            <w:hideMark/>
          </w:tcPr>
          <w:p w14:paraId="2907A70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707" w:type="pct"/>
            <w:gridSpan w:val="2"/>
            <w:tcBorders>
              <w:top w:val="nil"/>
              <w:left w:val="nil"/>
              <w:bottom w:val="single" w:sz="4" w:space="0" w:color="auto"/>
              <w:right w:val="nil"/>
            </w:tcBorders>
            <w:shd w:val="clear" w:color="auto" w:fill="auto"/>
            <w:vAlign w:val="bottom"/>
            <w:hideMark/>
          </w:tcPr>
          <w:p w14:paraId="25A017A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BKP Inpatient Matched</w:t>
            </w:r>
          </w:p>
        </w:tc>
        <w:tc>
          <w:tcPr>
            <w:tcW w:w="369" w:type="pct"/>
            <w:tcBorders>
              <w:top w:val="nil"/>
              <w:left w:val="nil"/>
              <w:bottom w:val="single" w:sz="4" w:space="0" w:color="auto"/>
              <w:right w:val="nil"/>
            </w:tcBorders>
            <w:shd w:val="clear" w:color="auto" w:fill="auto"/>
            <w:vAlign w:val="bottom"/>
            <w:hideMark/>
          </w:tcPr>
          <w:p w14:paraId="09B8468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CMM Matched</w:t>
            </w:r>
          </w:p>
        </w:tc>
        <w:tc>
          <w:tcPr>
            <w:tcW w:w="242" w:type="pct"/>
            <w:tcBorders>
              <w:top w:val="nil"/>
              <w:left w:val="nil"/>
              <w:bottom w:val="single" w:sz="4" w:space="0" w:color="auto"/>
              <w:right w:val="single" w:sz="4" w:space="0" w:color="auto"/>
            </w:tcBorders>
            <w:shd w:val="clear" w:color="auto" w:fill="auto"/>
            <w:vAlign w:val="bottom"/>
            <w:hideMark/>
          </w:tcPr>
          <w:p w14:paraId="7D7648E2" w14:textId="4F24A7C8"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P-Val </w:t>
            </w:r>
          </w:p>
        </w:tc>
        <w:tc>
          <w:tcPr>
            <w:tcW w:w="337" w:type="pct"/>
            <w:tcBorders>
              <w:top w:val="nil"/>
              <w:left w:val="nil"/>
              <w:bottom w:val="single" w:sz="4" w:space="0" w:color="auto"/>
              <w:right w:val="nil"/>
            </w:tcBorders>
            <w:shd w:val="clear" w:color="auto" w:fill="auto"/>
            <w:vAlign w:val="bottom"/>
            <w:hideMark/>
          </w:tcPr>
          <w:p w14:paraId="3DD70DD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BKP Outpatient Matched</w:t>
            </w:r>
          </w:p>
        </w:tc>
        <w:tc>
          <w:tcPr>
            <w:tcW w:w="291" w:type="pct"/>
            <w:tcBorders>
              <w:top w:val="nil"/>
              <w:left w:val="nil"/>
              <w:bottom w:val="single" w:sz="4" w:space="0" w:color="auto"/>
              <w:right w:val="nil"/>
            </w:tcBorders>
            <w:shd w:val="clear" w:color="auto" w:fill="auto"/>
            <w:vAlign w:val="bottom"/>
            <w:hideMark/>
          </w:tcPr>
          <w:p w14:paraId="7E3C02F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CMM Matched</w:t>
            </w:r>
          </w:p>
        </w:tc>
        <w:tc>
          <w:tcPr>
            <w:tcW w:w="242" w:type="pct"/>
            <w:tcBorders>
              <w:top w:val="nil"/>
              <w:left w:val="nil"/>
              <w:bottom w:val="single" w:sz="4" w:space="0" w:color="auto"/>
              <w:right w:val="single" w:sz="4" w:space="0" w:color="auto"/>
            </w:tcBorders>
            <w:shd w:val="clear" w:color="auto" w:fill="auto"/>
            <w:vAlign w:val="bottom"/>
            <w:hideMark/>
          </w:tcPr>
          <w:p w14:paraId="5F49DD12" w14:textId="4C458E0E"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P-Val </w:t>
            </w:r>
          </w:p>
        </w:tc>
        <w:tc>
          <w:tcPr>
            <w:tcW w:w="295" w:type="pct"/>
            <w:tcBorders>
              <w:top w:val="nil"/>
              <w:left w:val="nil"/>
              <w:bottom w:val="single" w:sz="4" w:space="0" w:color="auto"/>
              <w:right w:val="nil"/>
            </w:tcBorders>
            <w:shd w:val="clear" w:color="auto" w:fill="auto"/>
            <w:vAlign w:val="bottom"/>
            <w:hideMark/>
          </w:tcPr>
          <w:p w14:paraId="2FB2EFC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VP Inpatient Matched</w:t>
            </w:r>
          </w:p>
        </w:tc>
        <w:tc>
          <w:tcPr>
            <w:tcW w:w="291" w:type="pct"/>
            <w:tcBorders>
              <w:top w:val="nil"/>
              <w:left w:val="nil"/>
              <w:bottom w:val="single" w:sz="4" w:space="0" w:color="auto"/>
              <w:right w:val="nil"/>
            </w:tcBorders>
            <w:shd w:val="clear" w:color="auto" w:fill="auto"/>
            <w:vAlign w:val="bottom"/>
            <w:hideMark/>
          </w:tcPr>
          <w:p w14:paraId="7EA48E6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CMM Matched</w:t>
            </w:r>
          </w:p>
        </w:tc>
        <w:tc>
          <w:tcPr>
            <w:tcW w:w="242" w:type="pct"/>
            <w:tcBorders>
              <w:top w:val="nil"/>
              <w:left w:val="nil"/>
              <w:bottom w:val="single" w:sz="4" w:space="0" w:color="auto"/>
              <w:right w:val="single" w:sz="4" w:space="0" w:color="auto"/>
            </w:tcBorders>
            <w:shd w:val="clear" w:color="auto" w:fill="auto"/>
            <w:vAlign w:val="bottom"/>
            <w:hideMark/>
          </w:tcPr>
          <w:p w14:paraId="09F74C8D" w14:textId="5595426D"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P-Va</w:t>
            </w:r>
            <w:r>
              <w:rPr>
                <w:rFonts w:ascii="Calibri" w:hAnsi="Calibri" w:cs="Calibri"/>
                <w:color w:val="000000"/>
                <w:sz w:val="18"/>
                <w:szCs w:val="18"/>
                <w:lang w:eastAsia="en-US"/>
              </w:rPr>
              <w:t>l</w:t>
            </w:r>
            <w:r w:rsidRPr="0044059F">
              <w:rPr>
                <w:rFonts w:ascii="Calibri" w:hAnsi="Calibri" w:cs="Calibri"/>
                <w:color w:val="000000"/>
                <w:sz w:val="18"/>
                <w:szCs w:val="18"/>
                <w:lang w:eastAsia="en-US"/>
              </w:rPr>
              <w:t xml:space="preserve"> </w:t>
            </w:r>
          </w:p>
        </w:tc>
        <w:tc>
          <w:tcPr>
            <w:tcW w:w="337" w:type="pct"/>
            <w:tcBorders>
              <w:top w:val="nil"/>
              <w:left w:val="nil"/>
              <w:bottom w:val="single" w:sz="4" w:space="0" w:color="auto"/>
              <w:right w:val="nil"/>
            </w:tcBorders>
            <w:shd w:val="clear" w:color="auto" w:fill="auto"/>
            <w:vAlign w:val="bottom"/>
            <w:hideMark/>
          </w:tcPr>
          <w:p w14:paraId="6F4075F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VP Outpatient Matched</w:t>
            </w:r>
          </w:p>
        </w:tc>
        <w:tc>
          <w:tcPr>
            <w:tcW w:w="291" w:type="pct"/>
            <w:tcBorders>
              <w:top w:val="nil"/>
              <w:left w:val="nil"/>
              <w:bottom w:val="single" w:sz="4" w:space="0" w:color="auto"/>
              <w:right w:val="nil"/>
            </w:tcBorders>
            <w:shd w:val="clear" w:color="auto" w:fill="auto"/>
            <w:vAlign w:val="bottom"/>
            <w:hideMark/>
          </w:tcPr>
          <w:p w14:paraId="16F98BA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CMM Matched</w:t>
            </w:r>
          </w:p>
        </w:tc>
        <w:tc>
          <w:tcPr>
            <w:tcW w:w="242" w:type="pct"/>
            <w:tcBorders>
              <w:top w:val="nil"/>
              <w:left w:val="nil"/>
              <w:bottom w:val="single" w:sz="4" w:space="0" w:color="auto"/>
              <w:right w:val="single" w:sz="4" w:space="0" w:color="auto"/>
            </w:tcBorders>
            <w:shd w:val="clear" w:color="auto" w:fill="auto"/>
            <w:vAlign w:val="bottom"/>
            <w:hideMark/>
          </w:tcPr>
          <w:p w14:paraId="7E6F24C2" w14:textId="6AC7C8ED"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P-Va</w:t>
            </w:r>
            <w:r>
              <w:rPr>
                <w:rFonts w:ascii="Calibri" w:hAnsi="Calibri" w:cs="Calibri"/>
                <w:color w:val="000000"/>
                <w:sz w:val="18"/>
                <w:szCs w:val="18"/>
                <w:lang w:eastAsia="en-US"/>
              </w:rPr>
              <w:t>l</w:t>
            </w:r>
            <w:r w:rsidRPr="0044059F">
              <w:rPr>
                <w:rFonts w:ascii="Calibri" w:hAnsi="Calibri" w:cs="Calibri"/>
                <w:color w:val="000000"/>
                <w:sz w:val="18"/>
                <w:szCs w:val="18"/>
                <w:lang w:eastAsia="en-US"/>
              </w:rPr>
              <w:t xml:space="preserve"> </w:t>
            </w:r>
          </w:p>
        </w:tc>
      </w:tr>
      <w:tr w:rsidR="0044059F" w:rsidRPr="0044059F" w14:paraId="614D90C2" w14:textId="77777777" w:rsidTr="0044059F">
        <w:trPr>
          <w:trHeight w:val="300"/>
        </w:trPr>
        <w:tc>
          <w:tcPr>
            <w:tcW w:w="1425" w:type="pct"/>
            <w:gridSpan w:val="2"/>
            <w:tcBorders>
              <w:top w:val="nil"/>
              <w:left w:val="nil"/>
              <w:bottom w:val="nil"/>
              <w:right w:val="nil"/>
            </w:tcBorders>
            <w:shd w:val="clear" w:color="auto" w:fill="auto"/>
            <w:noWrap/>
            <w:vAlign w:val="bottom"/>
            <w:hideMark/>
          </w:tcPr>
          <w:p w14:paraId="692339D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N</w:t>
            </w:r>
          </w:p>
        </w:tc>
        <w:tc>
          <w:tcPr>
            <w:tcW w:w="393" w:type="pct"/>
            <w:tcBorders>
              <w:top w:val="nil"/>
              <w:left w:val="nil"/>
              <w:bottom w:val="nil"/>
              <w:right w:val="nil"/>
            </w:tcBorders>
            <w:shd w:val="clear" w:color="auto" w:fill="auto"/>
            <w:noWrap/>
            <w:vAlign w:val="bottom"/>
            <w:hideMark/>
          </w:tcPr>
          <w:p w14:paraId="076DC9EA"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            2,071 </w:t>
            </w:r>
          </w:p>
        </w:tc>
        <w:tc>
          <w:tcPr>
            <w:tcW w:w="369" w:type="pct"/>
            <w:tcBorders>
              <w:top w:val="nil"/>
              <w:left w:val="nil"/>
              <w:bottom w:val="nil"/>
              <w:right w:val="nil"/>
            </w:tcBorders>
            <w:shd w:val="clear" w:color="auto" w:fill="auto"/>
            <w:noWrap/>
            <w:vAlign w:val="bottom"/>
            <w:hideMark/>
          </w:tcPr>
          <w:p w14:paraId="19E7D852"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xml:space="preserve">            2,071 </w:t>
            </w:r>
          </w:p>
        </w:tc>
        <w:tc>
          <w:tcPr>
            <w:tcW w:w="242" w:type="pct"/>
            <w:tcBorders>
              <w:top w:val="nil"/>
              <w:left w:val="nil"/>
              <w:bottom w:val="nil"/>
              <w:right w:val="single" w:sz="4" w:space="0" w:color="auto"/>
            </w:tcBorders>
            <w:shd w:val="clear" w:color="auto" w:fill="auto"/>
            <w:noWrap/>
            <w:vAlign w:val="bottom"/>
            <w:hideMark/>
          </w:tcPr>
          <w:p w14:paraId="6E62921C"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68C319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3,708</w:t>
            </w:r>
          </w:p>
        </w:tc>
        <w:tc>
          <w:tcPr>
            <w:tcW w:w="291" w:type="pct"/>
            <w:tcBorders>
              <w:top w:val="nil"/>
              <w:left w:val="nil"/>
              <w:bottom w:val="nil"/>
              <w:right w:val="nil"/>
            </w:tcBorders>
            <w:shd w:val="clear" w:color="auto" w:fill="auto"/>
            <w:noWrap/>
            <w:vAlign w:val="bottom"/>
            <w:hideMark/>
          </w:tcPr>
          <w:p w14:paraId="5B57133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3,708</w:t>
            </w:r>
          </w:p>
        </w:tc>
        <w:tc>
          <w:tcPr>
            <w:tcW w:w="242" w:type="pct"/>
            <w:tcBorders>
              <w:top w:val="nil"/>
              <w:left w:val="nil"/>
              <w:bottom w:val="nil"/>
              <w:right w:val="single" w:sz="4" w:space="0" w:color="auto"/>
            </w:tcBorders>
            <w:shd w:val="clear" w:color="auto" w:fill="auto"/>
            <w:noWrap/>
            <w:vAlign w:val="bottom"/>
            <w:hideMark/>
          </w:tcPr>
          <w:p w14:paraId="368A23D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6C8EB62A"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710</w:t>
            </w:r>
          </w:p>
        </w:tc>
        <w:tc>
          <w:tcPr>
            <w:tcW w:w="291" w:type="pct"/>
            <w:tcBorders>
              <w:top w:val="nil"/>
              <w:left w:val="nil"/>
              <w:bottom w:val="nil"/>
              <w:right w:val="nil"/>
            </w:tcBorders>
            <w:shd w:val="clear" w:color="auto" w:fill="auto"/>
            <w:noWrap/>
            <w:vAlign w:val="bottom"/>
            <w:hideMark/>
          </w:tcPr>
          <w:p w14:paraId="39EF6424"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710</w:t>
            </w:r>
          </w:p>
        </w:tc>
        <w:tc>
          <w:tcPr>
            <w:tcW w:w="242" w:type="pct"/>
            <w:tcBorders>
              <w:top w:val="nil"/>
              <w:left w:val="nil"/>
              <w:bottom w:val="nil"/>
              <w:right w:val="single" w:sz="4" w:space="0" w:color="auto"/>
            </w:tcBorders>
            <w:shd w:val="clear" w:color="auto" w:fill="auto"/>
            <w:noWrap/>
            <w:vAlign w:val="bottom"/>
            <w:hideMark/>
          </w:tcPr>
          <w:p w14:paraId="2FE18EB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B2D1A48"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1,042</w:t>
            </w:r>
          </w:p>
        </w:tc>
        <w:tc>
          <w:tcPr>
            <w:tcW w:w="291" w:type="pct"/>
            <w:tcBorders>
              <w:top w:val="nil"/>
              <w:left w:val="nil"/>
              <w:bottom w:val="nil"/>
              <w:right w:val="nil"/>
            </w:tcBorders>
            <w:shd w:val="clear" w:color="auto" w:fill="auto"/>
            <w:noWrap/>
            <w:vAlign w:val="bottom"/>
            <w:hideMark/>
          </w:tcPr>
          <w:p w14:paraId="0C563C83"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1,042</w:t>
            </w:r>
          </w:p>
        </w:tc>
        <w:tc>
          <w:tcPr>
            <w:tcW w:w="242" w:type="pct"/>
            <w:tcBorders>
              <w:top w:val="nil"/>
              <w:left w:val="nil"/>
              <w:bottom w:val="nil"/>
              <w:right w:val="single" w:sz="4" w:space="0" w:color="auto"/>
            </w:tcBorders>
            <w:shd w:val="clear" w:color="auto" w:fill="auto"/>
            <w:noWrap/>
            <w:vAlign w:val="bottom"/>
            <w:hideMark/>
          </w:tcPr>
          <w:p w14:paraId="635C26E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DCCA026" w14:textId="77777777" w:rsidTr="0044059F">
        <w:trPr>
          <w:trHeight w:val="300"/>
        </w:trPr>
        <w:tc>
          <w:tcPr>
            <w:tcW w:w="1112" w:type="pct"/>
            <w:tcBorders>
              <w:top w:val="nil"/>
              <w:left w:val="nil"/>
              <w:bottom w:val="nil"/>
              <w:right w:val="nil"/>
            </w:tcBorders>
            <w:shd w:val="clear" w:color="auto" w:fill="auto"/>
            <w:noWrap/>
            <w:vAlign w:val="bottom"/>
            <w:hideMark/>
          </w:tcPr>
          <w:p w14:paraId="77B753B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Age</w:t>
            </w:r>
          </w:p>
        </w:tc>
        <w:tc>
          <w:tcPr>
            <w:tcW w:w="707" w:type="pct"/>
            <w:gridSpan w:val="2"/>
            <w:tcBorders>
              <w:top w:val="nil"/>
              <w:left w:val="nil"/>
              <w:bottom w:val="nil"/>
              <w:right w:val="nil"/>
            </w:tcBorders>
            <w:shd w:val="clear" w:color="auto" w:fill="auto"/>
            <w:noWrap/>
            <w:vAlign w:val="bottom"/>
            <w:hideMark/>
          </w:tcPr>
          <w:p w14:paraId="4F1298BF"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177AC383"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5BAB302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16472BC"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15927336" w14:textId="77777777" w:rsidR="0044059F" w:rsidRPr="0044059F" w:rsidRDefault="0044059F" w:rsidP="0044059F">
            <w:pPr>
              <w:spacing w:after="0"/>
              <w:jc w:val="center"/>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2E5A9B1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64FC64D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41B69C99"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15A26E6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372309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1EBE3200"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190DF2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3D584BD8" w14:textId="77777777" w:rsidTr="0044059F">
        <w:trPr>
          <w:trHeight w:val="300"/>
        </w:trPr>
        <w:tc>
          <w:tcPr>
            <w:tcW w:w="1112" w:type="pct"/>
            <w:tcBorders>
              <w:top w:val="nil"/>
              <w:left w:val="nil"/>
              <w:bottom w:val="nil"/>
              <w:right w:val="nil"/>
            </w:tcBorders>
            <w:shd w:val="clear" w:color="auto" w:fill="auto"/>
            <w:noWrap/>
            <w:vAlign w:val="bottom"/>
            <w:hideMark/>
          </w:tcPr>
          <w:p w14:paraId="1E289D43"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Mean</w:t>
            </w:r>
          </w:p>
        </w:tc>
        <w:tc>
          <w:tcPr>
            <w:tcW w:w="707" w:type="pct"/>
            <w:gridSpan w:val="2"/>
            <w:tcBorders>
              <w:top w:val="nil"/>
              <w:left w:val="nil"/>
              <w:bottom w:val="nil"/>
              <w:right w:val="nil"/>
            </w:tcBorders>
            <w:shd w:val="clear" w:color="auto" w:fill="auto"/>
            <w:noWrap/>
            <w:vAlign w:val="bottom"/>
            <w:hideMark/>
          </w:tcPr>
          <w:p w14:paraId="1725CEF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81.6</w:t>
            </w:r>
          </w:p>
        </w:tc>
        <w:tc>
          <w:tcPr>
            <w:tcW w:w="369" w:type="pct"/>
            <w:tcBorders>
              <w:top w:val="nil"/>
              <w:left w:val="nil"/>
              <w:bottom w:val="nil"/>
              <w:right w:val="nil"/>
            </w:tcBorders>
            <w:shd w:val="clear" w:color="auto" w:fill="auto"/>
            <w:noWrap/>
            <w:vAlign w:val="bottom"/>
            <w:hideMark/>
          </w:tcPr>
          <w:p w14:paraId="2080F39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82.2</w:t>
            </w:r>
          </w:p>
        </w:tc>
        <w:tc>
          <w:tcPr>
            <w:tcW w:w="242" w:type="pct"/>
            <w:tcBorders>
              <w:top w:val="nil"/>
              <w:left w:val="nil"/>
              <w:bottom w:val="nil"/>
              <w:right w:val="single" w:sz="4" w:space="0" w:color="auto"/>
            </w:tcBorders>
            <w:shd w:val="clear" w:color="auto" w:fill="auto"/>
            <w:noWrap/>
            <w:vAlign w:val="bottom"/>
            <w:hideMark/>
          </w:tcPr>
          <w:p w14:paraId="0E0CD51D" w14:textId="123A1113"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0.028</w:t>
            </w:r>
          </w:p>
        </w:tc>
        <w:tc>
          <w:tcPr>
            <w:tcW w:w="337" w:type="pct"/>
            <w:tcBorders>
              <w:top w:val="nil"/>
              <w:left w:val="nil"/>
              <w:bottom w:val="nil"/>
              <w:right w:val="nil"/>
            </w:tcBorders>
            <w:shd w:val="clear" w:color="auto" w:fill="auto"/>
            <w:noWrap/>
            <w:vAlign w:val="bottom"/>
            <w:hideMark/>
          </w:tcPr>
          <w:p w14:paraId="1D5863A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78.9</w:t>
            </w:r>
          </w:p>
        </w:tc>
        <w:tc>
          <w:tcPr>
            <w:tcW w:w="291" w:type="pct"/>
            <w:tcBorders>
              <w:top w:val="nil"/>
              <w:left w:val="nil"/>
              <w:bottom w:val="nil"/>
              <w:right w:val="nil"/>
            </w:tcBorders>
            <w:shd w:val="clear" w:color="auto" w:fill="auto"/>
            <w:noWrap/>
            <w:vAlign w:val="bottom"/>
            <w:hideMark/>
          </w:tcPr>
          <w:p w14:paraId="62F4FDD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79.3</w:t>
            </w:r>
          </w:p>
        </w:tc>
        <w:tc>
          <w:tcPr>
            <w:tcW w:w="242" w:type="pct"/>
            <w:tcBorders>
              <w:top w:val="nil"/>
              <w:left w:val="nil"/>
              <w:bottom w:val="nil"/>
              <w:right w:val="single" w:sz="4" w:space="0" w:color="auto"/>
            </w:tcBorders>
            <w:shd w:val="clear" w:color="auto" w:fill="auto"/>
            <w:noWrap/>
            <w:vAlign w:val="bottom"/>
            <w:hideMark/>
          </w:tcPr>
          <w:p w14:paraId="6BBBDBD7" w14:textId="3813EFFE"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0.01</w:t>
            </w:r>
            <w:r>
              <w:rPr>
                <w:rFonts w:ascii="Calibri" w:hAnsi="Calibri" w:cs="Calibri"/>
                <w:color w:val="000000"/>
                <w:sz w:val="18"/>
                <w:szCs w:val="18"/>
                <w:lang w:eastAsia="en-US"/>
              </w:rPr>
              <w:t>5</w:t>
            </w:r>
          </w:p>
        </w:tc>
        <w:tc>
          <w:tcPr>
            <w:tcW w:w="295" w:type="pct"/>
            <w:tcBorders>
              <w:top w:val="nil"/>
              <w:left w:val="nil"/>
              <w:bottom w:val="nil"/>
              <w:right w:val="nil"/>
            </w:tcBorders>
            <w:shd w:val="clear" w:color="auto" w:fill="auto"/>
            <w:noWrap/>
            <w:vAlign w:val="bottom"/>
            <w:hideMark/>
          </w:tcPr>
          <w:p w14:paraId="20EDB37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81.4</w:t>
            </w:r>
          </w:p>
        </w:tc>
        <w:tc>
          <w:tcPr>
            <w:tcW w:w="291" w:type="pct"/>
            <w:tcBorders>
              <w:top w:val="nil"/>
              <w:left w:val="nil"/>
              <w:bottom w:val="nil"/>
              <w:right w:val="nil"/>
            </w:tcBorders>
            <w:shd w:val="clear" w:color="auto" w:fill="auto"/>
            <w:noWrap/>
            <w:vAlign w:val="bottom"/>
            <w:hideMark/>
          </w:tcPr>
          <w:p w14:paraId="5A0A35C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81.8</w:t>
            </w:r>
          </w:p>
        </w:tc>
        <w:tc>
          <w:tcPr>
            <w:tcW w:w="242" w:type="pct"/>
            <w:tcBorders>
              <w:top w:val="nil"/>
              <w:left w:val="nil"/>
              <w:bottom w:val="nil"/>
              <w:right w:val="single" w:sz="4" w:space="0" w:color="auto"/>
            </w:tcBorders>
            <w:shd w:val="clear" w:color="auto" w:fill="auto"/>
            <w:noWrap/>
            <w:vAlign w:val="bottom"/>
            <w:hideMark/>
          </w:tcPr>
          <w:p w14:paraId="54BE7F9E" w14:textId="5EBA6EB2"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0.287</w:t>
            </w:r>
          </w:p>
        </w:tc>
        <w:tc>
          <w:tcPr>
            <w:tcW w:w="337" w:type="pct"/>
            <w:tcBorders>
              <w:top w:val="nil"/>
              <w:left w:val="nil"/>
              <w:bottom w:val="nil"/>
              <w:right w:val="nil"/>
            </w:tcBorders>
            <w:shd w:val="clear" w:color="auto" w:fill="auto"/>
            <w:noWrap/>
            <w:vAlign w:val="bottom"/>
            <w:hideMark/>
          </w:tcPr>
          <w:p w14:paraId="2B32A63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79.5</w:t>
            </w:r>
          </w:p>
        </w:tc>
        <w:tc>
          <w:tcPr>
            <w:tcW w:w="291" w:type="pct"/>
            <w:tcBorders>
              <w:top w:val="nil"/>
              <w:left w:val="nil"/>
              <w:bottom w:val="nil"/>
              <w:right w:val="nil"/>
            </w:tcBorders>
            <w:shd w:val="clear" w:color="auto" w:fill="auto"/>
            <w:noWrap/>
            <w:vAlign w:val="bottom"/>
            <w:hideMark/>
          </w:tcPr>
          <w:p w14:paraId="511E7ED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80.4</w:t>
            </w:r>
          </w:p>
        </w:tc>
        <w:tc>
          <w:tcPr>
            <w:tcW w:w="242" w:type="pct"/>
            <w:tcBorders>
              <w:top w:val="nil"/>
              <w:left w:val="nil"/>
              <w:bottom w:val="nil"/>
              <w:right w:val="single" w:sz="4" w:space="0" w:color="auto"/>
            </w:tcBorders>
            <w:shd w:val="clear" w:color="auto" w:fill="auto"/>
            <w:noWrap/>
            <w:vAlign w:val="bottom"/>
            <w:hideMark/>
          </w:tcPr>
          <w:p w14:paraId="19F3E9A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0.006</w:t>
            </w:r>
          </w:p>
        </w:tc>
      </w:tr>
      <w:tr w:rsidR="0044059F" w:rsidRPr="0044059F" w14:paraId="258124CC" w14:textId="77777777" w:rsidTr="0044059F">
        <w:trPr>
          <w:trHeight w:val="300"/>
        </w:trPr>
        <w:tc>
          <w:tcPr>
            <w:tcW w:w="1112" w:type="pct"/>
            <w:tcBorders>
              <w:top w:val="nil"/>
              <w:left w:val="nil"/>
              <w:bottom w:val="nil"/>
              <w:right w:val="nil"/>
            </w:tcBorders>
            <w:shd w:val="clear" w:color="auto" w:fill="auto"/>
            <w:noWrap/>
            <w:vAlign w:val="bottom"/>
            <w:hideMark/>
          </w:tcPr>
          <w:p w14:paraId="7F626792"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SD</w:t>
            </w:r>
          </w:p>
        </w:tc>
        <w:tc>
          <w:tcPr>
            <w:tcW w:w="707" w:type="pct"/>
            <w:gridSpan w:val="2"/>
            <w:tcBorders>
              <w:top w:val="nil"/>
              <w:left w:val="nil"/>
              <w:bottom w:val="nil"/>
              <w:right w:val="nil"/>
            </w:tcBorders>
            <w:shd w:val="clear" w:color="auto" w:fill="auto"/>
            <w:noWrap/>
            <w:vAlign w:val="bottom"/>
            <w:hideMark/>
          </w:tcPr>
          <w:p w14:paraId="7D2C3E8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7.5</w:t>
            </w:r>
          </w:p>
        </w:tc>
        <w:tc>
          <w:tcPr>
            <w:tcW w:w="369" w:type="pct"/>
            <w:tcBorders>
              <w:top w:val="nil"/>
              <w:left w:val="nil"/>
              <w:bottom w:val="nil"/>
              <w:right w:val="nil"/>
            </w:tcBorders>
            <w:shd w:val="clear" w:color="auto" w:fill="auto"/>
            <w:noWrap/>
            <w:vAlign w:val="bottom"/>
            <w:hideMark/>
          </w:tcPr>
          <w:p w14:paraId="2567AFD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7.1</w:t>
            </w:r>
          </w:p>
        </w:tc>
        <w:tc>
          <w:tcPr>
            <w:tcW w:w="242" w:type="pct"/>
            <w:tcBorders>
              <w:top w:val="nil"/>
              <w:left w:val="nil"/>
              <w:bottom w:val="nil"/>
              <w:right w:val="single" w:sz="4" w:space="0" w:color="auto"/>
            </w:tcBorders>
            <w:shd w:val="clear" w:color="auto" w:fill="auto"/>
            <w:noWrap/>
            <w:vAlign w:val="bottom"/>
            <w:hideMark/>
          </w:tcPr>
          <w:p w14:paraId="15D27DA4"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72AB39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7.3</w:t>
            </w:r>
          </w:p>
        </w:tc>
        <w:tc>
          <w:tcPr>
            <w:tcW w:w="291" w:type="pct"/>
            <w:tcBorders>
              <w:top w:val="nil"/>
              <w:left w:val="nil"/>
              <w:bottom w:val="nil"/>
              <w:right w:val="nil"/>
            </w:tcBorders>
            <w:shd w:val="clear" w:color="auto" w:fill="auto"/>
            <w:noWrap/>
            <w:vAlign w:val="bottom"/>
            <w:hideMark/>
          </w:tcPr>
          <w:p w14:paraId="4C37F4A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7.2</w:t>
            </w:r>
          </w:p>
        </w:tc>
        <w:tc>
          <w:tcPr>
            <w:tcW w:w="242" w:type="pct"/>
            <w:tcBorders>
              <w:top w:val="nil"/>
              <w:left w:val="nil"/>
              <w:bottom w:val="nil"/>
              <w:right w:val="single" w:sz="4" w:space="0" w:color="auto"/>
            </w:tcBorders>
            <w:shd w:val="clear" w:color="auto" w:fill="auto"/>
            <w:noWrap/>
            <w:vAlign w:val="bottom"/>
            <w:hideMark/>
          </w:tcPr>
          <w:p w14:paraId="19B28EB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721A556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7.6</w:t>
            </w:r>
          </w:p>
        </w:tc>
        <w:tc>
          <w:tcPr>
            <w:tcW w:w="291" w:type="pct"/>
            <w:tcBorders>
              <w:top w:val="nil"/>
              <w:left w:val="nil"/>
              <w:bottom w:val="nil"/>
              <w:right w:val="nil"/>
            </w:tcBorders>
            <w:shd w:val="clear" w:color="auto" w:fill="auto"/>
            <w:noWrap/>
            <w:vAlign w:val="bottom"/>
            <w:hideMark/>
          </w:tcPr>
          <w:p w14:paraId="774B367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7.6</w:t>
            </w:r>
          </w:p>
        </w:tc>
        <w:tc>
          <w:tcPr>
            <w:tcW w:w="242" w:type="pct"/>
            <w:tcBorders>
              <w:top w:val="nil"/>
              <w:left w:val="nil"/>
              <w:bottom w:val="nil"/>
              <w:right w:val="single" w:sz="4" w:space="0" w:color="auto"/>
            </w:tcBorders>
            <w:shd w:val="clear" w:color="auto" w:fill="auto"/>
            <w:noWrap/>
            <w:vAlign w:val="bottom"/>
            <w:hideMark/>
          </w:tcPr>
          <w:p w14:paraId="1B7582B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624A0B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7.5</w:t>
            </w:r>
          </w:p>
        </w:tc>
        <w:tc>
          <w:tcPr>
            <w:tcW w:w="291" w:type="pct"/>
            <w:tcBorders>
              <w:top w:val="nil"/>
              <w:left w:val="nil"/>
              <w:bottom w:val="nil"/>
              <w:right w:val="nil"/>
            </w:tcBorders>
            <w:shd w:val="clear" w:color="auto" w:fill="auto"/>
            <w:noWrap/>
            <w:vAlign w:val="bottom"/>
            <w:hideMark/>
          </w:tcPr>
          <w:p w14:paraId="4635639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7.2</w:t>
            </w:r>
          </w:p>
        </w:tc>
        <w:tc>
          <w:tcPr>
            <w:tcW w:w="242" w:type="pct"/>
            <w:tcBorders>
              <w:top w:val="nil"/>
              <w:left w:val="nil"/>
              <w:bottom w:val="nil"/>
              <w:right w:val="single" w:sz="4" w:space="0" w:color="auto"/>
            </w:tcBorders>
            <w:shd w:val="clear" w:color="auto" w:fill="auto"/>
            <w:noWrap/>
            <w:vAlign w:val="bottom"/>
            <w:hideMark/>
          </w:tcPr>
          <w:p w14:paraId="093A880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44D4DD9A" w14:textId="77777777" w:rsidTr="0044059F">
        <w:trPr>
          <w:trHeight w:val="300"/>
        </w:trPr>
        <w:tc>
          <w:tcPr>
            <w:tcW w:w="1112" w:type="pct"/>
            <w:tcBorders>
              <w:top w:val="nil"/>
              <w:left w:val="nil"/>
              <w:bottom w:val="nil"/>
              <w:right w:val="nil"/>
            </w:tcBorders>
            <w:shd w:val="clear" w:color="auto" w:fill="auto"/>
            <w:noWrap/>
            <w:vAlign w:val="bottom"/>
            <w:hideMark/>
          </w:tcPr>
          <w:p w14:paraId="666D7F0C"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Median</w:t>
            </w:r>
          </w:p>
        </w:tc>
        <w:tc>
          <w:tcPr>
            <w:tcW w:w="707" w:type="pct"/>
            <w:gridSpan w:val="2"/>
            <w:tcBorders>
              <w:top w:val="nil"/>
              <w:left w:val="nil"/>
              <w:bottom w:val="nil"/>
              <w:right w:val="nil"/>
            </w:tcBorders>
            <w:shd w:val="clear" w:color="auto" w:fill="auto"/>
            <w:noWrap/>
            <w:vAlign w:val="bottom"/>
            <w:hideMark/>
          </w:tcPr>
          <w:p w14:paraId="11AFE08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w:t>
            </w:r>
          </w:p>
        </w:tc>
        <w:tc>
          <w:tcPr>
            <w:tcW w:w="369" w:type="pct"/>
            <w:tcBorders>
              <w:top w:val="nil"/>
              <w:left w:val="nil"/>
              <w:bottom w:val="nil"/>
              <w:right w:val="nil"/>
            </w:tcBorders>
            <w:shd w:val="clear" w:color="auto" w:fill="auto"/>
            <w:noWrap/>
            <w:vAlign w:val="bottom"/>
            <w:hideMark/>
          </w:tcPr>
          <w:p w14:paraId="234472F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83</w:t>
            </w:r>
          </w:p>
        </w:tc>
        <w:tc>
          <w:tcPr>
            <w:tcW w:w="242" w:type="pct"/>
            <w:tcBorders>
              <w:top w:val="nil"/>
              <w:left w:val="nil"/>
              <w:bottom w:val="nil"/>
              <w:right w:val="single" w:sz="4" w:space="0" w:color="auto"/>
            </w:tcBorders>
            <w:shd w:val="clear" w:color="auto" w:fill="auto"/>
            <w:noWrap/>
            <w:vAlign w:val="bottom"/>
            <w:hideMark/>
          </w:tcPr>
          <w:p w14:paraId="13FBD0E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E8A70A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w:t>
            </w:r>
          </w:p>
        </w:tc>
        <w:tc>
          <w:tcPr>
            <w:tcW w:w="291" w:type="pct"/>
            <w:tcBorders>
              <w:top w:val="nil"/>
              <w:left w:val="nil"/>
              <w:bottom w:val="nil"/>
              <w:right w:val="nil"/>
            </w:tcBorders>
            <w:shd w:val="clear" w:color="auto" w:fill="auto"/>
            <w:noWrap/>
            <w:vAlign w:val="bottom"/>
            <w:hideMark/>
          </w:tcPr>
          <w:p w14:paraId="6010BA1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w:t>
            </w:r>
          </w:p>
        </w:tc>
        <w:tc>
          <w:tcPr>
            <w:tcW w:w="242" w:type="pct"/>
            <w:tcBorders>
              <w:top w:val="nil"/>
              <w:left w:val="nil"/>
              <w:bottom w:val="nil"/>
              <w:right w:val="single" w:sz="4" w:space="0" w:color="auto"/>
            </w:tcBorders>
            <w:shd w:val="clear" w:color="auto" w:fill="auto"/>
            <w:noWrap/>
            <w:vAlign w:val="bottom"/>
            <w:hideMark/>
          </w:tcPr>
          <w:p w14:paraId="7CBFF51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6B2B8E4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w:t>
            </w:r>
          </w:p>
        </w:tc>
        <w:tc>
          <w:tcPr>
            <w:tcW w:w="291" w:type="pct"/>
            <w:tcBorders>
              <w:top w:val="nil"/>
              <w:left w:val="nil"/>
              <w:bottom w:val="nil"/>
              <w:right w:val="nil"/>
            </w:tcBorders>
            <w:shd w:val="clear" w:color="auto" w:fill="auto"/>
            <w:noWrap/>
            <w:vAlign w:val="bottom"/>
            <w:hideMark/>
          </w:tcPr>
          <w:p w14:paraId="00FD7EA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83</w:t>
            </w:r>
          </w:p>
        </w:tc>
        <w:tc>
          <w:tcPr>
            <w:tcW w:w="242" w:type="pct"/>
            <w:tcBorders>
              <w:top w:val="nil"/>
              <w:left w:val="nil"/>
              <w:bottom w:val="nil"/>
              <w:right w:val="single" w:sz="4" w:space="0" w:color="auto"/>
            </w:tcBorders>
            <w:shd w:val="clear" w:color="auto" w:fill="auto"/>
            <w:noWrap/>
            <w:vAlign w:val="bottom"/>
            <w:hideMark/>
          </w:tcPr>
          <w:p w14:paraId="17F180B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6E3224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80</w:t>
            </w:r>
          </w:p>
        </w:tc>
        <w:tc>
          <w:tcPr>
            <w:tcW w:w="291" w:type="pct"/>
            <w:tcBorders>
              <w:top w:val="nil"/>
              <w:left w:val="nil"/>
              <w:bottom w:val="nil"/>
              <w:right w:val="nil"/>
            </w:tcBorders>
            <w:shd w:val="clear" w:color="auto" w:fill="auto"/>
            <w:noWrap/>
            <w:vAlign w:val="bottom"/>
            <w:hideMark/>
          </w:tcPr>
          <w:p w14:paraId="72A7D00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81</w:t>
            </w:r>
          </w:p>
        </w:tc>
        <w:tc>
          <w:tcPr>
            <w:tcW w:w="242" w:type="pct"/>
            <w:tcBorders>
              <w:top w:val="nil"/>
              <w:left w:val="nil"/>
              <w:bottom w:val="nil"/>
              <w:right w:val="single" w:sz="4" w:space="0" w:color="auto"/>
            </w:tcBorders>
            <w:shd w:val="clear" w:color="auto" w:fill="auto"/>
            <w:noWrap/>
            <w:vAlign w:val="bottom"/>
            <w:hideMark/>
          </w:tcPr>
          <w:p w14:paraId="2AE596B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322306B" w14:textId="77777777" w:rsidTr="0044059F">
        <w:trPr>
          <w:trHeight w:val="300"/>
        </w:trPr>
        <w:tc>
          <w:tcPr>
            <w:tcW w:w="1112" w:type="pct"/>
            <w:tcBorders>
              <w:top w:val="nil"/>
              <w:left w:val="nil"/>
              <w:bottom w:val="nil"/>
              <w:right w:val="nil"/>
            </w:tcBorders>
            <w:shd w:val="clear" w:color="auto" w:fill="auto"/>
            <w:noWrap/>
            <w:vAlign w:val="bottom"/>
            <w:hideMark/>
          </w:tcPr>
          <w:p w14:paraId="354629F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Age Group</w:t>
            </w:r>
          </w:p>
        </w:tc>
        <w:tc>
          <w:tcPr>
            <w:tcW w:w="707" w:type="pct"/>
            <w:gridSpan w:val="2"/>
            <w:tcBorders>
              <w:top w:val="nil"/>
              <w:left w:val="nil"/>
              <w:bottom w:val="nil"/>
              <w:right w:val="nil"/>
            </w:tcBorders>
            <w:shd w:val="clear" w:color="auto" w:fill="auto"/>
            <w:noWrap/>
            <w:vAlign w:val="bottom"/>
            <w:hideMark/>
          </w:tcPr>
          <w:p w14:paraId="5FC504CE"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24563A64"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1B0AC2DB" w14:textId="58ADCF68"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0.526</w:t>
            </w:r>
          </w:p>
        </w:tc>
        <w:tc>
          <w:tcPr>
            <w:tcW w:w="337" w:type="pct"/>
            <w:tcBorders>
              <w:top w:val="nil"/>
              <w:left w:val="nil"/>
              <w:bottom w:val="nil"/>
              <w:right w:val="nil"/>
            </w:tcBorders>
            <w:shd w:val="clear" w:color="auto" w:fill="auto"/>
            <w:noWrap/>
            <w:vAlign w:val="bottom"/>
            <w:hideMark/>
          </w:tcPr>
          <w:p w14:paraId="06E20BB3"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28E79816"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57C25776" w14:textId="56E0AD09"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0.62</w:t>
            </w:r>
            <w:r>
              <w:rPr>
                <w:rFonts w:ascii="Calibri" w:hAnsi="Calibri" w:cs="Calibri"/>
                <w:color w:val="000000"/>
                <w:sz w:val="18"/>
                <w:szCs w:val="18"/>
                <w:lang w:eastAsia="en-US"/>
              </w:rPr>
              <w:t>6</w:t>
            </w:r>
          </w:p>
        </w:tc>
        <w:tc>
          <w:tcPr>
            <w:tcW w:w="295" w:type="pct"/>
            <w:tcBorders>
              <w:top w:val="nil"/>
              <w:left w:val="nil"/>
              <w:bottom w:val="nil"/>
              <w:right w:val="nil"/>
            </w:tcBorders>
            <w:shd w:val="clear" w:color="auto" w:fill="auto"/>
            <w:noWrap/>
            <w:vAlign w:val="bottom"/>
            <w:hideMark/>
          </w:tcPr>
          <w:p w14:paraId="55A2310B"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4A405168"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207FD78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0.918</w:t>
            </w:r>
          </w:p>
        </w:tc>
        <w:tc>
          <w:tcPr>
            <w:tcW w:w="337" w:type="pct"/>
            <w:tcBorders>
              <w:top w:val="nil"/>
              <w:left w:val="nil"/>
              <w:bottom w:val="nil"/>
              <w:right w:val="nil"/>
            </w:tcBorders>
            <w:shd w:val="clear" w:color="auto" w:fill="auto"/>
            <w:noWrap/>
            <w:vAlign w:val="bottom"/>
            <w:hideMark/>
          </w:tcPr>
          <w:p w14:paraId="637C1A3A"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2B070826"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7D074EB" w14:textId="45A2DE86" w:rsidR="0044059F" w:rsidRPr="0044059F" w:rsidRDefault="0044059F" w:rsidP="0044059F">
            <w:pPr>
              <w:spacing w:after="0"/>
              <w:jc w:val="right"/>
              <w:rPr>
                <w:rFonts w:ascii="Calibri" w:hAnsi="Calibri" w:cs="Calibri"/>
                <w:color w:val="000000"/>
                <w:sz w:val="18"/>
                <w:szCs w:val="18"/>
                <w:lang w:eastAsia="en-US"/>
              </w:rPr>
            </w:pPr>
            <w:r>
              <w:rPr>
                <w:rFonts w:ascii="Calibri" w:hAnsi="Calibri" w:cs="Calibri"/>
                <w:color w:val="000000"/>
                <w:sz w:val="18"/>
                <w:szCs w:val="18"/>
                <w:lang w:eastAsia="en-US"/>
              </w:rPr>
              <w:t>0.800</w:t>
            </w:r>
          </w:p>
        </w:tc>
      </w:tr>
      <w:tr w:rsidR="0044059F" w:rsidRPr="0044059F" w14:paraId="156D41D5" w14:textId="77777777" w:rsidTr="0044059F">
        <w:trPr>
          <w:trHeight w:val="300"/>
        </w:trPr>
        <w:tc>
          <w:tcPr>
            <w:tcW w:w="1112" w:type="pct"/>
            <w:tcBorders>
              <w:top w:val="nil"/>
              <w:left w:val="nil"/>
              <w:bottom w:val="nil"/>
              <w:right w:val="nil"/>
            </w:tcBorders>
            <w:shd w:val="clear" w:color="auto" w:fill="auto"/>
            <w:noWrap/>
            <w:vAlign w:val="bottom"/>
            <w:hideMark/>
          </w:tcPr>
          <w:p w14:paraId="71A83290"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65 - 69</w:t>
            </w:r>
          </w:p>
        </w:tc>
        <w:tc>
          <w:tcPr>
            <w:tcW w:w="707" w:type="pct"/>
            <w:gridSpan w:val="2"/>
            <w:tcBorders>
              <w:top w:val="nil"/>
              <w:left w:val="nil"/>
              <w:bottom w:val="nil"/>
              <w:right w:val="nil"/>
            </w:tcBorders>
            <w:shd w:val="clear" w:color="auto" w:fill="auto"/>
            <w:noWrap/>
            <w:vAlign w:val="bottom"/>
            <w:hideMark/>
          </w:tcPr>
          <w:p w14:paraId="5CA8B94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7.4%</w:t>
            </w:r>
          </w:p>
        </w:tc>
        <w:tc>
          <w:tcPr>
            <w:tcW w:w="369" w:type="pct"/>
            <w:tcBorders>
              <w:top w:val="nil"/>
              <w:left w:val="nil"/>
              <w:bottom w:val="nil"/>
              <w:right w:val="nil"/>
            </w:tcBorders>
            <w:shd w:val="clear" w:color="auto" w:fill="auto"/>
            <w:noWrap/>
            <w:vAlign w:val="bottom"/>
            <w:hideMark/>
          </w:tcPr>
          <w:p w14:paraId="4FD868C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6.4%</w:t>
            </w:r>
          </w:p>
        </w:tc>
        <w:tc>
          <w:tcPr>
            <w:tcW w:w="242" w:type="pct"/>
            <w:tcBorders>
              <w:top w:val="nil"/>
              <w:left w:val="nil"/>
              <w:bottom w:val="nil"/>
              <w:right w:val="single" w:sz="4" w:space="0" w:color="auto"/>
            </w:tcBorders>
            <w:shd w:val="clear" w:color="auto" w:fill="auto"/>
            <w:noWrap/>
            <w:vAlign w:val="bottom"/>
            <w:hideMark/>
          </w:tcPr>
          <w:p w14:paraId="3C37820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8848FE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12.2%</w:t>
            </w:r>
          </w:p>
        </w:tc>
        <w:tc>
          <w:tcPr>
            <w:tcW w:w="291" w:type="pct"/>
            <w:tcBorders>
              <w:top w:val="nil"/>
              <w:left w:val="nil"/>
              <w:bottom w:val="nil"/>
              <w:right w:val="nil"/>
            </w:tcBorders>
            <w:shd w:val="clear" w:color="auto" w:fill="auto"/>
            <w:noWrap/>
            <w:vAlign w:val="bottom"/>
            <w:hideMark/>
          </w:tcPr>
          <w:p w14:paraId="509060D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12.4%</w:t>
            </w:r>
          </w:p>
        </w:tc>
        <w:tc>
          <w:tcPr>
            <w:tcW w:w="242" w:type="pct"/>
            <w:tcBorders>
              <w:top w:val="nil"/>
              <w:left w:val="nil"/>
              <w:bottom w:val="nil"/>
              <w:right w:val="single" w:sz="4" w:space="0" w:color="auto"/>
            </w:tcBorders>
            <w:shd w:val="clear" w:color="auto" w:fill="auto"/>
            <w:noWrap/>
            <w:vAlign w:val="bottom"/>
            <w:hideMark/>
          </w:tcPr>
          <w:p w14:paraId="4DDFD12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1E669B3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9.9%</w:t>
            </w:r>
          </w:p>
        </w:tc>
        <w:tc>
          <w:tcPr>
            <w:tcW w:w="291" w:type="pct"/>
            <w:tcBorders>
              <w:top w:val="nil"/>
              <w:left w:val="nil"/>
              <w:bottom w:val="nil"/>
              <w:right w:val="nil"/>
            </w:tcBorders>
            <w:shd w:val="clear" w:color="auto" w:fill="auto"/>
            <w:noWrap/>
            <w:vAlign w:val="bottom"/>
            <w:hideMark/>
          </w:tcPr>
          <w:p w14:paraId="615E01C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9.7%</w:t>
            </w:r>
          </w:p>
        </w:tc>
        <w:tc>
          <w:tcPr>
            <w:tcW w:w="242" w:type="pct"/>
            <w:tcBorders>
              <w:top w:val="nil"/>
              <w:left w:val="nil"/>
              <w:bottom w:val="nil"/>
              <w:right w:val="single" w:sz="4" w:space="0" w:color="auto"/>
            </w:tcBorders>
            <w:shd w:val="clear" w:color="auto" w:fill="auto"/>
            <w:noWrap/>
            <w:vAlign w:val="bottom"/>
            <w:hideMark/>
          </w:tcPr>
          <w:p w14:paraId="6E76CC8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E90B7A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11.6%</w:t>
            </w:r>
          </w:p>
        </w:tc>
        <w:tc>
          <w:tcPr>
            <w:tcW w:w="291" w:type="pct"/>
            <w:tcBorders>
              <w:top w:val="nil"/>
              <w:left w:val="nil"/>
              <w:bottom w:val="nil"/>
              <w:right w:val="nil"/>
            </w:tcBorders>
            <w:shd w:val="clear" w:color="auto" w:fill="auto"/>
            <w:noWrap/>
            <w:vAlign w:val="bottom"/>
            <w:hideMark/>
          </w:tcPr>
          <w:p w14:paraId="70E2311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10.3%</w:t>
            </w:r>
          </w:p>
        </w:tc>
        <w:tc>
          <w:tcPr>
            <w:tcW w:w="242" w:type="pct"/>
            <w:tcBorders>
              <w:top w:val="nil"/>
              <w:left w:val="nil"/>
              <w:bottom w:val="nil"/>
              <w:right w:val="single" w:sz="4" w:space="0" w:color="auto"/>
            </w:tcBorders>
            <w:shd w:val="clear" w:color="auto" w:fill="auto"/>
            <w:noWrap/>
            <w:vAlign w:val="bottom"/>
            <w:hideMark/>
          </w:tcPr>
          <w:p w14:paraId="3082651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6F3AAF5" w14:textId="77777777" w:rsidTr="0044059F">
        <w:trPr>
          <w:trHeight w:val="300"/>
        </w:trPr>
        <w:tc>
          <w:tcPr>
            <w:tcW w:w="1112" w:type="pct"/>
            <w:tcBorders>
              <w:top w:val="nil"/>
              <w:left w:val="nil"/>
              <w:bottom w:val="nil"/>
              <w:right w:val="nil"/>
            </w:tcBorders>
            <w:shd w:val="clear" w:color="auto" w:fill="auto"/>
            <w:noWrap/>
            <w:vAlign w:val="bottom"/>
            <w:hideMark/>
          </w:tcPr>
          <w:p w14:paraId="1B834260"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70 - 79</w:t>
            </w:r>
          </w:p>
        </w:tc>
        <w:tc>
          <w:tcPr>
            <w:tcW w:w="707" w:type="pct"/>
            <w:gridSpan w:val="2"/>
            <w:tcBorders>
              <w:top w:val="nil"/>
              <w:left w:val="nil"/>
              <w:bottom w:val="nil"/>
              <w:right w:val="nil"/>
            </w:tcBorders>
            <w:shd w:val="clear" w:color="auto" w:fill="auto"/>
            <w:noWrap/>
            <w:vAlign w:val="bottom"/>
            <w:hideMark/>
          </w:tcPr>
          <w:p w14:paraId="159626F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29.4%</w:t>
            </w:r>
          </w:p>
        </w:tc>
        <w:tc>
          <w:tcPr>
            <w:tcW w:w="369" w:type="pct"/>
            <w:tcBorders>
              <w:top w:val="nil"/>
              <w:left w:val="nil"/>
              <w:bottom w:val="nil"/>
              <w:right w:val="nil"/>
            </w:tcBorders>
            <w:shd w:val="clear" w:color="auto" w:fill="auto"/>
            <w:noWrap/>
            <w:vAlign w:val="bottom"/>
            <w:hideMark/>
          </w:tcPr>
          <w:p w14:paraId="3C62375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29.7%</w:t>
            </w:r>
          </w:p>
        </w:tc>
        <w:tc>
          <w:tcPr>
            <w:tcW w:w="242" w:type="pct"/>
            <w:tcBorders>
              <w:top w:val="nil"/>
              <w:left w:val="nil"/>
              <w:bottom w:val="nil"/>
              <w:right w:val="single" w:sz="4" w:space="0" w:color="auto"/>
            </w:tcBorders>
            <w:shd w:val="clear" w:color="auto" w:fill="auto"/>
            <w:noWrap/>
            <w:vAlign w:val="bottom"/>
            <w:hideMark/>
          </w:tcPr>
          <w:p w14:paraId="1EF0C08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5167A9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39.4%</w:t>
            </w:r>
          </w:p>
        </w:tc>
        <w:tc>
          <w:tcPr>
            <w:tcW w:w="291" w:type="pct"/>
            <w:tcBorders>
              <w:top w:val="nil"/>
              <w:left w:val="nil"/>
              <w:bottom w:val="nil"/>
              <w:right w:val="nil"/>
            </w:tcBorders>
            <w:shd w:val="clear" w:color="auto" w:fill="auto"/>
            <w:noWrap/>
            <w:vAlign w:val="bottom"/>
            <w:hideMark/>
          </w:tcPr>
          <w:p w14:paraId="1A69EF9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40.2%</w:t>
            </w:r>
          </w:p>
        </w:tc>
        <w:tc>
          <w:tcPr>
            <w:tcW w:w="242" w:type="pct"/>
            <w:tcBorders>
              <w:top w:val="nil"/>
              <w:left w:val="nil"/>
              <w:bottom w:val="nil"/>
              <w:right w:val="single" w:sz="4" w:space="0" w:color="auto"/>
            </w:tcBorders>
            <w:shd w:val="clear" w:color="auto" w:fill="auto"/>
            <w:noWrap/>
            <w:vAlign w:val="bottom"/>
            <w:hideMark/>
          </w:tcPr>
          <w:p w14:paraId="6D1A1E1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1E006FA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25.8%</w:t>
            </w:r>
          </w:p>
        </w:tc>
        <w:tc>
          <w:tcPr>
            <w:tcW w:w="291" w:type="pct"/>
            <w:tcBorders>
              <w:top w:val="nil"/>
              <w:left w:val="nil"/>
              <w:bottom w:val="nil"/>
              <w:right w:val="nil"/>
            </w:tcBorders>
            <w:shd w:val="clear" w:color="auto" w:fill="auto"/>
            <w:noWrap/>
            <w:vAlign w:val="bottom"/>
            <w:hideMark/>
          </w:tcPr>
          <w:p w14:paraId="11C949A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25.5%</w:t>
            </w:r>
          </w:p>
        </w:tc>
        <w:tc>
          <w:tcPr>
            <w:tcW w:w="242" w:type="pct"/>
            <w:tcBorders>
              <w:top w:val="nil"/>
              <w:left w:val="nil"/>
              <w:bottom w:val="nil"/>
              <w:right w:val="single" w:sz="4" w:space="0" w:color="auto"/>
            </w:tcBorders>
            <w:shd w:val="clear" w:color="auto" w:fill="auto"/>
            <w:noWrap/>
            <w:vAlign w:val="bottom"/>
            <w:hideMark/>
          </w:tcPr>
          <w:p w14:paraId="721AF3D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F09621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35.6%</w:t>
            </w:r>
          </w:p>
        </w:tc>
        <w:tc>
          <w:tcPr>
            <w:tcW w:w="291" w:type="pct"/>
            <w:tcBorders>
              <w:top w:val="nil"/>
              <w:left w:val="nil"/>
              <w:bottom w:val="nil"/>
              <w:right w:val="nil"/>
            </w:tcBorders>
            <w:shd w:val="clear" w:color="auto" w:fill="auto"/>
            <w:noWrap/>
            <w:vAlign w:val="bottom"/>
            <w:hideMark/>
          </w:tcPr>
          <w:p w14:paraId="7604BDE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36.1%</w:t>
            </w:r>
          </w:p>
        </w:tc>
        <w:tc>
          <w:tcPr>
            <w:tcW w:w="242" w:type="pct"/>
            <w:tcBorders>
              <w:top w:val="nil"/>
              <w:left w:val="nil"/>
              <w:bottom w:val="nil"/>
              <w:right w:val="single" w:sz="4" w:space="0" w:color="auto"/>
            </w:tcBorders>
            <w:shd w:val="clear" w:color="auto" w:fill="auto"/>
            <w:noWrap/>
            <w:vAlign w:val="bottom"/>
            <w:hideMark/>
          </w:tcPr>
          <w:p w14:paraId="2EF5636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79C503D1" w14:textId="77777777" w:rsidTr="0044059F">
        <w:trPr>
          <w:trHeight w:val="300"/>
        </w:trPr>
        <w:tc>
          <w:tcPr>
            <w:tcW w:w="1112" w:type="pct"/>
            <w:tcBorders>
              <w:top w:val="nil"/>
              <w:left w:val="nil"/>
              <w:bottom w:val="nil"/>
              <w:right w:val="nil"/>
            </w:tcBorders>
            <w:shd w:val="clear" w:color="auto" w:fill="auto"/>
            <w:noWrap/>
            <w:vAlign w:val="bottom"/>
            <w:hideMark/>
          </w:tcPr>
          <w:p w14:paraId="1CF23D7E"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80 - 89</w:t>
            </w:r>
          </w:p>
        </w:tc>
        <w:tc>
          <w:tcPr>
            <w:tcW w:w="707" w:type="pct"/>
            <w:gridSpan w:val="2"/>
            <w:tcBorders>
              <w:top w:val="nil"/>
              <w:left w:val="nil"/>
              <w:bottom w:val="nil"/>
              <w:right w:val="nil"/>
            </w:tcBorders>
            <w:shd w:val="clear" w:color="auto" w:fill="auto"/>
            <w:noWrap/>
            <w:vAlign w:val="bottom"/>
            <w:hideMark/>
          </w:tcPr>
          <w:p w14:paraId="142DBF0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48.2%</w:t>
            </w:r>
          </w:p>
        </w:tc>
        <w:tc>
          <w:tcPr>
            <w:tcW w:w="369" w:type="pct"/>
            <w:tcBorders>
              <w:top w:val="nil"/>
              <w:left w:val="nil"/>
              <w:bottom w:val="nil"/>
              <w:right w:val="nil"/>
            </w:tcBorders>
            <w:shd w:val="clear" w:color="auto" w:fill="auto"/>
            <w:noWrap/>
            <w:vAlign w:val="bottom"/>
            <w:hideMark/>
          </w:tcPr>
          <w:p w14:paraId="3A052DA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49.6%</w:t>
            </w:r>
          </w:p>
        </w:tc>
        <w:tc>
          <w:tcPr>
            <w:tcW w:w="242" w:type="pct"/>
            <w:tcBorders>
              <w:top w:val="nil"/>
              <w:left w:val="nil"/>
              <w:bottom w:val="nil"/>
              <w:right w:val="single" w:sz="4" w:space="0" w:color="auto"/>
            </w:tcBorders>
            <w:shd w:val="clear" w:color="auto" w:fill="auto"/>
            <w:noWrap/>
            <w:vAlign w:val="bottom"/>
            <w:hideMark/>
          </w:tcPr>
          <w:p w14:paraId="73B4500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76F14E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41.7%</w:t>
            </w:r>
          </w:p>
        </w:tc>
        <w:tc>
          <w:tcPr>
            <w:tcW w:w="291" w:type="pct"/>
            <w:tcBorders>
              <w:top w:val="nil"/>
              <w:left w:val="nil"/>
              <w:bottom w:val="nil"/>
              <w:right w:val="nil"/>
            </w:tcBorders>
            <w:shd w:val="clear" w:color="auto" w:fill="auto"/>
            <w:noWrap/>
            <w:vAlign w:val="bottom"/>
            <w:hideMark/>
          </w:tcPr>
          <w:p w14:paraId="2B80CAC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41.3%</w:t>
            </w:r>
          </w:p>
        </w:tc>
        <w:tc>
          <w:tcPr>
            <w:tcW w:w="242" w:type="pct"/>
            <w:tcBorders>
              <w:top w:val="nil"/>
              <w:left w:val="nil"/>
              <w:bottom w:val="nil"/>
              <w:right w:val="single" w:sz="4" w:space="0" w:color="auto"/>
            </w:tcBorders>
            <w:shd w:val="clear" w:color="auto" w:fill="auto"/>
            <w:noWrap/>
            <w:vAlign w:val="bottom"/>
            <w:hideMark/>
          </w:tcPr>
          <w:p w14:paraId="06F0731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517AF1D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49.6%</w:t>
            </w:r>
          </w:p>
        </w:tc>
        <w:tc>
          <w:tcPr>
            <w:tcW w:w="291" w:type="pct"/>
            <w:tcBorders>
              <w:top w:val="nil"/>
              <w:left w:val="nil"/>
              <w:bottom w:val="nil"/>
              <w:right w:val="nil"/>
            </w:tcBorders>
            <w:shd w:val="clear" w:color="auto" w:fill="auto"/>
            <w:noWrap/>
            <w:vAlign w:val="bottom"/>
            <w:hideMark/>
          </w:tcPr>
          <w:p w14:paraId="749BEA4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51.1%</w:t>
            </w:r>
          </w:p>
        </w:tc>
        <w:tc>
          <w:tcPr>
            <w:tcW w:w="242" w:type="pct"/>
            <w:tcBorders>
              <w:top w:val="nil"/>
              <w:left w:val="nil"/>
              <w:bottom w:val="nil"/>
              <w:right w:val="single" w:sz="4" w:space="0" w:color="auto"/>
            </w:tcBorders>
            <w:shd w:val="clear" w:color="auto" w:fill="auto"/>
            <w:noWrap/>
            <w:vAlign w:val="bottom"/>
            <w:hideMark/>
          </w:tcPr>
          <w:p w14:paraId="1C78136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58CBC9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43.9%</w:t>
            </w:r>
          </w:p>
        </w:tc>
        <w:tc>
          <w:tcPr>
            <w:tcW w:w="291" w:type="pct"/>
            <w:tcBorders>
              <w:top w:val="nil"/>
              <w:left w:val="nil"/>
              <w:bottom w:val="nil"/>
              <w:right w:val="nil"/>
            </w:tcBorders>
            <w:shd w:val="clear" w:color="auto" w:fill="auto"/>
            <w:noWrap/>
            <w:vAlign w:val="bottom"/>
            <w:hideMark/>
          </w:tcPr>
          <w:p w14:paraId="432AED5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44.8%</w:t>
            </w:r>
          </w:p>
        </w:tc>
        <w:tc>
          <w:tcPr>
            <w:tcW w:w="242" w:type="pct"/>
            <w:tcBorders>
              <w:top w:val="nil"/>
              <w:left w:val="nil"/>
              <w:bottom w:val="nil"/>
              <w:right w:val="single" w:sz="4" w:space="0" w:color="auto"/>
            </w:tcBorders>
            <w:shd w:val="clear" w:color="auto" w:fill="auto"/>
            <w:noWrap/>
            <w:vAlign w:val="bottom"/>
            <w:hideMark/>
          </w:tcPr>
          <w:p w14:paraId="60DF838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6183781E" w14:textId="77777777" w:rsidTr="0044059F">
        <w:trPr>
          <w:trHeight w:val="300"/>
        </w:trPr>
        <w:tc>
          <w:tcPr>
            <w:tcW w:w="1112" w:type="pct"/>
            <w:tcBorders>
              <w:top w:val="nil"/>
              <w:left w:val="nil"/>
              <w:bottom w:val="nil"/>
              <w:right w:val="nil"/>
            </w:tcBorders>
            <w:shd w:val="clear" w:color="auto" w:fill="auto"/>
            <w:noWrap/>
            <w:vAlign w:val="bottom"/>
            <w:hideMark/>
          </w:tcPr>
          <w:p w14:paraId="163050DB"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90+</w:t>
            </w:r>
          </w:p>
        </w:tc>
        <w:tc>
          <w:tcPr>
            <w:tcW w:w="707" w:type="pct"/>
            <w:gridSpan w:val="2"/>
            <w:tcBorders>
              <w:top w:val="nil"/>
              <w:left w:val="nil"/>
              <w:bottom w:val="nil"/>
              <w:right w:val="nil"/>
            </w:tcBorders>
            <w:shd w:val="clear" w:color="auto" w:fill="auto"/>
            <w:noWrap/>
            <w:vAlign w:val="bottom"/>
            <w:hideMark/>
          </w:tcPr>
          <w:p w14:paraId="569A92A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14.9%</w:t>
            </w:r>
          </w:p>
        </w:tc>
        <w:tc>
          <w:tcPr>
            <w:tcW w:w="369" w:type="pct"/>
            <w:tcBorders>
              <w:top w:val="nil"/>
              <w:left w:val="nil"/>
              <w:bottom w:val="nil"/>
              <w:right w:val="nil"/>
            </w:tcBorders>
            <w:shd w:val="clear" w:color="auto" w:fill="auto"/>
            <w:noWrap/>
            <w:vAlign w:val="bottom"/>
            <w:hideMark/>
          </w:tcPr>
          <w:p w14:paraId="02F8501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14.3%</w:t>
            </w:r>
          </w:p>
        </w:tc>
        <w:tc>
          <w:tcPr>
            <w:tcW w:w="242" w:type="pct"/>
            <w:tcBorders>
              <w:top w:val="nil"/>
              <w:left w:val="nil"/>
              <w:bottom w:val="nil"/>
              <w:right w:val="single" w:sz="4" w:space="0" w:color="auto"/>
            </w:tcBorders>
            <w:shd w:val="clear" w:color="auto" w:fill="auto"/>
            <w:noWrap/>
            <w:vAlign w:val="bottom"/>
            <w:hideMark/>
          </w:tcPr>
          <w:p w14:paraId="0B24F97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482264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6.7%</w:t>
            </w:r>
          </w:p>
        </w:tc>
        <w:tc>
          <w:tcPr>
            <w:tcW w:w="291" w:type="pct"/>
            <w:tcBorders>
              <w:top w:val="nil"/>
              <w:left w:val="nil"/>
              <w:bottom w:val="nil"/>
              <w:right w:val="nil"/>
            </w:tcBorders>
            <w:shd w:val="clear" w:color="auto" w:fill="auto"/>
            <w:noWrap/>
            <w:vAlign w:val="bottom"/>
            <w:hideMark/>
          </w:tcPr>
          <w:p w14:paraId="3003C53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6.1%</w:t>
            </w:r>
          </w:p>
        </w:tc>
        <w:tc>
          <w:tcPr>
            <w:tcW w:w="242" w:type="pct"/>
            <w:tcBorders>
              <w:top w:val="nil"/>
              <w:left w:val="nil"/>
              <w:bottom w:val="nil"/>
              <w:right w:val="single" w:sz="4" w:space="0" w:color="auto"/>
            </w:tcBorders>
            <w:shd w:val="clear" w:color="auto" w:fill="auto"/>
            <w:noWrap/>
            <w:vAlign w:val="bottom"/>
            <w:hideMark/>
          </w:tcPr>
          <w:p w14:paraId="1BB249A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21C06C5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14.8%</w:t>
            </w:r>
          </w:p>
        </w:tc>
        <w:tc>
          <w:tcPr>
            <w:tcW w:w="291" w:type="pct"/>
            <w:tcBorders>
              <w:top w:val="nil"/>
              <w:left w:val="nil"/>
              <w:bottom w:val="nil"/>
              <w:right w:val="nil"/>
            </w:tcBorders>
            <w:shd w:val="clear" w:color="auto" w:fill="auto"/>
            <w:noWrap/>
            <w:vAlign w:val="bottom"/>
            <w:hideMark/>
          </w:tcPr>
          <w:p w14:paraId="6E0A021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13.7%</w:t>
            </w:r>
          </w:p>
        </w:tc>
        <w:tc>
          <w:tcPr>
            <w:tcW w:w="242" w:type="pct"/>
            <w:tcBorders>
              <w:top w:val="nil"/>
              <w:left w:val="nil"/>
              <w:bottom w:val="nil"/>
              <w:right w:val="single" w:sz="4" w:space="0" w:color="auto"/>
            </w:tcBorders>
            <w:shd w:val="clear" w:color="auto" w:fill="auto"/>
            <w:noWrap/>
            <w:vAlign w:val="bottom"/>
            <w:hideMark/>
          </w:tcPr>
          <w:p w14:paraId="10FE12F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E2971C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8.9%</w:t>
            </w:r>
          </w:p>
        </w:tc>
        <w:tc>
          <w:tcPr>
            <w:tcW w:w="291" w:type="pct"/>
            <w:tcBorders>
              <w:top w:val="nil"/>
              <w:left w:val="nil"/>
              <w:bottom w:val="nil"/>
              <w:right w:val="nil"/>
            </w:tcBorders>
            <w:shd w:val="clear" w:color="auto" w:fill="auto"/>
            <w:noWrap/>
            <w:vAlign w:val="bottom"/>
            <w:hideMark/>
          </w:tcPr>
          <w:p w14:paraId="16FFC5E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8.8%</w:t>
            </w:r>
          </w:p>
        </w:tc>
        <w:tc>
          <w:tcPr>
            <w:tcW w:w="242" w:type="pct"/>
            <w:tcBorders>
              <w:top w:val="nil"/>
              <w:left w:val="nil"/>
              <w:bottom w:val="nil"/>
              <w:right w:val="single" w:sz="4" w:space="0" w:color="auto"/>
            </w:tcBorders>
            <w:shd w:val="clear" w:color="auto" w:fill="auto"/>
            <w:noWrap/>
            <w:vAlign w:val="bottom"/>
            <w:hideMark/>
          </w:tcPr>
          <w:p w14:paraId="6D57EF4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C59FB25" w14:textId="77777777" w:rsidTr="0044059F">
        <w:trPr>
          <w:trHeight w:val="300"/>
        </w:trPr>
        <w:tc>
          <w:tcPr>
            <w:tcW w:w="1112" w:type="pct"/>
            <w:tcBorders>
              <w:top w:val="nil"/>
              <w:left w:val="nil"/>
              <w:bottom w:val="nil"/>
              <w:right w:val="nil"/>
            </w:tcBorders>
            <w:shd w:val="clear" w:color="auto" w:fill="auto"/>
            <w:noWrap/>
            <w:vAlign w:val="bottom"/>
            <w:hideMark/>
          </w:tcPr>
          <w:p w14:paraId="0BA4048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Female (%)</w:t>
            </w:r>
          </w:p>
        </w:tc>
        <w:tc>
          <w:tcPr>
            <w:tcW w:w="707" w:type="pct"/>
            <w:gridSpan w:val="2"/>
            <w:tcBorders>
              <w:top w:val="nil"/>
              <w:left w:val="nil"/>
              <w:bottom w:val="nil"/>
              <w:right w:val="nil"/>
            </w:tcBorders>
            <w:shd w:val="clear" w:color="auto" w:fill="auto"/>
            <w:noWrap/>
            <w:vAlign w:val="bottom"/>
            <w:hideMark/>
          </w:tcPr>
          <w:p w14:paraId="2E4E323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82.3%</w:t>
            </w:r>
          </w:p>
        </w:tc>
        <w:tc>
          <w:tcPr>
            <w:tcW w:w="369" w:type="pct"/>
            <w:tcBorders>
              <w:top w:val="nil"/>
              <w:left w:val="nil"/>
              <w:bottom w:val="nil"/>
              <w:right w:val="nil"/>
            </w:tcBorders>
            <w:shd w:val="clear" w:color="auto" w:fill="auto"/>
            <w:noWrap/>
            <w:vAlign w:val="bottom"/>
            <w:hideMark/>
          </w:tcPr>
          <w:p w14:paraId="08E84D6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83.3%</w:t>
            </w:r>
          </w:p>
        </w:tc>
        <w:tc>
          <w:tcPr>
            <w:tcW w:w="242" w:type="pct"/>
            <w:tcBorders>
              <w:top w:val="nil"/>
              <w:left w:val="nil"/>
              <w:bottom w:val="nil"/>
              <w:right w:val="single" w:sz="4" w:space="0" w:color="auto"/>
            </w:tcBorders>
            <w:shd w:val="clear" w:color="auto" w:fill="auto"/>
            <w:noWrap/>
            <w:vAlign w:val="bottom"/>
            <w:hideMark/>
          </w:tcPr>
          <w:p w14:paraId="52EE4CD2" w14:textId="1EFAA9E4"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0.387</w:t>
            </w:r>
          </w:p>
        </w:tc>
        <w:tc>
          <w:tcPr>
            <w:tcW w:w="337" w:type="pct"/>
            <w:tcBorders>
              <w:top w:val="nil"/>
              <w:left w:val="nil"/>
              <w:bottom w:val="nil"/>
              <w:right w:val="nil"/>
            </w:tcBorders>
            <w:shd w:val="clear" w:color="auto" w:fill="auto"/>
            <w:noWrap/>
            <w:vAlign w:val="bottom"/>
            <w:hideMark/>
          </w:tcPr>
          <w:p w14:paraId="1B05FD6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78.4%</w:t>
            </w:r>
          </w:p>
        </w:tc>
        <w:tc>
          <w:tcPr>
            <w:tcW w:w="291" w:type="pct"/>
            <w:tcBorders>
              <w:top w:val="nil"/>
              <w:left w:val="nil"/>
              <w:bottom w:val="nil"/>
              <w:right w:val="nil"/>
            </w:tcBorders>
            <w:shd w:val="clear" w:color="auto" w:fill="auto"/>
            <w:noWrap/>
            <w:vAlign w:val="bottom"/>
            <w:hideMark/>
          </w:tcPr>
          <w:p w14:paraId="4FD79F4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80.7%</w:t>
            </w:r>
          </w:p>
        </w:tc>
        <w:tc>
          <w:tcPr>
            <w:tcW w:w="242" w:type="pct"/>
            <w:tcBorders>
              <w:top w:val="nil"/>
              <w:left w:val="nil"/>
              <w:bottom w:val="nil"/>
              <w:right w:val="single" w:sz="4" w:space="0" w:color="auto"/>
            </w:tcBorders>
            <w:shd w:val="clear" w:color="auto" w:fill="auto"/>
            <w:noWrap/>
            <w:vAlign w:val="bottom"/>
            <w:hideMark/>
          </w:tcPr>
          <w:p w14:paraId="1E06437B" w14:textId="53B41ADB"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0.013</w:t>
            </w:r>
          </w:p>
        </w:tc>
        <w:tc>
          <w:tcPr>
            <w:tcW w:w="295" w:type="pct"/>
            <w:tcBorders>
              <w:top w:val="nil"/>
              <w:left w:val="nil"/>
              <w:bottom w:val="nil"/>
              <w:right w:val="nil"/>
            </w:tcBorders>
            <w:shd w:val="clear" w:color="auto" w:fill="auto"/>
            <w:noWrap/>
            <w:vAlign w:val="bottom"/>
            <w:hideMark/>
          </w:tcPr>
          <w:p w14:paraId="7157939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82.3%</w:t>
            </w:r>
          </w:p>
        </w:tc>
        <w:tc>
          <w:tcPr>
            <w:tcW w:w="291" w:type="pct"/>
            <w:tcBorders>
              <w:top w:val="nil"/>
              <w:left w:val="nil"/>
              <w:bottom w:val="nil"/>
              <w:right w:val="nil"/>
            </w:tcBorders>
            <w:shd w:val="clear" w:color="auto" w:fill="auto"/>
            <w:noWrap/>
            <w:vAlign w:val="bottom"/>
            <w:hideMark/>
          </w:tcPr>
          <w:p w14:paraId="47C69DE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83.0%</w:t>
            </w:r>
          </w:p>
        </w:tc>
        <w:tc>
          <w:tcPr>
            <w:tcW w:w="242" w:type="pct"/>
            <w:tcBorders>
              <w:top w:val="nil"/>
              <w:left w:val="nil"/>
              <w:bottom w:val="nil"/>
              <w:right w:val="single" w:sz="4" w:space="0" w:color="auto"/>
            </w:tcBorders>
            <w:shd w:val="clear" w:color="auto" w:fill="auto"/>
            <w:noWrap/>
            <w:vAlign w:val="bottom"/>
            <w:hideMark/>
          </w:tcPr>
          <w:p w14:paraId="29A4F68C" w14:textId="7E64B508"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w:t>
            </w:r>
            <w:r>
              <w:rPr>
                <w:rFonts w:ascii="Calibri" w:hAnsi="Calibri" w:cs="Calibri"/>
                <w:color w:val="000000"/>
                <w:sz w:val="18"/>
                <w:szCs w:val="18"/>
                <w:lang w:eastAsia="en-US"/>
              </w:rPr>
              <w:t>80</w:t>
            </w:r>
          </w:p>
        </w:tc>
        <w:tc>
          <w:tcPr>
            <w:tcW w:w="337" w:type="pct"/>
            <w:tcBorders>
              <w:top w:val="nil"/>
              <w:left w:val="nil"/>
              <w:bottom w:val="nil"/>
              <w:right w:val="nil"/>
            </w:tcBorders>
            <w:shd w:val="clear" w:color="auto" w:fill="auto"/>
            <w:noWrap/>
            <w:vAlign w:val="bottom"/>
            <w:hideMark/>
          </w:tcPr>
          <w:p w14:paraId="389318D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79.2%</w:t>
            </w:r>
          </w:p>
        </w:tc>
        <w:tc>
          <w:tcPr>
            <w:tcW w:w="291" w:type="pct"/>
            <w:tcBorders>
              <w:top w:val="nil"/>
              <w:left w:val="nil"/>
              <w:bottom w:val="nil"/>
              <w:right w:val="nil"/>
            </w:tcBorders>
            <w:shd w:val="clear" w:color="auto" w:fill="auto"/>
            <w:noWrap/>
            <w:vAlign w:val="bottom"/>
            <w:hideMark/>
          </w:tcPr>
          <w:p w14:paraId="7E2D1B5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79.9%</w:t>
            </w:r>
          </w:p>
        </w:tc>
        <w:tc>
          <w:tcPr>
            <w:tcW w:w="242" w:type="pct"/>
            <w:tcBorders>
              <w:top w:val="nil"/>
              <w:left w:val="nil"/>
              <w:bottom w:val="nil"/>
              <w:right w:val="single" w:sz="4" w:space="0" w:color="auto"/>
            </w:tcBorders>
            <w:shd w:val="clear" w:color="auto" w:fill="auto"/>
            <w:noWrap/>
            <w:vAlign w:val="bottom"/>
            <w:hideMark/>
          </w:tcPr>
          <w:p w14:paraId="237DCE24" w14:textId="6836ECB5"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0.70</w:t>
            </w:r>
            <w:r>
              <w:rPr>
                <w:rFonts w:ascii="Calibri" w:hAnsi="Calibri" w:cs="Calibri"/>
                <w:color w:val="000000"/>
                <w:sz w:val="18"/>
                <w:szCs w:val="18"/>
                <w:lang w:eastAsia="en-US"/>
              </w:rPr>
              <w:t>4</w:t>
            </w:r>
          </w:p>
        </w:tc>
      </w:tr>
      <w:tr w:rsidR="0044059F" w:rsidRPr="0044059F" w14:paraId="6BF1B3DE" w14:textId="77777777" w:rsidTr="0044059F">
        <w:trPr>
          <w:trHeight w:val="300"/>
        </w:trPr>
        <w:tc>
          <w:tcPr>
            <w:tcW w:w="1112" w:type="pct"/>
            <w:tcBorders>
              <w:top w:val="nil"/>
              <w:left w:val="nil"/>
              <w:bottom w:val="nil"/>
              <w:right w:val="nil"/>
            </w:tcBorders>
            <w:shd w:val="clear" w:color="auto" w:fill="auto"/>
            <w:noWrap/>
            <w:vAlign w:val="bottom"/>
            <w:hideMark/>
          </w:tcPr>
          <w:p w14:paraId="1304798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Census Division (%)</w:t>
            </w:r>
          </w:p>
        </w:tc>
        <w:tc>
          <w:tcPr>
            <w:tcW w:w="707" w:type="pct"/>
            <w:gridSpan w:val="2"/>
            <w:tcBorders>
              <w:top w:val="nil"/>
              <w:left w:val="nil"/>
              <w:bottom w:val="nil"/>
              <w:right w:val="nil"/>
            </w:tcBorders>
            <w:shd w:val="clear" w:color="auto" w:fill="auto"/>
            <w:noWrap/>
            <w:vAlign w:val="bottom"/>
            <w:hideMark/>
          </w:tcPr>
          <w:p w14:paraId="2DB72E00"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676C7670"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708889E" w14:textId="7D16045F"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w:t>
            </w:r>
            <w:r>
              <w:rPr>
                <w:rFonts w:ascii="Calibri" w:hAnsi="Calibri" w:cs="Calibri"/>
                <w:color w:val="000000"/>
                <w:sz w:val="18"/>
                <w:szCs w:val="18"/>
                <w:lang w:eastAsia="en-US"/>
              </w:rPr>
              <w:t>80</w:t>
            </w:r>
          </w:p>
        </w:tc>
        <w:tc>
          <w:tcPr>
            <w:tcW w:w="337" w:type="pct"/>
            <w:tcBorders>
              <w:top w:val="nil"/>
              <w:left w:val="nil"/>
              <w:bottom w:val="nil"/>
              <w:right w:val="nil"/>
            </w:tcBorders>
            <w:shd w:val="clear" w:color="auto" w:fill="auto"/>
            <w:noWrap/>
            <w:vAlign w:val="bottom"/>
            <w:hideMark/>
          </w:tcPr>
          <w:p w14:paraId="2D6DFEC0"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6FD2CE0F"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5380C24" w14:textId="20C57F5F"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w:t>
            </w:r>
            <w:r>
              <w:rPr>
                <w:rFonts w:ascii="Calibri" w:hAnsi="Calibri" w:cs="Calibri"/>
                <w:color w:val="000000"/>
                <w:sz w:val="18"/>
                <w:szCs w:val="18"/>
                <w:lang w:eastAsia="en-US"/>
              </w:rPr>
              <w:t>980</w:t>
            </w:r>
          </w:p>
        </w:tc>
        <w:tc>
          <w:tcPr>
            <w:tcW w:w="295" w:type="pct"/>
            <w:tcBorders>
              <w:top w:val="nil"/>
              <w:left w:val="nil"/>
              <w:bottom w:val="nil"/>
              <w:right w:val="nil"/>
            </w:tcBorders>
            <w:shd w:val="clear" w:color="auto" w:fill="auto"/>
            <w:noWrap/>
            <w:vAlign w:val="bottom"/>
            <w:hideMark/>
          </w:tcPr>
          <w:p w14:paraId="523669C3"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0C844FE2"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AF9561C" w14:textId="0CA44CB8" w:rsidR="0044059F" w:rsidRPr="0044059F" w:rsidRDefault="0044059F" w:rsidP="0044059F">
            <w:pPr>
              <w:spacing w:after="0"/>
              <w:jc w:val="right"/>
              <w:rPr>
                <w:rFonts w:ascii="Calibri" w:hAnsi="Calibri" w:cs="Calibri"/>
                <w:color w:val="000000"/>
                <w:sz w:val="18"/>
                <w:szCs w:val="18"/>
                <w:lang w:eastAsia="en-US"/>
              </w:rPr>
            </w:pPr>
            <w:r>
              <w:rPr>
                <w:rFonts w:ascii="Calibri" w:hAnsi="Calibri" w:cs="Calibri"/>
                <w:color w:val="000000"/>
                <w:sz w:val="18"/>
                <w:szCs w:val="18"/>
                <w:lang w:eastAsia="en-US"/>
              </w:rPr>
              <w:t>1.000</w:t>
            </w:r>
          </w:p>
        </w:tc>
        <w:tc>
          <w:tcPr>
            <w:tcW w:w="337" w:type="pct"/>
            <w:tcBorders>
              <w:top w:val="nil"/>
              <w:left w:val="nil"/>
              <w:bottom w:val="nil"/>
              <w:right w:val="nil"/>
            </w:tcBorders>
            <w:shd w:val="clear" w:color="auto" w:fill="auto"/>
            <w:noWrap/>
            <w:vAlign w:val="bottom"/>
            <w:hideMark/>
          </w:tcPr>
          <w:p w14:paraId="5A69552D"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15F5737F"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45C81F1" w14:textId="1E23CE9F"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0.993</w:t>
            </w:r>
          </w:p>
        </w:tc>
      </w:tr>
      <w:tr w:rsidR="0044059F" w:rsidRPr="0044059F" w14:paraId="299853E9" w14:textId="77777777" w:rsidTr="0044059F">
        <w:trPr>
          <w:trHeight w:val="300"/>
        </w:trPr>
        <w:tc>
          <w:tcPr>
            <w:tcW w:w="1112" w:type="pct"/>
            <w:tcBorders>
              <w:top w:val="nil"/>
              <w:left w:val="nil"/>
              <w:bottom w:val="nil"/>
              <w:right w:val="nil"/>
            </w:tcBorders>
            <w:shd w:val="clear" w:color="auto" w:fill="auto"/>
            <w:noWrap/>
            <w:vAlign w:val="bottom"/>
            <w:hideMark/>
          </w:tcPr>
          <w:p w14:paraId="328E4A21"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EAST_NORTH_CENTRAL</w:t>
            </w:r>
          </w:p>
        </w:tc>
        <w:tc>
          <w:tcPr>
            <w:tcW w:w="707" w:type="pct"/>
            <w:gridSpan w:val="2"/>
            <w:tcBorders>
              <w:top w:val="nil"/>
              <w:left w:val="nil"/>
              <w:bottom w:val="nil"/>
              <w:right w:val="nil"/>
            </w:tcBorders>
            <w:shd w:val="clear" w:color="auto" w:fill="auto"/>
            <w:noWrap/>
            <w:vAlign w:val="bottom"/>
            <w:hideMark/>
          </w:tcPr>
          <w:p w14:paraId="17BE9ED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24.1%</w:t>
            </w:r>
          </w:p>
        </w:tc>
        <w:tc>
          <w:tcPr>
            <w:tcW w:w="369" w:type="pct"/>
            <w:tcBorders>
              <w:top w:val="nil"/>
              <w:left w:val="nil"/>
              <w:bottom w:val="nil"/>
              <w:right w:val="nil"/>
            </w:tcBorders>
            <w:shd w:val="clear" w:color="auto" w:fill="auto"/>
            <w:noWrap/>
            <w:vAlign w:val="bottom"/>
            <w:hideMark/>
          </w:tcPr>
          <w:p w14:paraId="06E0898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25.4%</w:t>
            </w:r>
          </w:p>
        </w:tc>
        <w:tc>
          <w:tcPr>
            <w:tcW w:w="242" w:type="pct"/>
            <w:tcBorders>
              <w:top w:val="nil"/>
              <w:left w:val="nil"/>
              <w:bottom w:val="nil"/>
              <w:right w:val="single" w:sz="4" w:space="0" w:color="auto"/>
            </w:tcBorders>
            <w:shd w:val="clear" w:color="auto" w:fill="auto"/>
            <w:noWrap/>
            <w:vAlign w:val="bottom"/>
            <w:hideMark/>
          </w:tcPr>
          <w:p w14:paraId="6F09D23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6D1982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20.4%</w:t>
            </w:r>
          </w:p>
        </w:tc>
        <w:tc>
          <w:tcPr>
            <w:tcW w:w="291" w:type="pct"/>
            <w:tcBorders>
              <w:top w:val="nil"/>
              <w:left w:val="nil"/>
              <w:bottom w:val="nil"/>
              <w:right w:val="nil"/>
            </w:tcBorders>
            <w:shd w:val="clear" w:color="auto" w:fill="auto"/>
            <w:noWrap/>
            <w:vAlign w:val="bottom"/>
            <w:hideMark/>
          </w:tcPr>
          <w:p w14:paraId="11C842F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20.8%</w:t>
            </w:r>
          </w:p>
        </w:tc>
        <w:tc>
          <w:tcPr>
            <w:tcW w:w="242" w:type="pct"/>
            <w:tcBorders>
              <w:top w:val="nil"/>
              <w:left w:val="nil"/>
              <w:bottom w:val="nil"/>
              <w:right w:val="single" w:sz="4" w:space="0" w:color="auto"/>
            </w:tcBorders>
            <w:shd w:val="clear" w:color="auto" w:fill="auto"/>
            <w:noWrap/>
            <w:vAlign w:val="bottom"/>
            <w:hideMark/>
          </w:tcPr>
          <w:p w14:paraId="4ABE4CF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019C231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21.4%</w:t>
            </w:r>
          </w:p>
        </w:tc>
        <w:tc>
          <w:tcPr>
            <w:tcW w:w="291" w:type="pct"/>
            <w:tcBorders>
              <w:top w:val="nil"/>
              <w:left w:val="nil"/>
              <w:bottom w:val="nil"/>
              <w:right w:val="nil"/>
            </w:tcBorders>
            <w:shd w:val="clear" w:color="auto" w:fill="auto"/>
            <w:noWrap/>
            <w:vAlign w:val="bottom"/>
            <w:hideMark/>
          </w:tcPr>
          <w:p w14:paraId="5DF9C32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21.4%</w:t>
            </w:r>
          </w:p>
        </w:tc>
        <w:tc>
          <w:tcPr>
            <w:tcW w:w="242" w:type="pct"/>
            <w:tcBorders>
              <w:top w:val="nil"/>
              <w:left w:val="nil"/>
              <w:bottom w:val="nil"/>
              <w:right w:val="single" w:sz="4" w:space="0" w:color="auto"/>
            </w:tcBorders>
            <w:shd w:val="clear" w:color="auto" w:fill="auto"/>
            <w:noWrap/>
            <w:vAlign w:val="bottom"/>
            <w:hideMark/>
          </w:tcPr>
          <w:p w14:paraId="51C16F3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4D3619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23.1%</w:t>
            </w:r>
          </w:p>
        </w:tc>
        <w:tc>
          <w:tcPr>
            <w:tcW w:w="291" w:type="pct"/>
            <w:tcBorders>
              <w:top w:val="nil"/>
              <w:left w:val="nil"/>
              <w:bottom w:val="nil"/>
              <w:right w:val="nil"/>
            </w:tcBorders>
            <w:shd w:val="clear" w:color="auto" w:fill="auto"/>
            <w:noWrap/>
            <w:vAlign w:val="bottom"/>
            <w:hideMark/>
          </w:tcPr>
          <w:p w14:paraId="3C5315C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22.6%</w:t>
            </w:r>
          </w:p>
        </w:tc>
        <w:tc>
          <w:tcPr>
            <w:tcW w:w="242" w:type="pct"/>
            <w:tcBorders>
              <w:top w:val="nil"/>
              <w:left w:val="nil"/>
              <w:bottom w:val="nil"/>
              <w:right w:val="single" w:sz="4" w:space="0" w:color="auto"/>
            </w:tcBorders>
            <w:shd w:val="clear" w:color="auto" w:fill="auto"/>
            <w:noWrap/>
            <w:vAlign w:val="bottom"/>
            <w:hideMark/>
          </w:tcPr>
          <w:p w14:paraId="5A7730C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3FDF9DAD" w14:textId="77777777" w:rsidTr="0044059F">
        <w:trPr>
          <w:trHeight w:val="300"/>
        </w:trPr>
        <w:tc>
          <w:tcPr>
            <w:tcW w:w="1112" w:type="pct"/>
            <w:tcBorders>
              <w:top w:val="nil"/>
              <w:left w:val="nil"/>
              <w:bottom w:val="nil"/>
              <w:right w:val="nil"/>
            </w:tcBorders>
            <w:shd w:val="clear" w:color="auto" w:fill="auto"/>
            <w:noWrap/>
            <w:vAlign w:val="bottom"/>
            <w:hideMark/>
          </w:tcPr>
          <w:p w14:paraId="53D7DBE6"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EAST_SOUTH_CENTRAL</w:t>
            </w:r>
          </w:p>
        </w:tc>
        <w:tc>
          <w:tcPr>
            <w:tcW w:w="707" w:type="pct"/>
            <w:gridSpan w:val="2"/>
            <w:tcBorders>
              <w:top w:val="nil"/>
              <w:left w:val="nil"/>
              <w:bottom w:val="nil"/>
              <w:right w:val="nil"/>
            </w:tcBorders>
            <w:shd w:val="clear" w:color="auto" w:fill="auto"/>
            <w:noWrap/>
            <w:vAlign w:val="bottom"/>
            <w:hideMark/>
          </w:tcPr>
          <w:p w14:paraId="1B1BE09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6.3%</w:t>
            </w:r>
          </w:p>
        </w:tc>
        <w:tc>
          <w:tcPr>
            <w:tcW w:w="369" w:type="pct"/>
            <w:tcBorders>
              <w:top w:val="nil"/>
              <w:left w:val="nil"/>
              <w:bottom w:val="nil"/>
              <w:right w:val="nil"/>
            </w:tcBorders>
            <w:shd w:val="clear" w:color="auto" w:fill="auto"/>
            <w:noWrap/>
            <w:vAlign w:val="bottom"/>
            <w:hideMark/>
          </w:tcPr>
          <w:p w14:paraId="1784F3F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5.8%</w:t>
            </w:r>
          </w:p>
        </w:tc>
        <w:tc>
          <w:tcPr>
            <w:tcW w:w="242" w:type="pct"/>
            <w:tcBorders>
              <w:top w:val="nil"/>
              <w:left w:val="nil"/>
              <w:bottom w:val="nil"/>
              <w:right w:val="single" w:sz="4" w:space="0" w:color="auto"/>
            </w:tcBorders>
            <w:shd w:val="clear" w:color="auto" w:fill="auto"/>
            <w:noWrap/>
            <w:vAlign w:val="bottom"/>
            <w:hideMark/>
          </w:tcPr>
          <w:p w14:paraId="62908AD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E2B762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w:t>
            </w:r>
          </w:p>
        </w:tc>
        <w:tc>
          <w:tcPr>
            <w:tcW w:w="291" w:type="pct"/>
            <w:tcBorders>
              <w:top w:val="nil"/>
              <w:left w:val="nil"/>
              <w:bottom w:val="nil"/>
              <w:right w:val="nil"/>
            </w:tcBorders>
            <w:shd w:val="clear" w:color="auto" w:fill="auto"/>
            <w:noWrap/>
            <w:vAlign w:val="bottom"/>
            <w:hideMark/>
          </w:tcPr>
          <w:p w14:paraId="4461AA4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w:t>
            </w:r>
          </w:p>
        </w:tc>
        <w:tc>
          <w:tcPr>
            <w:tcW w:w="242" w:type="pct"/>
            <w:tcBorders>
              <w:top w:val="nil"/>
              <w:left w:val="nil"/>
              <w:bottom w:val="nil"/>
              <w:right w:val="single" w:sz="4" w:space="0" w:color="auto"/>
            </w:tcBorders>
            <w:shd w:val="clear" w:color="auto" w:fill="auto"/>
            <w:noWrap/>
            <w:vAlign w:val="bottom"/>
            <w:hideMark/>
          </w:tcPr>
          <w:p w14:paraId="71CDA73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7995429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6.1%</w:t>
            </w:r>
          </w:p>
        </w:tc>
        <w:tc>
          <w:tcPr>
            <w:tcW w:w="291" w:type="pct"/>
            <w:tcBorders>
              <w:top w:val="nil"/>
              <w:left w:val="nil"/>
              <w:bottom w:val="nil"/>
              <w:right w:val="nil"/>
            </w:tcBorders>
            <w:shd w:val="clear" w:color="auto" w:fill="auto"/>
            <w:noWrap/>
            <w:vAlign w:val="bottom"/>
            <w:hideMark/>
          </w:tcPr>
          <w:p w14:paraId="6E27C77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w:t>
            </w:r>
          </w:p>
        </w:tc>
        <w:tc>
          <w:tcPr>
            <w:tcW w:w="242" w:type="pct"/>
            <w:tcBorders>
              <w:top w:val="nil"/>
              <w:left w:val="nil"/>
              <w:bottom w:val="nil"/>
              <w:right w:val="single" w:sz="4" w:space="0" w:color="auto"/>
            </w:tcBorders>
            <w:shd w:val="clear" w:color="auto" w:fill="auto"/>
            <w:noWrap/>
            <w:vAlign w:val="bottom"/>
            <w:hideMark/>
          </w:tcPr>
          <w:p w14:paraId="071BCD6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0A4235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8.0%</w:t>
            </w:r>
          </w:p>
        </w:tc>
        <w:tc>
          <w:tcPr>
            <w:tcW w:w="291" w:type="pct"/>
            <w:tcBorders>
              <w:top w:val="nil"/>
              <w:left w:val="nil"/>
              <w:bottom w:val="nil"/>
              <w:right w:val="nil"/>
            </w:tcBorders>
            <w:shd w:val="clear" w:color="auto" w:fill="auto"/>
            <w:noWrap/>
            <w:vAlign w:val="bottom"/>
            <w:hideMark/>
          </w:tcPr>
          <w:p w14:paraId="43ED880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7.0%</w:t>
            </w:r>
          </w:p>
        </w:tc>
        <w:tc>
          <w:tcPr>
            <w:tcW w:w="242" w:type="pct"/>
            <w:tcBorders>
              <w:top w:val="nil"/>
              <w:left w:val="nil"/>
              <w:bottom w:val="nil"/>
              <w:right w:val="single" w:sz="4" w:space="0" w:color="auto"/>
            </w:tcBorders>
            <w:shd w:val="clear" w:color="auto" w:fill="auto"/>
            <w:noWrap/>
            <w:vAlign w:val="bottom"/>
            <w:hideMark/>
          </w:tcPr>
          <w:p w14:paraId="0A88DEF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09B8945F" w14:textId="77777777" w:rsidTr="0044059F">
        <w:trPr>
          <w:trHeight w:val="300"/>
        </w:trPr>
        <w:tc>
          <w:tcPr>
            <w:tcW w:w="1112" w:type="pct"/>
            <w:tcBorders>
              <w:top w:val="nil"/>
              <w:left w:val="nil"/>
              <w:bottom w:val="nil"/>
              <w:right w:val="nil"/>
            </w:tcBorders>
            <w:shd w:val="clear" w:color="auto" w:fill="auto"/>
            <w:noWrap/>
            <w:vAlign w:val="bottom"/>
            <w:hideMark/>
          </w:tcPr>
          <w:p w14:paraId="00B0C2CE"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MIDDLE_ATLANTIC</w:t>
            </w:r>
          </w:p>
        </w:tc>
        <w:tc>
          <w:tcPr>
            <w:tcW w:w="707" w:type="pct"/>
            <w:gridSpan w:val="2"/>
            <w:tcBorders>
              <w:top w:val="nil"/>
              <w:left w:val="nil"/>
              <w:bottom w:val="nil"/>
              <w:right w:val="nil"/>
            </w:tcBorders>
            <w:shd w:val="clear" w:color="auto" w:fill="auto"/>
            <w:noWrap/>
            <w:vAlign w:val="bottom"/>
            <w:hideMark/>
          </w:tcPr>
          <w:p w14:paraId="182DFAD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10.5%</w:t>
            </w:r>
          </w:p>
        </w:tc>
        <w:tc>
          <w:tcPr>
            <w:tcW w:w="369" w:type="pct"/>
            <w:tcBorders>
              <w:top w:val="nil"/>
              <w:left w:val="nil"/>
              <w:bottom w:val="nil"/>
              <w:right w:val="nil"/>
            </w:tcBorders>
            <w:shd w:val="clear" w:color="auto" w:fill="auto"/>
            <w:noWrap/>
            <w:vAlign w:val="bottom"/>
            <w:hideMark/>
          </w:tcPr>
          <w:p w14:paraId="36FD68D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10.4%</w:t>
            </w:r>
          </w:p>
        </w:tc>
        <w:tc>
          <w:tcPr>
            <w:tcW w:w="242" w:type="pct"/>
            <w:tcBorders>
              <w:top w:val="nil"/>
              <w:left w:val="nil"/>
              <w:bottom w:val="nil"/>
              <w:right w:val="single" w:sz="4" w:space="0" w:color="auto"/>
            </w:tcBorders>
            <w:shd w:val="clear" w:color="auto" w:fill="auto"/>
            <w:noWrap/>
            <w:vAlign w:val="bottom"/>
            <w:hideMark/>
          </w:tcPr>
          <w:p w14:paraId="32ACF2A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FE6360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w:t>
            </w:r>
          </w:p>
        </w:tc>
        <w:tc>
          <w:tcPr>
            <w:tcW w:w="291" w:type="pct"/>
            <w:tcBorders>
              <w:top w:val="nil"/>
              <w:left w:val="nil"/>
              <w:bottom w:val="nil"/>
              <w:right w:val="nil"/>
            </w:tcBorders>
            <w:shd w:val="clear" w:color="auto" w:fill="auto"/>
            <w:noWrap/>
            <w:vAlign w:val="bottom"/>
            <w:hideMark/>
          </w:tcPr>
          <w:p w14:paraId="2DB3955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7.6%</w:t>
            </w:r>
          </w:p>
        </w:tc>
        <w:tc>
          <w:tcPr>
            <w:tcW w:w="242" w:type="pct"/>
            <w:tcBorders>
              <w:top w:val="nil"/>
              <w:left w:val="nil"/>
              <w:bottom w:val="nil"/>
              <w:right w:val="single" w:sz="4" w:space="0" w:color="auto"/>
            </w:tcBorders>
            <w:shd w:val="clear" w:color="auto" w:fill="auto"/>
            <w:noWrap/>
            <w:vAlign w:val="bottom"/>
            <w:hideMark/>
          </w:tcPr>
          <w:p w14:paraId="5D74180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49CB531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8.6%</w:t>
            </w:r>
          </w:p>
        </w:tc>
        <w:tc>
          <w:tcPr>
            <w:tcW w:w="291" w:type="pct"/>
            <w:tcBorders>
              <w:top w:val="nil"/>
              <w:left w:val="nil"/>
              <w:bottom w:val="nil"/>
              <w:right w:val="nil"/>
            </w:tcBorders>
            <w:shd w:val="clear" w:color="auto" w:fill="auto"/>
            <w:noWrap/>
            <w:vAlign w:val="bottom"/>
            <w:hideMark/>
          </w:tcPr>
          <w:p w14:paraId="18402F5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9.0%</w:t>
            </w:r>
          </w:p>
        </w:tc>
        <w:tc>
          <w:tcPr>
            <w:tcW w:w="242" w:type="pct"/>
            <w:tcBorders>
              <w:top w:val="nil"/>
              <w:left w:val="nil"/>
              <w:bottom w:val="nil"/>
              <w:right w:val="single" w:sz="4" w:space="0" w:color="auto"/>
            </w:tcBorders>
            <w:shd w:val="clear" w:color="auto" w:fill="auto"/>
            <w:noWrap/>
            <w:vAlign w:val="bottom"/>
            <w:hideMark/>
          </w:tcPr>
          <w:p w14:paraId="7164F21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8A88C9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w:t>
            </w:r>
          </w:p>
        </w:tc>
        <w:tc>
          <w:tcPr>
            <w:tcW w:w="291" w:type="pct"/>
            <w:tcBorders>
              <w:top w:val="nil"/>
              <w:left w:val="nil"/>
              <w:bottom w:val="nil"/>
              <w:right w:val="nil"/>
            </w:tcBorders>
            <w:shd w:val="clear" w:color="auto" w:fill="auto"/>
            <w:noWrap/>
            <w:vAlign w:val="bottom"/>
            <w:hideMark/>
          </w:tcPr>
          <w:p w14:paraId="052638B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4.8%</w:t>
            </w:r>
          </w:p>
        </w:tc>
        <w:tc>
          <w:tcPr>
            <w:tcW w:w="242" w:type="pct"/>
            <w:tcBorders>
              <w:top w:val="nil"/>
              <w:left w:val="nil"/>
              <w:bottom w:val="nil"/>
              <w:right w:val="single" w:sz="4" w:space="0" w:color="auto"/>
            </w:tcBorders>
            <w:shd w:val="clear" w:color="auto" w:fill="auto"/>
            <w:noWrap/>
            <w:vAlign w:val="bottom"/>
            <w:hideMark/>
          </w:tcPr>
          <w:p w14:paraId="265AF01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4B6CFEE4" w14:textId="77777777" w:rsidTr="0044059F">
        <w:trPr>
          <w:trHeight w:val="300"/>
        </w:trPr>
        <w:tc>
          <w:tcPr>
            <w:tcW w:w="1112" w:type="pct"/>
            <w:tcBorders>
              <w:top w:val="nil"/>
              <w:left w:val="nil"/>
              <w:bottom w:val="nil"/>
              <w:right w:val="nil"/>
            </w:tcBorders>
            <w:shd w:val="clear" w:color="auto" w:fill="auto"/>
            <w:noWrap/>
            <w:vAlign w:val="bottom"/>
            <w:hideMark/>
          </w:tcPr>
          <w:p w14:paraId="0920ABF9"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MOUNTAIN</w:t>
            </w:r>
          </w:p>
        </w:tc>
        <w:tc>
          <w:tcPr>
            <w:tcW w:w="707" w:type="pct"/>
            <w:gridSpan w:val="2"/>
            <w:tcBorders>
              <w:top w:val="nil"/>
              <w:left w:val="nil"/>
              <w:bottom w:val="nil"/>
              <w:right w:val="nil"/>
            </w:tcBorders>
            <w:shd w:val="clear" w:color="auto" w:fill="auto"/>
            <w:noWrap/>
            <w:vAlign w:val="bottom"/>
            <w:hideMark/>
          </w:tcPr>
          <w:p w14:paraId="4572306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3.0%</w:t>
            </w:r>
          </w:p>
        </w:tc>
        <w:tc>
          <w:tcPr>
            <w:tcW w:w="369" w:type="pct"/>
            <w:tcBorders>
              <w:top w:val="nil"/>
              <w:left w:val="nil"/>
              <w:bottom w:val="nil"/>
              <w:right w:val="nil"/>
            </w:tcBorders>
            <w:shd w:val="clear" w:color="auto" w:fill="auto"/>
            <w:noWrap/>
            <w:vAlign w:val="bottom"/>
            <w:hideMark/>
          </w:tcPr>
          <w:p w14:paraId="48B8653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3.2%</w:t>
            </w:r>
          </w:p>
        </w:tc>
        <w:tc>
          <w:tcPr>
            <w:tcW w:w="242" w:type="pct"/>
            <w:tcBorders>
              <w:top w:val="nil"/>
              <w:left w:val="nil"/>
              <w:bottom w:val="nil"/>
              <w:right w:val="single" w:sz="4" w:space="0" w:color="auto"/>
            </w:tcBorders>
            <w:shd w:val="clear" w:color="auto" w:fill="auto"/>
            <w:noWrap/>
            <w:vAlign w:val="bottom"/>
            <w:hideMark/>
          </w:tcPr>
          <w:p w14:paraId="650FE1D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D5806C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3.2%</w:t>
            </w:r>
          </w:p>
        </w:tc>
        <w:tc>
          <w:tcPr>
            <w:tcW w:w="291" w:type="pct"/>
            <w:tcBorders>
              <w:top w:val="nil"/>
              <w:left w:val="nil"/>
              <w:bottom w:val="nil"/>
              <w:right w:val="nil"/>
            </w:tcBorders>
            <w:shd w:val="clear" w:color="auto" w:fill="auto"/>
            <w:noWrap/>
            <w:vAlign w:val="bottom"/>
            <w:hideMark/>
          </w:tcPr>
          <w:p w14:paraId="25086B3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3.2%</w:t>
            </w:r>
          </w:p>
        </w:tc>
        <w:tc>
          <w:tcPr>
            <w:tcW w:w="242" w:type="pct"/>
            <w:tcBorders>
              <w:top w:val="nil"/>
              <w:left w:val="nil"/>
              <w:bottom w:val="nil"/>
              <w:right w:val="single" w:sz="4" w:space="0" w:color="auto"/>
            </w:tcBorders>
            <w:shd w:val="clear" w:color="auto" w:fill="auto"/>
            <w:noWrap/>
            <w:vAlign w:val="bottom"/>
            <w:hideMark/>
          </w:tcPr>
          <w:p w14:paraId="4F06DB6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551CBD6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4.5%</w:t>
            </w:r>
          </w:p>
        </w:tc>
        <w:tc>
          <w:tcPr>
            <w:tcW w:w="291" w:type="pct"/>
            <w:tcBorders>
              <w:top w:val="nil"/>
              <w:left w:val="nil"/>
              <w:bottom w:val="nil"/>
              <w:right w:val="nil"/>
            </w:tcBorders>
            <w:shd w:val="clear" w:color="auto" w:fill="auto"/>
            <w:noWrap/>
            <w:vAlign w:val="bottom"/>
            <w:hideMark/>
          </w:tcPr>
          <w:p w14:paraId="4A9A622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w:t>
            </w:r>
          </w:p>
        </w:tc>
        <w:tc>
          <w:tcPr>
            <w:tcW w:w="242" w:type="pct"/>
            <w:tcBorders>
              <w:top w:val="nil"/>
              <w:left w:val="nil"/>
              <w:bottom w:val="nil"/>
              <w:right w:val="single" w:sz="4" w:space="0" w:color="auto"/>
            </w:tcBorders>
            <w:shd w:val="clear" w:color="auto" w:fill="auto"/>
            <w:noWrap/>
            <w:vAlign w:val="bottom"/>
            <w:hideMark/>
          </w:tcPr>
          <w:p w14:paraId="1FB4F85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CA810F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5.1%</w:t>
            </w:r>
          </w:p>
        </w:tc>
        <w:tc>
          <w:tcPr>
            <w:tcW w:w="291" w:type="pct"/>
            <w:tcBorders>
              <w:top w:val="nil"/>
              <w:left w:val="nil"/>
              <w:bottom w:val="nil"/>
              <w:right w:val="nil"/>
            </w:tcBorders>
            <w:shd w:val="clear" w:color="auto" w:fill="auto"/>
            <w:noWrap/>
            <w:vAlign w:val="bottom"/>
            <w:hideMark/>
          </w:tcPr>
          <w:p w14:paraId="569F10F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5.0%</w:t>
            </w:r>
          </w:p>
        </w:tc>
        <w:tc>
          <w:tcPr>
            <w:tcW w:w="242" w:type="pct"/>
            <w:tcBorders>
              <w:top w:val="nil"/>
              <w:left w:val="nil"/>
              <w:bottom w:val="nil"/>
              <w:right w:val="single" w:sz="4" w:space="0" w:color="auto"/>
            </w:tcBorders>
            <w:shd w:val="clear" w:color="auto" w:fill="auto"/>
            <w:noWrap/>
            <w:vAlign w:val="bottom"/>
            <w:hideMark/>
          </w:tcPr>
          <w:p w14:paraId="2F5ADA14"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BB47903" w14:textId="77777777" w:rsidTr="0044059F">
        <w:trPr>
          <w:trHeight w:val="300"/>
        </w:trPr>
        <w:tc>
          <w:tcPr>
            <w:tcW w:w="1112" w:type="pct"/>
            <w:tcBorders>
              <w:top w:val="nil"/>
              <w:left w:val="nil"/>
              <w:bottom w:val="nil"/>
              <w:right w:val="nil"/>
            </w:tcBorders>
            <w:shd w:val="clear" w:color="auto" w:fill="auto"/>
            <w:noWrap/>
            <w:vAlign w:val="bottom"/>
            <w:hideMark/>
          </w:tcPr>
          <w:p w14:paraId="2F7B5190"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NEW_ENGLAND</w:t>
            </w:r>
          </w:p>
        </w:tc>
        <w:tc>
          <w:tcPr>
            <w:tcW w:w="707" w:type="pct"/>
            <w:gridSpan w:val="2"/>
            <w:tcBorders>
              <w:top w:val="nil"/>
              <w:left w:val="nil"/>
              <w:bottom w:val="nil"/>
              <w:right w:val="nil"/>
            </w:tcBorders>
            <w:shd w:val="clear" w:color="auto" w:fill="auto"/>
            <w:noWrap/>
            <w:vAlign w:val="bottom"/>
            <w:hideMark/>
          </w:tcPr>
          <w:p w14:paraId="28F4C7E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5.4%</w:t>
            </w:r>
          </w:p>
        </w:tc>
        <w:tc>
          <w:tcPr>
            <w:tcW w:w="369" w:type="pct"/>
            <w:tcBorders>
              <w:top w:val="nil"/>
              <w:left w:val="nil"/>
              <w:bottom w:val="nil"/>
              <w:right w:val="nil"/>
            </w:tcBorders>
            <w:shd w:val="clear" w:color="auto" w:fill="auto"/>
            <w:noWrap/>
            <w:vAlign w:val="bottom"/>
            <w:hideMark/>
          </w:tcPr>
          <w:p w14:paraId="51A57A1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w:t>
            </w:r>
          </w:p>
        </w:tc>
        <w:tc>
          <w:tcPr>
            <w:tcW w:w="242" w:type="pct"/>
            <w:tcBorders>
              <w:top w:val="nil"/>
              <w:left w:val="nil"/>
              <w:bottom w:val="nil"/>
              <w:right w:val="single" w:sz="4" w:space="0" w:color="auto"/>
            </w:tcBorders>
            <w:shd w:val="clear" w:color="auto" w:fill="auto"/>
            <w:noWrap/>
            <w:vAlign w:val="bottom"/>
            <w:hideMark/>
          </w:tcPr>
          <w:p w14:paraId="54491B9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3B4774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6.4%</w:t>
            </w:r>
          </w:p>
        </w:tc>
        <w:tc>
          <w:tcPr>
            <w:tcW w:w="291" w:type="pct"/>
            <w:tcBorders>
              <w:top w:val="nil"/>
              <w:left w:val="nil"/>
              <w:bottom w:val="nil"/>
              <w:right w:val="nil"/>
            </w:tcBorders>
            <w:shd w:val="clear" w:color="auto" w:fill="auto"/>
            <w:noWrap/>
            <w:vAlign w:val="bottom"/>
            <w:hideMark/>
          </w:tcPr>
          <w:p w14:paraId="0D4FB4B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5.8%</w:t>
            </w:r>
          </w:p>
        </w:tc>
        <w:tc>
          <w:tcPr>
            <w:tcW w:w="242" w:type="pct"/>
            <w:tcBorders>
              <w:top w:val="nil"/>
              <w:left w:val="nil"/>
              <w:bottom w:val="nil"/>
              <w:right w:val="single" w:sz="4" w:space="0" w:color="auto"/>
            </w:tcBorders>
            <w:shd w:val="clear" w:color="auto" w:fill="auto"/>
            <w:noWrap/>
            <w:vAlign w:val="bottom"/>
            <w:hideMark/>
          </w:tcPr>
          <w:p w14:paraId="45D4512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7D3A375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5.1%</w:t>
            </w:r>
          </w:p>
        </w:tc>
        <w:tc>
          <w:tcPr>
            <w:tcW w:w="291" w:type="pct"/>
            <w:tcBorders>
              <w:top w:val="nil"/>
              <w:left w:val="nil"/>
              <w:bottom w:val="nil"/>
              <w:right w:val="nil"/>
            </w:tcBorders>
            <w:shd w:val="clear" w:color="auto" w:fill="auto"/>
            <w:noWrap/>
            <w:vAlign w:val="bottom"/>
            <w:hideMark/>
          </w:tcPr>
          <w:p w14:paraId="3D6A975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w:t>
            </w:r>
          </w:p>
        </w:tc>
        <w:tc>
          <w:tcPr>
            <w:tcW w:w="242" w:type="pct"/>
            <w:tcBorders>
              <w:top w:val="nil"/>
              <w:left w:val="nil"/>
              <w:bottom w:val="nil"/>
              <w:right w:val="single" w:sz="4" w:space="0" w:color="auto"/>
            </w:tcBorders>
            <w:shd w:val="clear" w:color="auto" w:fill="auto"/>
            <w:noWrap/>
            <w:vAlign w:val="bottom"/>
            <w:hideMark/>
          </w:tcPr>
          <w:p w14:paraId="3D3DCDFC"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714186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w:t>
            </w:r>
          </w:p>
        </w:tc>
        <w:tc>
          <w:tcPr>
            <w:tcW w:w="291" w:type="pct"/>
            <w:tcBorders>
              <w:top w:val="nil"/>
              <w:left w:val="nil"/>
              <w:bottom w:val="nil"/>
              <w:right w:val="nil"/>
            </w:tcBorders>
            <w:shd w:val="clear" w:color="auto" w:fill="auto"/>
            <w:noWrap/>
            <w:vAlign w:val="bottom"/>
            <w:hideMark/>
          </w:tcPr>
          <w:p w14:paraId="28F9422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6.2%</w:t>
            </w:r>
          </w:p>
        </w:tc>
        <w:tc>
          <w:tcPr>
            <w:tcW w:w="242" w:type="pct"/>
            <w:tcBorders>
              <w:top w:val="nil"/>
              <w:left w:val="nil"/>
              <w:bottom w:val="nil"/>
              <w:right w:val="single" w:sz="4" w:space="0" w:color="auto"/>
            </w:tcBorders>
            <w:shd w:val="clear" w:color="auto" w:fill="auto"/>
            <w:noWrap/>
            <w:vAlign w:val="bottom"/>
            <w:hideMark/>
          </w:tcPr>
          <w:p w14:paraId="7D6B62A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62F8D10A" w14:textId="77777777" w:rsidTr="0044059F">
        <w:trPr>
          <w:trHeight w:val="300"/>
        </w:trPr>
        <w:tc>
          <w:tcPr>
            <w:tcW w:w="1112" w:type="pct"/>
            <w:tcBorders>
              <w:top w:val="nil"/>
              <w:left w:val="nil"/>
              <w:bottom w:val="nil"/>
              <w:right w:val="nil"/>
            </w:tcBorders>
            <w:shd w:val="clear" w:color="auto" w:fill="auto"/>
            <w:noWrap/>
            <w:vAlign w:val="bottom"/>
            <w:hideMark/>
          </w:tcPr>
          <w:p w14:paraId="7593218F"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PACIFIC</w:t>
            </w:r>
          </w:p>
        </w:tc>
        <w:tc>
          <w:tcPr>
            <w:tcW w:w="707" w:type="pct"/>
            <w:gridSpan w:val="2"/>
            <w:tcBorders>
              <w:top w:val="nil"/>
              <w:left w:val="nil"/>
              <w:bottom w:val="nil"/>
              <w:right w:val="nil"/>
            </w:tcBorders>
            <w:shd w:val="clear" w:color="auto" w:fill="auto"/>
            <w:noWrap/>
            <w:vAlign w:val="bottom"/>
            <w:hideMark/>
          </w:tcPr>
          <w:p w14:paraId="287B510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9.2%</w:t>
            </w:r>
          </w:p>
        </w:tc>
        <w:tc>
          <w:tcPr>
            <w:tcW w:w="369" w:type="pct"/>
            <w:tcBorders>
              <w:top w:val="nil"/>
              <w:left w:val="nil"/>
              <w:bottom w:val="nil"/>
              <w:right w:val="nil"/>
            </w:tcBorders>
            <w:shd w:val="clear" w:color="auto" w:fill="auto"/>
            <w:noWrap/>
            <w:vAlign w:val="bottom"/>
            <w:hideMark/>
          </w:tcPr>
          <w:p w14:paraId="1DDF562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9.1%</w:t>
            </w:r>
          </w:p>
        </w:tc>
        <w:tc>
          <w:tcPr>
            <w:tcW w:w="242" w:type="pct"/>
            <w:tcBorders>
              <w:top w:val="nil"/>
              <w:left w:val="nil"/>
              <w:bottom w:val="nil"/>
              <w:right w:val="single" w:sz="4" w:space="0" w:color="auto"/>
            </w:tcBorders>
            <w:shd w:val="clear" w:color="auto" w:fill="auto"/>
            <w:noWrap/>
            <w:vAlign w:val="bottom"/>
            <w:hideMark/>
          </w:tcPr>
          <w:p w14:paraId="1BF7DD66"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EF5486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7.5%</w:t>
            </w:r>
          </w:p>
        </w:tc>
        <w:tc>
          <w:tcPr>
            <w:tcW w:w="291" w:type="pct"/>
            <w:tcBorders>
              <w:top w:val="nil"/>
              <w:left w:val="nil"/>
              <w:bottom w:val="nil"/>
              <w:right w:val="nil"/>
            </w:tcBorders>
            <w:shd w:val="clear" w:color="auto" w:fill="auto"/>
            <w:noWrap/>
            <w:vAlign w:val="bottom"/>
            <w:hideMark/>
          </w:tcPr>
          <w:p w14:paraId="72E67F2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7.4%</w:t>
            </w:r>
          </w:p>
        </w:tc>
        <w:tc>
          <w:tcPr>
            <w:tcW w:w="242" w:type="pct"/>
            <w:tcBorders>
              <w:top w:val="nil"/>
              <w:left w:val="nil"/>
              <w:bottom w:val="nil"/>
              <w:right w:val="single" w:sz="4" w:space="0" w:color="auto"/>
            </w:tcBorders>
            <w:shd w:val="clear" w:color="auto" w:fill="auto"/>
            <w:noWrap/>
            <w:vAlign w:val="bottom"/>
            <w:hideMark/>
          </w:tcPr>
          <w:p w14:paraId="0FA9448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6BB5BF0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8.2%</w:t>
            </w:r>
          </w:p>
        </w:tc>
        <w:tc>
          <w:tcPr>
            <w:tcW w:w="291" w:type="pct"/>
            <w:tcBorders>
              <w:top w:val="nil"/>
              <w:left w:val="nil"/>
              <w:bottom w:val="nil"/>
              <w:right w:val="nil"/>
            </w:tcBorders>
            <w:shd w:val="clear" w:color="auto" w:fill="auto"/>
            <w:noWrap/>
            <w:vAlign w:val="bottom"/>
            <w:hideMark/>
          </w:tcPr>
          <w:p w14:paraId="366EA29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7.6%</w:t>
            </w:r>
          </w:p>
        </w:tc>
        <w:tc>
          <w:tcPr>
            <w:tcW w:w="242" w:type="pct"/>
            <w:tcBorders>
              <w:top w:val="nil"/>
              <w:left w:val="nil"/>
              <w:bottom w:val="nil"/>
              <w:right w:val="single" w:sz="4" w:space="0" w:color="auto"/>
            </w:tcBorders>
            <w:shd w:val="clear" w:color="auto" w:fill="auto"/>
            <w:noWrap/>
            <w:vAlign w:val="bottom"/>
            <w:hideMark/>
          </w:tcPr>
          <w:p w14:paraId="4D618C6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253E85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5.7%</w:t>
            </w:r>
          </w:p>
        </w:tc>
        <w:tc>
          <w:tcPr>
            <w:tcW w:w="291" w:type="pct"/>
            <w:tcBorders>
              <w:top w:val="nil"/>
              <w:left w:val="nil"/>
              <w:bottom w:val="nil"/>
              <w:right w:val="nil"/>
            </w:tcBorders>
            <w:shd w:val="clear" w:color="auto" w:fill="auto"/>
            <w:noWrap/>
            <w:vAlign w:val="bottom"/>
            <w:hideMark/>
          </w:tcPr>
          <w:p w14:paraId="58052FC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5.9%</w:t>
            </w:r>
          </w:p>
        </w:tc>
        <w:tc>
          <w:tcPr>
            <w:tcW w:w="242" w:type="pct"/>
            <w:tcBorders>
              <w:top w:val="nil"/>
              <w:left w:val="nil"/>
              <w:bottom w:val="nil"/>
              <w:right w:val="single" w:sz="4" w:space="0" w:color="auto"/>
            </w:tcBorders>
            <w:shd w:val="clear" w:color="auto" w:fill="auto"/>
            <w:noWrap/>
            <w:vAlign w:val="bottom"/>
            <w:hideMark/>
          </w:tcPr>
          <w:p w14:paraId="5A073E9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6752E21" w14:textId="77777777" w:rsidTr="0044059F">
        <w:trPr>
          <w:trHeight w:val="300"/>
        </w:trPr>
        <w:tc>
          <w:tcPr>
            <w:tcW w:w="1112" w:type="pct"/>
            <w:tcBorders>
              <w:top w:val="nil"/>
              <w:left w:val="nil"/>
              <w:bottom w:val="nil"/>
              <w:right w:val="nil"/>
            </w:tcBorders>
            <w:shd w:val="clear" w:color="auto" w:fill="auto"/>
            <w:noWrap/>
            <w:vAlign w:val="bottom"/>
            <w:hideMark/>
          </w:tcPr>
          <w:p w14:paraId="7E785095"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SOUTH_ATLANTIC</w:t>
            </w:r>
          </w:p>
        </w:tc>
        <w:tc>
          <w:tcPr>
            <w:tcW w:w="707" w:type="pct"/>
            <w:gridSpan w:val="2"/>
            <w:tcBorders>
              <w:top w:val="nil"/>
              <w:left w:val="nil"/>
              <w:bottom w:val="nil"/>
              <w:right w:val="nil"/>
            </w:tcBorders>
            <w:shd w:val="clear" w:color="auto" w:fill="auto"/>
            <w:noWrap/>
            <w:vAlign w:val="bottom"/>
            <w:hideMark/>
          </w:tcPr>
          <w:p w14:paraId="68B8702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23.9%</w:t>
            </w:r>
          </w:p>
        </w:tc>
        <w:tc>
          <w:tcPr>
            <w:tcW w:w="369" w:type="pct"/>
            <w:tcBorders>
              <w:top w:val="nil"/>
              <w:left w:val="nil"/>
              <w:bottom w:val="nil"/>
              <w:right w:val="nil"/>
            </w:tcBorders>
            <w:shd w:val="clear" w:color="auto" w:fill="auto"/>
            <w:noWrap/>
            <w:vAlign w:val="bottom"/>
            <w:hideMark/>
          </w:tcPr>
          <w:p w14:paraId="06B40E3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24.3%</w:t>
            </w:r>
          </w:p>
        </w:tc>
        <w:tc>
          <w:tcPr>
            <w:tcW w:w="242" w:type="pct"/>
            <w:tcBorders>
              <w:top w:val="nil"/>
              <w:left w:val="nil"/>
              <w:bottom w:val="nil"/>
              <w:right w:val="single" w:sz="4" w:space="0" w:color="auto"/>
            </w:tcBorders>
            <w:shd w:val="clear" w:color="auto" w:fill="auto"/>
            <w:noWrap/>
            <w:vAlign w:val="bottom"/>
            <w:hideMark/>
          </w:tcPr>
          <w:p w14:paraId="44914F3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598833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21.5%</w:t>
            </w:r>
          </w:p>
        </w:tc>
        <w:tc>
          <w:tcPr>
            <w:tcW w:w="291" w:type="pct"/>
            <w:tcBorders>
              <w:top w:val="nil"/>
              <w:left w:val="nil"/>
              <w:bottom w:val="nil"/>
              <w:right w:val="nil"/>
            </w:tcBorders>
            <w:shd w:val="clear" w:color="auto" w:fill="auto"/>
            <w:noWrap/>
            <w:vAlign w:val="bottom"/>
            <w:hideMark/>
          </w:tcPr>
          <w:p w14:paraId="16EDA79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22.4%</w:t>
            </w:r>
          </w:p>
        </w:tc>
        <w:tc>
          <w:tcPr>
            <w:tcW w:w="242" w:type="pct"/>
            <w:tcBorders>
              <w:top w:val="nil"/>
              <w:left w:val="nil"/>
              <w:bottom w:val="nil"/>
              <w:right w:val="single" w:sz="4" w:space="0" w:color="auto"/>
            </w:tcBorders>
            <w:shd w:val="clear" w:color="auto" w:fill="auto"/>
            <w:noWrap/>
            <w:vAlign w:val="bottom"/>
            <w:hideMark/>
          </w:tcPr>
          <w:p w14:paraId="3643664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52B7BFD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19.9%</w:t>
            </w:r>
          </w:p>
        </w:tc>
        <w:tc>
          <w:tcPr>
            <w:tcW w:w="291" w:type="pct"/>
            <w:tcBorders>
              <w:top w:val="nil"/>
              <w:left w:val="nil"/>
              <w:bottom w:val="nil"/>
              <w:right w:val="nil"/>
            </w:tcBorders>
            <w:shd w:val="clear" w:color="auto" w:fill="auto"/>
            <w:noWrap/>
            <w:vAlign w:val="bottom"/>
            <w:hideMark/>
          </w:tcPr>
          <w:p w14:paraId="6E481D6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19.4%</w:t>
            </w:r>
          </w:p>
        </w:tc>
        <w:tc>
          <w:tcPr>
            <w:tcW w:w="242" w:type="pct"/>
            <w:tcBorders>
              <w:top w:val="nil"/>
              <w:left w:val="nil"/>
              <w:bottom w:val="nil"/>
              <w:right w:val="single" w:sz="4" w:space="0" w:color="auto"/>
            </w:tcBorders>
            <w:shd w:val="clear" w:color="auto" w:fill="auto"/>
            <w:noWrap/>
            <w:vAlign w:val="bottom"/>
            <w:hideMark/>
          </w:tcPr>
          <w:p w14:paraId="5F9C16DC"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225E33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16.1%</w:t>
            </w:r>
          </w:p>
        </w:tc>
        <w:tc>
          <w:tcPr>
            <w:tcW w:w="291" w:type="pct"/>
            <w:tcBorders>
              <w:top w:val="nil"/>
              <w:left w:val="nil"/>
              <w:bottom w:val="nil"/>
              <w:right w:val="nil"/>
            </w:tcBorders>
            <w:shd w:val="clear" w:color="auto" w:fill="auto"/>
            <w:noWrap/>
            <w:vAlign w:val="bottom"/>
            <w:hideMark/>
          </w:tcPr>
          <w:p w14:paraId="028B9BE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16.3%</w:t>
            </w:r>
          </w:p>
        </w:tc>
        <w:tc>
          <w:tcPr>
            <w:tcW w:w="242" w:type="pct"/>
            <w:tcBorders>
              <w:top w:val="nil"/>
              <w:left w:val="nil"/>
              <w:bottom w:val="nil"/>
              <w:right w:val="single" w:sz="4" w:space="0" w:color="auto"/>
            </w:tcBorders>
            <w:shd w:val="clear" w:color="auto" w:fill="auto"/>
            <w:noWrap/>
            <w:vAlign w:val="bottom"/>
            <w:hideMark/>
          </w:tcPr>
          <w:p w14:paraId="40E82F8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5D484312" w14:textId="77777777" w:rsidTr="0044059F">
        <w:trPr>
          <w:trHeight w:val="300"/>
        </w:trPr>
        <w:tc>
          <w:tcPr>
            <w:tcW w:w="1112" w:type="pct"/>
            <w:tcBorders>
              <w:top w:val="nil"/>
              <w:left w:val="nil"/>
              <w:bottom w:val="nil"/>
              <w:right w:val="nil"/>
            </w:tcBorders>
            <w:shd w:val="clear" w:color="auto" w:fill="auto"/>
            <w:noWrap/>
            <w:vAlign w:val="bottom"/>
            <w:hideMark/>
          </w:tcPr>
          <w:p w14:paraId="78776820"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lastRenderedPageBreak/>
              <w:t>WEST_NORTH_CENTRAL</w:t>
            </w:r>
          </w:p>
        </w:tc>
        <w:tc>
          <w:tcPr>
            <w:tcW w:w="707" w:type="pct"/>
            <w:gridSpan w:val="2"/>
            <w:tcBorders>
              <w:top w:val="nil"/>
              <w:left w:val="nil"/>
              <w:bottom w:val="nil"/>
              <w:right w:val="nil"/>
            </w:tcBorders>
            <w:shd w:val="clear" w:color="auto" w:fill="auto"/>
            <w:noWrap/>
            <w:vAlign w:val="bottom"/>
            <w:hideMark/>
          </w:tcPr>
          <w:p w14:paraId="17E2800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6.7%</w:t>
            </w:r>
          </w:p>
        </w:tc>
        <w:tc>
          <w:tcPr>
            <w:tcW w:w="369" w:type="pct"/>
            <w:tcBorders>
              <w:top w:val="nil"/>
              <w:left w:val="nil"/>
              <w:bottom w:val="nil"/>
              <w:right w:val="nil"/>
            </w:tcBorders>
            <w:shd w:val="clear" w:color="auto" w:fill="auto"/>
            <w:noWrap/>
            <w:vAlign w:val="bottom"/>
            <w:hideMark/>
          </w:tcPr>
          <w:p w14:paraId="67571FE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6.5%</w:t>
            </w:r>
          </w:p>
        </w:tc>
        <w:tc>
          <w:tcPr>
            <w:tcW w:w="242" w:type="pct"/>
            <w:tcBorders>
              <w:top w:val="nil"/>
              <w:left w:val="nil"/>
              <w:bottom w:val="nil"/>
              <w:right w:val="single" w:sz="4" w:space="0" w:color="auto"/>
            </w:tcBorders>
            <w:shd w:val="clear" w:color="auto" w:fill="auto"/>
            <w:noWrap/>
            <w:vAlign w:val="bottom"/>
            <w:hideMark/>
          </w:tcPr>
          <w:p w14:paraId="146FCF1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067731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9.1%</w:t>
            </w:r>
          </w:p>
        </w:tc>
        <w:tc>
          <w:tcPr>
            <w:tcW w:w="291" w:type="pct"/>
            <w:tcBorders>
              <w:top w:val="nil"/>
              <w:left w:val="nil"/>
              <w:bottom w:val="nil"/>
              <w:right w:val="nil"/>
            </w:tcBorders>
            <w:shd w:val="clear" w:color="auto" w:fill="auto"/>
            <w:noWrap/>
            <w:vAlign w:val="bottom"/>
            <w:hideMark/>
          </w:tcPr>
          <w:p w14:paraId="3BB7819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8.9%</w:t>
            </w:r>
          </w:p>
        </w:tc>
        <w:tc>
          <w:tcPr>
            <w:tcW w:w="242" w:type="pct"/>
            <w:tcBorders>
              <w:top w:val="nil"/>
              <w:left w:val="nil"/>
              <w:bottom w:val="nil"/>
              <w:right w:val="single" w:sz="4" w:space="0" w:color="auto"/>
            </w:tcBorders>
            <w:shd w:val="clear" w:color="auto" w:fill="auto"/>
            <w:noWrap/>
            <w:vAlign w:val="bottom"/>
            <w:hideMark/>
          </w:tcPr>
          <w:p w14:paraId="09F2585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3133D21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14.9%</w:t>
            </w:r>
          </w:p>
        </w:tc>
        <w:tc>
          <w:tcPr>
            <w:tcW w:w="291" w:type="pct"/>
            <w:tcBorders>
              <w:top w:val="nil"/>
              <w:left w:val="nil"/>
              <w:bottom w:val="nil"/>
              <w:right w:val="nil"/>
            </w:tcBorders>
            <w:shd w:val="clear" w:color="auto" w:fill="auto"/>
            <w:noWrap/>
            <w:vAlign w:val="bottom"/>
            <w:hideMark/>
          </w:tcPr>
          <w:p w14:paraId="2C0F264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14.5%</w:t>
            </w:r>
          </w:p>
        </w:tc>
        <w:tc>
          <w:tcPr>
            <w:tcW w:w="242" w:type="pct"/>
            <w:tcBorders>
              <w:top w:val="nil"/>
              <w:left w:val="nil"/>
              <w:bottom w:val="nil"/>
              <w:right w:val="single" w:sz="4" w:space="0" w:color="auto"/>
            </w:tcBorders>
            <w:shd w:val="clear" w:color="auto" w:fill="auto"/>
            <w:noWrap/>
            <w:vAlign w:val="bottom"/>
            <w:hideMark/>
          </w:tcPr>
          <w:p w14:paraId="5C3B4F0C"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A546B7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18.2%</w:t>
            </w:r>
          </w:p>
        </w:tc>
        <w:tc>
          <w:tcPr>
            <w:tcW w:w="291" w:type="pct"/>
            <w:tcBorders>
              <w:top w:val="nil"/>
              <w:left w:val="nil"/>
              <w:bottom w:val="nil"/>
              <w:right w:val="nil"/>
            </w:tcBorders>
            <w:shd w:val="clear" w:color="auto" w:fill="auto"/>
            <w:noWrap/>
            <w:vAlign w:val="bottom"/>
            <w:hideMark/>
          </w:tcPr>
          <w:p w14:paraId="43AC2BA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19.2%</w:t>
            </w:r>
          </w:p>
        </w:tc>
        <w:tc>
          <w:tcPr>
            <w:tcW w:w="242" w:type="pct"/>
            <w:tcBorders>
              <w:top w:val="nil"/>
              <w:left w:val="nil"/>
              <w:bottom w:val="nil"/>
              <w:right w:val="single" w:sz="4" w:space="0" w:color="auto"/>
            </w:tcBorders>
            <w:shd w:val="clear" w:color="auto" w:fill="auto"/>
            <w:noWrap/>
            <w:vAlign w:val="bottom"/>
            <w:hideMark/>
          </w:tcPr>
          <w:p w14:paraId="3F132A3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0EA30C96" w14:textId="77777777" w:rsidTr="0044059F">
        <w:trPr>
          <w:trHeight w:val="300"/>
        </w:trPr>
        <w:tc>
          <w:tcPr>
            <w:tcW w:w="1112" w:type="pct"/>
            <w:tcBorders>
              <w:top w:val="nil"/>
              <w:left w:val="nil"/>
              <w:bottom w:val="nil"/>
              <w:right w:val="nil"/>
            </w:tcBorders>
            <w:shd w:val="clear" w:color="auto" w:fill="auto"/>
            <w:noWrap/>
            <w:vAlign w:val="bottom"/>
            <w:hideMark/>
          </w:tcPr>
          <w:p w14:paraId="3841EC5F"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WEST_SOUTH_CENTRAL</w:t>
            </w:r>
          </w:p>
        </w:tc>
        <w:tc>
          <w:tcPr>
            <w:tcW w:w="707" w:type="pct"/>
            <w:gridSpan w:val="2"/>
            <w:tcBorders>
              <w:top w:val="nil"/>
              <w:left w:val="nil"/>
              <w:bottom w:val="nil"/>
              <w:right w:val="nil"/>
            </w:tcBorders>
            <w:shd w:val="clear" w:color="auto" w:fill="auto"/>
            <w:noWrap/>
            <w:vAlign w:val="bottom"/>
            <w:hideMark/>
          </w:tcPr>
          <w:p w14:paraId="5415C26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11.0%</w:t>
            </w:r>
          </w:p>
        </w:tc>
        <w:tc>
          <w:tcPr>
            <w:tcW w:w="369" w:type="pct"/>
            <w:tcBorders>
              <w:top w:val="nil"/>
              <w:left w:val="nil"/>
              <w:bottom w:val="nil"/>
              <w:right w:val="nil"/>
            </w:tcBorders>
            <w:shd w:val="clear" w:color="auto" w:fill="auto"/>
            <w:noWrap/>
            <w:vAlign w:val="bottom"/>
            <w:hideMark/>
          </w:tcPr>
          <w:p w14:paraId="61CF53E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10.5%</w:t>
            </w:r>
          </w:p>
        </w:tc>
        <w:tc>
          <w:tcPr>
            <w:tcW w:w="242" w:type="pct"/>
            <w:tcBorders>
              <w:top w:val="nil"/>
              <w:left w:val="nil"/>
              <w:bottom w:val="nil"/>
              <w:right w:val="single" w:sz="4" w:space="0" w:color="auto"/>
            </w:tcBorders>
            <w:shd w:val="clear" w:color="auto" w:fill="auto"/>
            <w:noWrap/>
            <w:vAlign w:val="bottom"/>
            <w:hideMark/>
          </w:tcPr>
          <w:p w14:paraId="69D30CD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09FEC2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16.2%</w:t>
            </w:r>
          </w:p>
        </w:tc>
        <w:tc>
          <w:tcPr>
            <w:tcW w:w="291" w:type="pct"/>
            <w:tcBorders>
              <w:top w:val="nil"/>
              <w:left w:val="nil"/>
              <w:bottom w:val="nil"/>
              <w:right w:val="nil"/>
            </w:tcBorders>
            <w:shd w:val="clear" w:color="auto" w:fill="auto"/>
            <w:noWrap/>
            <w:vAlign w:val="bottom"/>
            <w:hideMark/>
          </w:tcPr>
          <w:p w14:paraId="72340E9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16.0%</w:t>
            </w:r>
          </w:p>
        </w:tc>
        <w:tc>
          <w:tcPr>
            <w:tcW w:w="242" w:type="pct"/>
            <w:tcBorders>
              <w:top w:val="nil"/>
              <w:left w:val="nil"/>
              <w:bottom w:val="nil"/>
              <w:right w:val="single" w:sz="4" w:space="0" w:color="auto"/>
            </w:tcBorders>
            <w:shd w:val="clear" w:color="auto" w:fill="auto"/>
            <w:noWrap/>
            <w:vAlign w:val="bottom"/>
            <w:hideMark/>
          </w:tcPr>
          <w:p w14:paraId="52201F4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355BD23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11.4%</w:t>
            </w:r>
          </w:p>
        </w:tc>
        <w:tc>
          <w:tcPr>
            <w:tcW w:w="291" w:type="pct"/>
            <w:tcBorders>
              <w:top w:val="nil"/>
              <w:left w:val="nil"/>
              <w:bottom w:val="nil"/>
              <w:right w:val="nil"/>
            </w:tcBorders>
            <w:shd w:val="clear" w:color="auto" w:fill="auto"/>
            <w:noWrap/>
            <w:vAlign w:val="bottom"/>
            <w:hideMark/>
          </w:tcPr>
          <w:p w14:paraId="1E9C340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12.1%</w:t>
            </w:r>
          </w:p>
        </w:tc>
        <w:tc>
          <w:tcPr>
            <w:tcW w:w="242" w:type="pct"/>
            <w:tcBorders>
              <w:top w:val="nil"/>
              <w:left w:val="nil"/>
              <w:bottom w:val="nil"/>
              <w:right w:val="single" w:sz="4" w:space="0" w:color="auto"/>
            </w:tcBorders>
            <w:shd w:val="clear" w:color="auto" w:fill="auto"/>
            <w:noWrap/>
            <w:vAlign w:val="bottom"/>
            <w:hideMark/>
          </w:tcPr>
          <w:p w14:paraId="698535F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674A99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13.3%</w:t>
            </w:r>
          </w:p>
        </w:tc>
        <w:tc>
          <w:tcPr>
            <w:tcW w:w="291" w:type="pct"/>
            <w:tcBorders>
              <w:top w:val="nil"/>
              <w:left w:val="nil"/>
              <w:bottom w:val="nil"/>
              <w:right w:val="nil"/>
            </w:tcBorders>
            <w:shd w:val="clear" w:color="auto" w:fill="auto"/>
            <w:noWrap/>
            <w:vAlign w:val="bottom"/>
            <w:hideMark/>
          </w:tcPr>
          <w:p w14:paraId="3499C8D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13.1%</w:t>
            </w:r>
          </w:p>
        </w:tc>
        <w:tc>
          <w:tcPr>
            <w:tcW w:w="242" w:type="pct"/>
            <w:tcBorders>
              <w:top w:val="nil"/>
              <w:left w:val="nil"/>
              <w:bottom w:val="nil"/>
              <w:right w:val="single" w:sz="4" w:space="0" w:color="auto"/>
            </w:tcBorders>
            <w:shd w:val="clear" w:color="auto" w:fill="auto"/>
            <w:noWrap/>
            <w:vAlign w:val="bottom"/>
            <w:hideMark/>
          </w:tcPr>
          <w:p w14:paraId="0AB9A2B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0512948" w14:textId="77777777" w:rsidTr="0044059F">
        <w:trPr>
          <w:trHeight w:val="300"/>
        </w:trPr>
        <w:tc>
          <w:tcPr>
            <w:tcW w:w="1112" w:type="pct"/>
            <w:tcBorders>
              <w:top w:val="nil"/>
              <w:left w:val="nil"/>
              <w:bottom w:val="nil"/>
              <w:right w:val="nil"/>
            </w:tcBorders>
            <w:shd w:val="clear" w:color="auto" w:fill="auto"/>
            <w:noWrap/>
            <w:vAlign w:val="bottom"/>
            <w:hideMark/>
          </w:tcPr>
          <w:p w14:paraId="2026976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Charlson Score Group (%)</w:t>
            </w:r>
          </w:p>
        </w:tc>
        <w:tc>
          <w:tcPr>
            <w:tcW w:w="707" w:type="pct"/>
            <w:gridSpan w:val="2"/>
            <w:tcBorders>
              <w:top w:val="nil"/>
              <w:left w:val="nil"/>
              <w:bottom w:val="nil"/>
              <w:right w:val="nil"/>
            </w:tcBorders>
            <w:shd w:val="clear" w:color="auto" w:fill="auto"/>
            <w:noWrap/>
            <w:vAlign w:val="bottom"/>
            <w:hideMark/>
          </w:tcPr>
          <w:p w14:paraId="038A499F"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6B370305"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87BC1BD" w14:textId="50B2A660"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0.630</w:t>
            </w:r>
          </w:p>
        </w:tc>
        <w:tc>
          <w:tcPr>
            <w:tcW w:w="337" w:type="pct"/>
            <w:tcBorders>
              <w:top w:val="nil"/>
              <w:left w:val="nil"/>
              <w:bottom w:val="nil"/>
              <w:right w:val="nil"/>
            </w:tcBorders>
            <w:shd w:val="clear" w:color="auto" w:fill="auto"/>
            <w:noWrap/>
            <w:vAlign w:val="bottom"/>
            <w:hideMark/>
          </w:tcPr>
          <w:p w14:paraId="7EC4514A"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4C6F77B9"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B50C726" w14:textId="1CCA432C"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0.70</w:t>
            </w:r>
            <w:r>
              <w:rPr>
                <w:rFonts w:ascii="Calibri" w:hAnsi="Calibri" w:cs="Calibri"/>
                <w:color w:val="000000"/>
                <w:sz w:val="18"/>
                <w:szCs w:val="18"/>
                <w:lang w:eastAsia="en-US"/>
              </w:rPr>
              <w:t>1</w:t>
            </w:r>
          </w:p>
        </w:tc>
        <w:tc>
          <w:tcPr>
            <w:tcW w:w="295" w:type="pct"/>
            <w:tcBorders>
              <w:top w:val="nil"/>
              <w:left w:val="nil"/>
              <w:bottom w:val="nil"/>
              <w:right w:val="nil"/>
            </w:tcBorders>
            <w:shd w:val="clear" w:color="auto" w:fill="auto"/>
            <w:noWrap/>
            <w:vAlign w:val="bottom"/>
            <w:hideMark/>
          </w:tcPr>
          <w:p w14:paraId="14F4FFEF"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160B2282"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4378EEC" w14:textId="3D652E0D"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0.49</w:t>
            </w:r>
            <w:r>
              <w:rPr>
                <w:rFonts w:ascii="Calibri" w:hAnsi="Calibri" w:cs="Calibri"/>
                <w:color w:val="000000"/>
                <w:sz w:val="18"/>
                <w:szCs w:val="18"/>
                <w:lang w:eastAsia="en-US"/>
              </w:rPr>
              <w:t>4</w:t>
            </w:r>
          </w:p>
        </w:tc>
        <w:tc>
          <w:tcPr>
            <w:tcW w:w="337" w:type="pct"/>
            <w:tcBorders>
              <w:top w:val="nil"/>
              <w:left w:val="nil"/>
              <w:bottom w:val="nil"/>
              <w:right w:val="nil"/>
            </w:tcBorders>
            <w:shd w:val="clear" w:color="auto" w:fill="auto"/>
            <w:noWrap/>
            <w:vAlign w:val="bottom"/>
            <w:hideMark/>
          </w:tcPr>
          <w:p w14:paraId="2272C855"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287C1B21"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C2987F2" w14:textId="6DA483E8"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0.985</w:t>
            </w:r>
          </w:p>
        </w:tc>
      </w:tr>
      <w:tr w:rsidR="0044059F" w:rsidRPr="0044059F" w14:paraId="00E99ED6" w14:textId="77777777" w:rsidTr="0044059F">
        <w:trPr>
          <w:trHeight w:val="300"/>
        </w:trPr>
        <w:tc>
          <w:tcPr>
            <w:tcW w:w="1112" w:type="pct"/>
            <w:tcBorders>
              <w:top w:val="nil"/>
              <w:left w:val="nil"/>
              <w:bottom w:val="nil"/>
              <w:right w:val="nil"/>
            </w:tcBorders>
            <w:shd w:val="clear" w:color="auto" w:fill="auto"/>
            <w:noWrap/>
            <w:vAlign w:val="bottom"/>
            <w:hideMark/>
          </w:tcPr>
          <w:p w14:paraId="64A964E1"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0</w:t>
            </w:r>
          </w:p>
        </w:tc>
        <w:tc>
          <w:tcPr>
            <w:tcW w:w="707" w:type="pct"/>
            <w:gridSpan w:val="2"/>
            <w:tcBorders>
              <w:top w:val="nil"/>
              <w:left w:val="nil"/>
              <w:bottom w:val="nil"/>
              <w:right w:val="nil"/>
            </w:tcBorders>
            <w:shd w:val="clear" w:color="auto" w:fill="auto"/>
            <w:noWrap/>
            <w:vAlign w:val="bottom"/>
            <w:hideMark/>
          </w:tcPr>
          <w:p w14:paraId="518FEEA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34.3%</w:t>
            </w:r>
          </w:p>
        </w:tc>
        <w:tc>
          <w:tcPr>
            <w:tcW w:w="369" w:type="pct"/>
            <w:tcBorders>
              <w:top w:val="nil"/>
              <w:left w:val="nil"/>
              <w:bottom w:val="nil"/>
              <w:right w:val="nil"/>
            </w:tcBorders>
            <w:shd w:val="clear" w:color="auto" w:fill="auto"/>
            <w:noWrap/>
            <w:vAlign w:val="bottom"/>
            <w:hideMark/>
          </w:tcPr>
          <w:p w14:paraId="19C300C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33.8%</w:t>
            </w:r>
          </w:p>
        </w:tc>
        <w:tc>
          <w:tcPr>
            <w:tcW w:w="242" w:type="pct"/>
            <w:tcBorders>
              <w:top w:val="nil"/>
              <w:left w:val="nil"/>
              <w:bottom w:val="nil"/>
              <w:right w:val="single" w:sz="4" w:space="0" w:color="auto"/>
            </w:tcBorders>
            <w:shd w:val="clear" w:color="auto" w:fill="auto"/>
            <w:noWrap/>
            <w:vAlign w:val="bottom"/>
            <w:hideMark/>
          </w:tcPr>
          <w:p w14:paraId="69021ED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166400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56.6%</w:t>
            </w:r>
          </w:p>
        </w:tc>
        <w:tc>
          <w:tcPr>
            <w:tcW w:w="291" w:type="pct"/>
            <w:tcBorders>
              <w:top w:val="nil"/>
              <w:left w:val="nil"/>
              <w:bottom w:val="nil"/>
              <w:right w:val="nil"/>
            </w:tcBorders>
            <w:shd w:val="clear" w:color="auto" w:fill="auto"/>
            <w:noWrap/>
            <w:vAlign w:val="bottom"/>
            <w:hideMark/>
          </w:tcPr>
          <w:p w14:paraId="1AB3142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56.3%</w:t>
            </w:r>
          </w:p>
        </w:tc>
        <w:tc>
          <w:tcPr>
            <w:tcW w:w="242" w:type="pct"/>
            <w:tcBorders>
              <w:top w:val="nil"/>
              <w:left w:val="nil"/>
              <w:bottom w:val="nil"/>
              <w:right w:val="single" w:sz="4" w:space="0" w:color="auto"/>
            </w:tcBorders>
            <w:shd w:val="clear" w:color="auto" w:fill="auto"/>
            <w:noWrap/>
            <w:vAlign w:val="bottom"/>
            <w:hideMark/>
          </w:tcPr>
          <w:p w14:paraId="6319CEB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701B866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30.6%</w:t>
            </w:r>
          </w:p>
        </w:tc>
        <w:tc>
          <w:tcPr>
            <w:tcW w:w="291" w:type="pct"/>
            <w:tcBorders>
              <w:top w:val="nil"/>
              <w:left w:val="nil"/>
              <w:bottom w:val="nil"/>
              <w:right w:val="nil"/>
            </w:tcBorders>
            <w:shd w:val="clear" w:color="auto" w:fill="auto"/>
            <w:noWrap/>
            <w:vAlign w:val="bottom"/>
            <w:hideMark/>
          </w:tcPr>
          <w:p w14:paraId="6AFF6A3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32.1%</w:t>
            </w:r>
          </w:p>
        </w:tc>
        <w:tc>
          <w:tcPr>
            <w:tcW w:w="242" w:type="pct"/>
            <w:tcBorders>
              <w:top w:val="nil"/>
              <w:left w:val="nil"/>
              <w:bottom w:val="nil"/>
              <w:right w:val="single" w:sz="4" w:space="0" w:color="auto"/>
            </w:tcBorders>
            <w:shd w:val="clear" w:color="auto" w:fill="auto"/>
            <w:noWrap/>
            <w:vAlign w:val="bottom"/>
            <w:hideMark/>
          </w:tcPr>
          <w:p w14:paraId="639BA41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4F3D36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55.9%</w:t>
            </w:r>
          </w:p>
        </w:tc>
        <w:tc>
          <w:tcPr>
            <w:tcW w:w="291" w:type="pct"/>
            <w:tcBorders>
              <w:top w:val="nil"/>
              <w:left w:val="nil"/>
              <w:bottom w:val="nil"/>
              <w:right w:val="nil"/>
            </w:tcBorders>
            <w:shd w:val="clear" w:color="auto" w:fill="auto"/>
            <w:noWrap/>
            <w:vAlign w:val="bottom"/>
            <w:hideMark/>
          </w:tcPr>
          <w:p w14:paraId="79024C0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56.0%</w:t>
            </w:r>
          </w:p>
        </w:tc>
        <w:tc>
          <w:tcPr>
            <w:tcW w:w="242" w:type="pct"/>
            <w:tcBorders>
              <w:top w:val="nil"/>
              <w:left w:val="nil"/>
              <w:bottom w:val="nil"/>
              <w:right w:val="single" w:sz="4" w:space="0" w:color="auto"/>
            </w:tcBorders>
            <w:shd w:val="clear" w:color="auto" w:fill="auto"/>
            <w:noWrap/>
            <w:vAlign w:val="bottom"/>
            <w:hideMark/>
          </w:tcPr>
          <w:p w14:paraId="682C273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3ED54CAB" w14:textId="77777777" w:rsidTr="0044059F">
        <w:trPr>
          <w:trHeight w:val="300"/>
        </w:trPr>
        <w:tc>
          <w:tcPr>
            <w:tcW w:w="1112" w:type="pct"/>
            <w:tcBorders>
              <w:top w:val="nil"/>
              <w:left w:val="nil"/>
              <w:bottom w:val="nil"/>
              <w:right w:val="nil"/>
            </w:tcBorders>
            <w:shd w:val="clear" w:color="auto" w:fill="auto"/>
            <w:noWrap/>
            <w:vAlign w:val="bottom"/>
            <w:hideMark/>
          </w:tcPr>
          <w:p w14:paraId="1D7F2527"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1</w:t>
            </w:r>
          </w:p>
        </w:tc>
        <w:tc>
          <w:tcPr>
            <w:tcW w:w="707" w:type="pct"/>
            <w:gridSpan w:val="2"/>
            <w:tcBorders>
              <w:top w:val="nil"/>
              <w:left w:val="nil"/>
              <w:bottom w:val="nil"/>
              <w:right w:val="nil"/>
            </w:tcBorders>
            <w:shd w:val="clear" w:color="auto" w:fill="auto"/>
            <w:noWrap/>
            <w:vAlign w:val="bottom"/>
            <w:hideMark/>
          </w:tcPr>
          <w:p w14:paraId="31C0FF7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23.5%</w:t>
            </w:r>
          </w:p>
        </w:tc>
        <w:tc>
          <w:tcPr>
            <w:tcW w:w="369" w:type="pct"/>
            <w:tcBorders>
              <w:top w:val="nil"/>
              <w:left w:val="nil"/>
              <w:bottom w:val="nil"/>
              <w:right w:val="nil"/>
            </w:tcBorders>
            <w:shd w:val="clear" w:color="auto" w:fill="auto"/>
            <w:noWrap/>
            <w:vAlign w:val="bottom"/>
            <w:hideMark/>
          </w:tcPr>
          <w:p w14:paraId="54165E3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22.5%</w:t>
            </w:r>
          </w:p>
        </w:tc>
        <w:tc>
          <w:tcPr>
            <w:tcW w:w="242" w:type="pct"/>
            <w:tcBorders>
              <w:top w:val="nil"/>
              <w:left w:val="nil"/>
              <w:bottom w:val="nil"/>
              <w:right w:val="single" w:sz="4" w:space="0" w:color="auto"/>
            </w:tcBorders>
            <w:shd w:val="clear" w:color="auto" w:fill="auto"/>
            <w:noWrap/>
            <w:vAlign w:val="bottom"/>
            <w:hideMark/>
          </w:tcPr>
          <w:p w14:paraId="7928AF6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8DE78C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21.3%</w:t>
            </w:r>
          </w:p>
        </w:tc>
        <w:tc>
          <w:tcPr>
            <w:tcW w:w="291" w:type="pct"/>
            <w:tcBorders>
              <w:top w:val="nil"/>
              <w:left w:val="nil"/>
              <w:bottom w:val="nil"/>
              <w:right w:val="nil"/>
            </w:tcBorders>
            <w:shd w:val="clear" w:color="auto" w:fill="auto"/>
            <w:noWrap/>
            <w:vAlign w:val="bottom"/>
            <w:hideMark/>
          </w:tcPr>
          <w:p w14:paraId="79CC737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22.0%</w:t>
            </w:r>
          </w:p>
        </w:tc>
        <w:tc>
          <w:tcPr>
            <w:tcW w:w="242" w:type="pct"/>
            <w:tcBorders>
              <w:top w:val="nil"/>
              <w:left w:val="nil"/>
              <w:bottom w:val="nil"/>
              <w:right w:val="single" w:sz="4" w:space="0" w:color="auto"/>
            </w:tcBorders>
            <w:shd w:val="clear" w:color="auto" w:fill="auto"/>
            <w:noWrap/>
            <w:vAlign w:val="bottom"/>
            <w:hideMark/>
          </w:tcPr>
          <w:p w14:paraId="33774C4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02B6909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22.7%</w:t>
            </w:r>
          </w:p>
        </w:tc>
        <w:tc>
          <w:tcPr>
            <w:tcW w:w="291" w:type="pct"/>
            <w:tcBorders>
              <w:top w:val="nil"/>
              <w:left w:val="nil"/>
              <w:bottom w:val="nil"/>
              <w:right w:val="nil"/>
            </w:tcBorders>
            <w:shd w:val="clear" w:color="auto" w:fill="auto"/>
            <w:noWrap/>
            <w:vAlign w:val="bottom"/>
            <w:hideMark/>
          </w:tcPr>
          <w:p w14:paraId="30D6E02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20.1%</w:t>
            </w:r>
          </w:p>
        </w:tc>
        <w:tc>
          <w:tcPr>
            <w:tcW w:w="242" w:type="pct"/>
            <w:tcBorders>
              <w:top w:val="nil"/>
              <w:left w:val="nil"/>
              <w:bottom w:val="nil"/>
              <w:right w:val="single" w:sz="4" w:space="0" w:color="auto"/>
            </w:tcBorders>
            <w:shd w:val="clear" w:color="auto" w:fill="auto"/>
            <w:noWrap/>
            <w:vAlign w:val="bottom"/>
            <w:hideMark/>
          </w:tcPr>
          <w:p w14:paraId="3E62217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5A9E4C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20.6%</w:t>
            </w:r>
          </w:p>
        </w:tc>
        <w:tc>
          <w:tcPr>
            <w:tcW w:w="291" w:type="pct"/>
            <w:tcBorders>
              <w:top w:val="nil"/>
              <w:left w:val="nil"/>
              <w:bottom w:val="nil"/>
              <w:right w:val="nil"/>
            </w:tcBorders>
            <w:shd w:val="clear" w:color="auto" w:fill="auto"/>
            <w:noWrap/>
            <w:vAlign w:val="bottom"/>
            <w:hideMark/>
          </w:tcPr>
          <w:p w14:paraId="71B9D83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20.3%</w:t>
            </w:r>
          </w:p>
        </w:tc>
        <w:tc>
          <w:tcPr>
            <w:tcW w:w="242" w:type="pct"/>
            <w:tcBorders>
              <w:top w:val="nil"/>
              <w:left w:val="nil"/>
              <w:bottom w:val="nil"/>
              <w:right w:val="single" w:sz="4" w:space="0" w:color="auto"/>
            </w:tcBorders>
            <w:shd w:val="clear" w:color="auto" w:fill="auto"/>
            <w:noWrap/>
            <w:vAlign w:val="bottom"/>
            <w:hideMark/>
          </w:tcPr>
          <w:p w14:paraId="01A8ABD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5EAE2348" w14:textId="77777777" w:rsidTr="0044059F">
        <w:trPr>
          <w:trHeight w:val="300"/>
        </w:trPr>
        <w:tc>
          <w:tcPr>
            <w:tcW w:w="1112" w:type="pct"/>
            <w:tcBorders>
              <w:top w:val="nil"/>
              <w:left w:val="nil"/>
              <w:bottom w:val="nil"/>
              <w:right w:val="nil"/>
            </w:tcBorders>
            <w:shd w:val="clear" w:color="auto" w:fill="auto"/>
            <w:noWrap/>
            <w:vAlign w:val="bottom"/>
            <w:hideMark/>
          </w:tcPr>
          <w:p w14:paraId="17EB15BD"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2+</w:t>
            </w:r>
          </w:p>
        </w:tc>
        <w:tc>
          <w:tcPr>
            <w:tcW w:w="707" w:type="pct"/>
            <w:gridSpan w:val="2"/>
            <w:tcBorders>
              <w:top w:val="nil"/>
              <w:left w:val="nil"/>
              <w:bottom w:val="nil"/>
              <w:right w:val="nil"/>
            </w:tcBorders>
            <w:shd w:val="clear" w:color="auto" w:fill="auto"/>
            <w:noWrap/>
            <w:vAlign w:val="bottom"/>
            <w:hideMark/>
          </w:tcPr>
          <w:p w14:paraId="30ADBBE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42.2%</w:t>
            </w:r>
          </w:p>
        </w:tc>
        <w:tc>
          <w:tcPr>
            <w:tcW w:w="369" w:type="pct"/>
            <w:tcBorders>
              <w:top w:val="nil"/>
              <w:left w:val="nil"/>
              <w:bottom w:val="nil"/>
              <w:right w:val="nil"/>
            </w:tcBorders>
            <w:shd w:val="clear" w:color="auto" w:fill="auto"/>
            <w:noWrap/>
            <w:vAlign w:val="bottom"/>
            <w:hideMark/>
          </w:tcPr>
          <w:p w14:paraId="140DF79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43.6%</w:t>
            </w:r>
          </w:p>
        </w:tc>
        <w:tc>
          <w:tcPr>
            <w:tcW w:w="242" w:type="pct"/>
            <w:tcBorders>
              <w:top w:val="nil"/>
              <w:left w:val="nil"/>
              <w:bottom w:val="nil"/>
              <w:right w:val="single" w:sz="4" w:space="0" w:color="auto"/>
            </w:tcBorders>
            <w:shd w:val="clear" w:color="auto" w:fill="auto"/>
            <w:noWrap/>
            <w:vAlign w:val="bottom"/>
            <w:hideMark/>
          </w:tcPr>
          <w:p w14:paraId="76DF321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B909F7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22.1%</w:t>
            </w:r>
          </w:p>
        </w:tc>
        <w:tc>
          <w:tcPr>
            <w:tcW w:w="291" w:type="pct"/>
            <w:tcBorders>
              <w:top w:val="nil"/>
              <w:left w:val="nil"/>
              <w:bottom w:val="nil"/>
              <w:right w:val="nil"/>
            </w:tcBorders>
            <w:shd w:val="clear" w:color="auto" w:fill="auto"/>
            <w:noWrap/>
            <w:vAlign w:val="bottom"/>
            <w:hideMark/>
          </w:tcPr>
          <w:p w14:paraId="2641E09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21.6%</w:t>
            </w:r>
          </w:p>
        </w:tc>
        <w:tc>
          <w:tcPr>
            <w:tcW w:w="242" w:type="pct"/>
            <w:tcBorders>
              <w:top w:val="nil"/>
              <w:left w:val="nil"/>
              <w:bottom w:val="nil"/>
              <w:right w:val="single" w:sz="4" w:space="0" w:color="auto"/>
            </w:tcBorders>
            <w:shd w:val="clear" w:color="auto" w:fill="auto"/>
            <w:noWrap/>
            <w:vAlign w:val="bottom"/>
            <w:hideMark/>
          </w:tcPr>
          <w:p w14:paraId="4850A97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5980FF3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46.8%</w:t>
            </w:r>
          </w:p>
        </w:tc>
        <w:tc>
          <w:tcPr>
            <w:tcW w:w="291" w:type="pct"/>
            <w:tcBorders>
              <w:top w:val="nil"/>
              <w:left w:val="nil"/>
              <w:bottom w:val="nil"/>
              <w:right w:val="nil"/>
            </w:tcBorders>
            <w:shd w:val="clear" w:color="auto" w:fill="auto"/>
            <w:noWrap/>
            <w:vAlign w:val="bottom"/>
            <w:hideMark/>
          </w:tcPr>
          <w:p w14:paraId="44CB861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47.7%</w:t>
            </w:r>
          </w:p>
        </w:tc>
        <w:tc>
          <w:tcPr>
            <w:tcW w:w="242" w:type="pct"/>
            <w:tcBorders>
              <w:top w:val="nil"/>
              <w:left w:val="nil"/>
              <w:bottom w:val="nil"/>
              <w:right w:val="single" w:sz="4" w:space="0" w:color="auto"/>
            </w:tcBorders>
            <w:shd w:val="clear" w:color="auto" w:fill="auto"/>
            <w:noWrap/>
            <w:vAlign w:val="bottom"/>
            <w:hideMark/>
          </w:tcPr>
          <w:p w14:paraId="4EE3370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DC212B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23.5%</w:t>
            </w:r>
          </w:p>
        </w:tc>
        <w:tc>
          <w:tcPr>
            <w:tcW w:w="291" w:type="pct"/>
            <w:tcBorders>
              <w:top w:val="nil"/>
              <w:left w:val="nil"/>
              <w:bottom w:val="nil"/>
              <w:right w:val="nil"/>
            </w:tcBorders>
            <w:shd w:val="clear" w:color="auto" w:fill="auto"/>
            <w:noWrap/>
            <w:vAlign w:val="bottom"/>
            <w:hideMark/>
          </w:tcPr>
          <w:p w14:paraId="195562F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23.7%</w:t>
            </w:r>
          </w:p>
        </w:tc>
        <w:tc>
          <w:tcPr>
            <w:tcW w:w="242" w:type="pct"/>
            <w:tcBorders>
              <w:top w:val="nil"/>
              <w:left w:val="nil"/>
              <w:bottom w:val="nil"/>
              <w:right w:val="single" w:sz="4" w:space="0" w:color="auto"/>
            </w:tcBorders>
            <w:shd w:val="clear" w:color="auto" w:fill="auto"/>
            <w:noWrap/>
            <w:vAlign w:val="bottom"/>
            <w:hideMark/>
          </w:tcPr>
          <w:p w14:paraId="7BC20E5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622B069E" w14:textId="77777777" w:rsidTr="0044059F">
        <w:trPr>
          <w:trHeight w:val="300"/>
        </w:trPr>
        <w:tc>
          <w:tcPr>
            <w:tcW w:w="1112" w:type="pct"/>
            <w:tcBorders>
              <w:top w:val="nil"/>
              <w:left w:val="nil"/>
              <w:bottom w:val="nil"/>
              <w:right w:val="nil"/>
            </w:tcBorders>
            <w:shd w:val="clear" w:color="auto" w:fill="auto"/>
            <w:noWrap/>
            <w:vAlign w:val="bottom"/>
            <w:hideMark/>
          </w:tcPr>
          <w:p w14:paraId="598C7A2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Diagnosis of Osteoporosis (%)</w:t>
            </w:r>
          </w:p>
        </w:tc>
        <w:tc>
          <w:tcPr>
            <w:tcW w:w="707" w:type="pct"/>
            <w:gridSpan w:val="2"/>
            <w:tcBorders>
              <w:top w:val="nil"/>
              <w:left w:val="nil"/>
              <w:bottom w:val="nil"/>
              <w:right w:val="nil"/>
            </w:tcBorders>
            <w:shd w:val="clear" w:color="auto" w:fill="auto"/>
            <w:noWrap/>
            <w:vAlign w:val="bottom"/>
            <w:hideMark/>
          </w:tcPr>
          <w:p w14:paraId="7D37848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70.8%</w:t>
            </w:r>
          </w:p>
        </w:tc>
        <w:tc>
          <w:tcPr>
            <w:tcW w:w="369" w:type="pct"/>
            <w:tcBorders>
              <w:top w:val="nil"/>
              <w:left w:val="nil"/>
              <w:bottom w:val="nil"/>
              <w:right w:val="nil"/>
            </w:tcBorders>
            <w:shd w:val="clear" w:color="auto" w:fill="auto"/>
            <w:noWrap/>
            <w:vAlign w:val="bottom"/>
            <w:hideMark/>
          </w:tcPr>
          <w:p w14:paraId="55E3549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71.0%</w:t>
            </w:r>
          </w:p>
        </w:tc>
        <w:tc>
          <w:tcPr>
            <w:tcW w:w="242" w:type="pct"/>
            <w:tcBorders>
              <w:top w:val="nil"/>
              <w:left w:val="nil"/>
              <w:bottom w:val="nil"/>
              <w:right w:val="single" w:sz="4" w:space="0" w:color="auto"/>
            </w:tcBorders>
            <w:shd w:val="clear" w:color="auto" w:fill="auto"/>
            <w:noWrap/>
            <w:vAlign w:val="bottom"/>
            <w:hideMark/>
          </w:tcPr>
          <w:p w14:paraId="0D318F03" w14:textId="70A58012"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0.918</w:t>
            </w:r>
          </w:p>
        </w:tc>
        <w:tc>
          <w:tcPr>
            <w:tcW w:w="337" w:type="pct"/>
            <w:tcBorders>
              <w:top w:val="nil"/>
              <w:left w:val="nil"/>
              <w:bottom w:val="nil"/>
              <w:right w:val="nil"/>
            </w:tcBorders>
            <w:shd w:val="clear" w:color="auto" w:fill="auto"/>
            <w:noWrap/>
            <w:vAlign w:val="bottom"/>
            <w:hideMark/>
          </w:tcPr>
          <w:p w14:paraId="41480B4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63.9%</w:t>
            </w:r>
          </w:p>
        </w:tc>
        <w:tc>
          <w:tcPr>
            <w:tcW w:w="291" w:type="pct"/>
            <w:tcBorders>
              <w:top w:val="nil"/>
              <w:left w:val="nil"/>
              <w:bottom w:val="nil"/>
              <w:right w:val="nil"/>
            </w:tcBorders>
            <w:shd w:val="clear" w:color="auto" w:fill="auto"/>
            <w:noWrap/>
            <w:vAlign w:val="bottom"/>
            <w:hideMark/>
          </w:tcPr>
          <w:p w14:paraId="03E49A0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63.5%</w:t>
            </w:r>
          </w:p>
        </w:tc>
        <w:tc>
          <w:tcPr>
            <w:tcW w:w="242" w:type="pct"/>
            <w:tcBorders>
              <w:top w:val="nil"/>
              <w:left w:val="nil"/>
              <w:bottom w:val="nil"/>
              <w:right w:val="single" w:sz="4" w:space="0" w:color="auto"/>
            </w:tcBorders>
            <w:shd w:val="clear" w:color="auto" w:fill="auto"/>
            <w:noWrap/>
            <w:vAlign w:val="bottom"/>
            <w:hideMark/>
          </w:tcPr>
          <w:p w14:paraId="73F6AB9A" w14:textId="139B48A3"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0.75</w:t>
            </w:r>
            <w:r>
              <w:rPr>
                <w:rFonts w:ascii="Calibri" w:hAnsi="Calibri" w:cs="Calibri"/>
                <w:color w:val="000000"/>
                <w:sz w:val="18"/>
                <w:szCs w:val="18"/>
                <w:lang w:eastAsia="en-US"/>
              </w:rPr>
              <w:t>4</w:t>
            </w:r>
          </w:p>
        </w:tc>
        <w:tc>
          <w:tcPr>
            <w:tcW w:w="295" w:type="pct"/>
            <w:tcBorders>
              <w:top w:val="nil"/>
              <w:left w:val="nil"/>
              <w:bottom w:val="nil"/>
              <w:right w:val="nil"/>
            </w:tcBorders>
            <w:shd w:val="clear" w:color="auto" w:fill="auto"/>
            <w:noWrap/>
            <w:vAlign w:val="bottom"/>
            <w:hideMark/>
          </w:tcPr>
          <w:p w14:paraId="59222CB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66.8%</w:t>
            </w:r>
          </w:p>
        </w:tc>
        <w:tc>
          <w:tcPr>
            <w:tcW w:w="291" w:type="pct"/>
            <w:tcBorders>
              <w:top w:val="nil"/>
              <w:left w:val="nil"/>
              <w:bottom w:val="nil"/>
              <w:right w:val="nil"/>
            </w:tcBorders>
            <w:shd w:val="clear" w:color="auto" w:fill="auto"/>
            <w:noWrap/>
            <w:vAlign w:val="bottom"/>
            <w:hideMark/>
          </w:tcPr>
          <w:p w14:paraId="0F19D5A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66.6%</w:t>
            </w:r>
          </w:p>
        </w:tc>
        <w:tc>
          <w:tcPr>
            <w:tcW w:w="242" w:type="pct"/>
            <w:tcBorders>
              <w:top w:val="nil"/>
              <w:left w:val="nil"/>
              <w:bottom w:val="nil"/>
              <w:right w:val="single" w:sz="4" w:space="0" w:color="auto"/>
            </w:tcBorders>
            <w:shd w:val="clear" w:color="auto" w:fill="auto"/>
            <w:noWrap/>
            <w:vAlign w:val="bottom"/>
            <w:hideMark/>
          </w:tcPr>
          <w:p w14:paraId="6D2710F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w:t>
            </w:r>
          </w:p>
        </w:tc>
        <w:tc>
          <w:tcPr>
            <w:tcW w:w="337" w:type="pct"/>
            <w:tcBorders>
              <w:top w:val="nil"/>
              <w:left w:val="nil"/>
              <w:bottom w:val="nil"/>
              <w:right w:val="nil"/>
            </w:tcBorders>
            <w:shd w:val="clear" w:color="auto" w:fill="auto"/>
            <w:noWrap/>
            <w:vAlign w:val="bottom"/>
            <w:hideMark/>
          </w:tcPr>
          <w:p w14:paraId="0EC363C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56.0%</w:t>
            </w:r>
          </w:p>
        </w:tc>
        <w:tc>
          <w:tcPr>
            <w:tcW w:w="291" w:type="pct"/>
            <w:tcBorders>
              <w:top w:val="nil"/>
              <w:left w:val="nil"/>
              <w:bottom w:val="nil"/>
              <w:right w:val="nil"/>
            </w:tcBorders>
            <w:shd w:val="clear" w:color="auto" w:fill="auto"/>
            <w:noWrap/>
            <w:vAlign w:val="bottom"/>
            <w:hideMark/>
          </w:tcPr>
          <w:p w14:paraId="78D8514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56.1%</w:t>
            </w:r>
          </w:p>
        </w:tc>
        <w:tc>
          <w:tcPr>
            <w:tcW w:w="242" w:type="pct"/>
            <w:tcBorders>
              <w:top w:val="nil"/>
              <w:left w:val="nil"/>
              <w:bottom w:val="nil"/>
              <w:right w:val="single" w:sz="4" w:space="0" w:color="auto"/>
            </w:tcBorders>
            <w:shd w:val="clear" w:color="auto" w:fill="auto"/>
            <w:noWrap/>
            <w:vAlign w:val="bottom"/>
            <w:hideMark/>
          </w:tcPr>
          <w:p w14:paraId="1DB27479" w14:textId="5AC6D1F8"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0.96</w:t>
            </w:r>
            <w:r>
              <w:rPr>
                <w:rFonts w:ascii="Calibri" w:hAnsi="Calibri" w:cs="Calibri"/>
                <w:color w:val="000000"/>
                <w:sz w:val="18"/>
                <w:szCs w:val="18"/>
                <w:lang w:eastAsia="en-US"/>
              </w:rPr>
              <w:t>5</w:t>
            </w:r>
          </w:p>
        </w:tc>
      </w:tr>
      <w:tr w:rsidR="0044059F" w:rsidRPr="0044059F" w14:paraId="209F54E2" w14:textId="77777777" w:rsidTr="0044059F">
        <w:trPr>
          <w:trHeight w:val="300"/>
        </w:trPr>
        <w:tc>
          <w:tcPr>
            <w:tcW w:w="1112" w:type="pct"/>
            <w:tcBorders>
              <w:top w:val="nil"/>
              <w:left w:val="nil"/>
              <w:bottom w:val="nil"/>
              <w:right w:val="nil"/>
            </w:tcBorders>
            <w:shd w:val="clear" w:color="auto" w:fill="auto"/>
            <w:noWrap/>
            <w:vAlign w:val="bottom"/>
            <w:hideMark/>
          </w:tcPr>
          <w:p w14:paraId="27A9D23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Time from first visit with diagnosis of VCF to surgery (days)</w:t>
            </w:r>
          </w:p>
        </w:tc>
        <w:tc>
          <w:tcPr>
            <w:tcW w:w="707" w:type="pct"/>
            <w:gridSpan w:val="2"/>
            <w:tcBorders>
              <w:top w:val="nil"/>
              <w:left w:val="nil"/>
              <w:bottom w:val="nil"/>
              <w:right w:val="nil"/>
            </w:tcBorders>
            <w:shd w:val="clear" w:color="auto" w:fill="auto"/>
            <w:noWrap/>
            <w:vAlign w:val="bottom"/>
            <w:hideMark/>
          </w:tcPr>
          <w:p w14:paraId="38F324C9"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62D6F674"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BB9AC4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D12644D" w14:textId="77777777" w:rsidR="0044059F" w:rsidRPr="0044059F" w:rsidRDefault="0044059F" w:rsidP="0044059F">
            <w:pPr>
              <w:spacing w:after="0"/>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559EAF6B"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3BC86B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32891B6F" w14:textId="77777777" w:rsidR="0044059F" w:rsidRPr="0044059F" w:rsidRDefault="0044059F" w:rsidP="0044059F">
            <w:pPr>
              <w:spacing w:after="0"/>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50EE3BF4"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5E7ED62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2EB9B0C" w14:textId="77777777" w:rsidR="0044059F" w:rsidRPr="0044059F" w:rsidRDefault="0044059F" w:rsidP="0044059F">
            <w:pPr>
              <w:spacing w:after="0"/>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63A7EA42"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BD2CA1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CE278DD" w14:textId="77777777" w:rsidTr="0044059F">
        <w:trPr>
          <w:trHeight w:val="300"/>
        </w:trPr>
        <w:tc>
          <w:tcPr>
            <w:tcW w:w="1112" w:type="pct"/>
            <w:tcBorders>
              <w:top w:val="nil"/>
              <w:left w:val="nil"/>
              <w:bottom w:val="nil"/>
              <w:right w:val="nil"/>
            </w:tcBorders>
            <w:shd w:val="clear" w:color="auto" w:fill="auto"/>
            <w:noWrap/>
            <w:vAlign w:val="bottom"/>
            <w:hideMark/>
          </w:tcPr>
          <w:p w14:paraId="1B881FFF"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Mean</w:t>
            </w:r>
          </w:p>
        </w:tc>
        <w:tc>
          <w:tcPr>
            <w:tcW w:w="707" w:type="pct"/>
            <w:gridSpan w:val="2"/>
            <w:tcBorders>
              <w:top w:val="nil"/>
              <w:left w:val="nil"/>
              <w:bottom w:val="nil"/>
              <w:right w:val="nil"/>
            </w:tcBorders>
            <w:shd w:val="clear" w:color="auto" w:fill="auto"/>
            <w:noWrap/>
            <w:vAlign w:val="bottom"/>
            <w:hideMark/>
          </w:tcPr>
          <w:p w14:paraId="50402E7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13.3</w:t>
            </w:r>
          </w:p>
        </w:tc>
        <w:tc>
          <w:tcPr>
            <w:tcW w:w="369" w:type="pct"/>
            <w:vMerge w:val="restart"/>
            <w:tcBorders>
              <w:top w:val="nil"/>
              <w:left w:val="nil"/>
              <w:bottom w:val="nil"/>
              <w:right w:val="nil"/>
            </w:tcBorders>
            <w:shd w:val="clear" w:color="auto" w:fill="auto"/>
            <w:noWrap/>
            <w:vAlign w:val="bottom"/>
            <w:hideMark/>
          </w:tcPr>
          <w:p w14:paraId="494340E1"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N/A</w:t>
            </w:r>
          </w:p>
        </w:tc>
        <w:tc>
          <w:tcPr>
            <w:tcW w:w="242" w:type="pct"/>
            <w:tcBorders>
              <w:top w:val="nil"/>
              <w:left w:val="nil"/>
              <w:bottom w:val="nil"/>
              <w:right w:val="single" w:sz="4" w:space="0" w:color="auto"/>
            </w:tcBorders>
            <w:shd w:val="clear" w:color="auto" w:fill="auto"/>
            <w:noWrap/>
            <w:vAlign w:val="bottom"/>
            <w:hideMark/>
          </w:tcPr>
          <w:p w14:paraId="341CD3A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0F168D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29.1</w:t>
            </w:r>
          </w:p>
        </w:tc>
        <w:tc>
          <w:tcPr>
            <w:tcW w:w="291" w:type="pct"/>
            <w:vMerge w:val="restart"/>
            <w:tcBorders>
              <w:top w:val="nil"/>
              <w:left w:val="nil"/>
              <w:bottom w:val="nil"/>
              <w:right w:val="nil"/>
            </w:tcBorders>
            <w:shd w:val="clear" w:color="auto" w:fill="auto"/>
            <w:noWrap/>
            <w:vAlign w:val="bottom"/>
            <w:hideMark/>
          </w:tcPr>
          <w:p w14:paraId="584EF304"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N/A</w:t>
            </w:r>
          </w:p>
        </w:tc>
        <w:tc>
          <w:tcPr>
            <w:tcW w:w="242" w:type="pct"/>
            <w:tcBorders>
              <w:top w:val="nil"/>
              <w:left w:val="nil"/>
              <w:bottom w:val="nil"/>
              <w:right w:val="single" w:sz="4" w:space="0" w:color="auto"/>
            </w:tcBorders>
            <w:shd w:val="clear" w:color="auto" w:fill="auto"/>
            <w:noWrap/>
            <w:vAlign w:val="bottom"/>
            <w:hideMark/>
          </w:tcPr>
          <w:p w14:paraId="67CDB92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5A4582D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401.7</w:t>
            </w:r>
          </w:p>
        </w:tc>
        <w:tc>
          <w:tcPr>
            <w:tcW w:w="291" w:type="pct"/>
            <w:vMerge w:val="restart"/>
            <w:tcBorders>
              <w:top w:val="nil"/>
              <w:left w:val="nil"/>
              <w:bottom w:val="nil"/>
              <w:right w:val="nil"/>
            </w:tcBorders>
            <w:shd w:val="clear" w:color="auto" w:fill="auto"/>
            <w:noWrap/>
            <w:vAlign w:val="bottom"/>
            <w:hideMark/>
          </w:tcPr>
          <w:p w14:paraId="37B9FC67"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N/A</w:t>
            </w:r>
          </w:p>
        </w:tc>
        <w:tc>
          <w:tcPr>
            <w:tcW w:w="242" w:type="pct"/>
            <w:tcBorders>
              <w:top w:val="nil"/>
              <w:left w:val="nil"/>
              <w:bottom w:val="nil"/>
              <w:right w:val="single" w:sz="4" w:space="0" w:color="auto"/>
            </w:tcBorders>
            <w:shd w:val="clear" w:color="auto" w:fill="auto"/>
            <w:noWrap/>
            <w:vAlign w:val="bottom"/>
            <w:hideMark/>
          </w:tcPr>
          <w:p w14:paraId="7514C40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8B0F46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35.0</w:t>
            </w:r>
          </w:p>
        </w:tc>
        <w:tc>
          <w:tcPr>
            <w:tcW w:w="291" w:type="pct"/>
            <w:vMerge w:val="restart"/>
            <w:tcBorders>
              <w:top w:val="nil"/>
              <w:left w:val="nil"/>
              <w:bottom w:val="nil"/>
              <w:right w:val="nil"/>
            </w:tcBorders>
            <w:shd w:val="clear" w:color="auto" w:fill="auto"/>
            <w:noWrap/>
            <w:vAlign w:val="bottom"/>
            <w:hideMark/>
          </w:tcPr>
          <w:p w14:paraId="779C94D7" w14:textId="77777777" w:rsidR="0044059F" w:rsidRPr="0044059F" w:rsidRDefault="0044059F" w:rsidP="0044059F">
            <w:pPr>
              <w:spacing w:after="0"/>
              <w:jc w:val="center"/>
              <w:rPr>
                <w:rFonts w:ascii="Calibri" w:hAnsi="Calibri" w:cs="Calibri"/>
                <w:color w:val="000000"/>
                <w:sz w:val="18"/>
                <w:szCs w:val="18"/>
                <w:lang w:eastAsia="en-US"/>
              </w:rPr>
            </w:pPr>
            <w:r w:rsidRPr="0044059F">
              <w:rPr>
                <w:rFonts w:ascii="Calibri" w:hAnsi="Calibri" w:cs="Calibri"/>
                <w:color w:val="000000"/>
                <w:sz w:val="18"/>
                <w:szCs w:val="18"/>
                <w:lang w:eastAsia="en-US"/>
              </w:rPr>
              <w:t>N/A</w:t>
            </w:r>
          </w:p>
        </w:tc>
        <w:tc>
          <w:tcPr>
            <w:tcW w:w="242" w:type="pct"/>
            <w:tcBorders>
              <w:top w:val="nil"/>
              <w:left w:val="nil"/>
              <w:bottom w:val="nil"/>
              <w:right w:val="single" w:sz="4" w:space="0" w:color="auto"/>
            </w:tcBorders>
            <w:shd w:val="clear" w:color="auto" w:fill="auto"/>
            <w:noWrap/>
            <w:vAlign w:val="bottom"/>
            <w:hideMark/>
          </w:tcPr>
          <w:p w14:paraId="4D06E74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A30A77F" w14:textId="77777777" w:rsidTr="0044059F">
        <w:trPr>
          <w:trHeight w:val="300"/>
        </w:trPr>
        <w:tc>
          <w:tcPr>
            <w:tcW w:w="1112" w:type="pct"/>
            <w:tcBorders>
              <w:top w:val="nil"/>
              <w:left w:val="nil"/>
              <w:bottom w:val="nil"/>
              <w:right w:val="nil"/>
            </w:tcBorders>
            <w:shd w:val="clear" w:color="auto" w:fill="auto"/>
            <w:noWrap/>
            <w:vAlign w:val="bottom"/>
            <w:hideMark/>
          </w:tcPr>
          <w:p w14:paraId="37437E5E"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SD</w:t>
            </w:r>
          </w:p>
        </w:tc>
        <w:tc>
          <w:tcPr>
            <w:tcW w:w="707" w:type="pct"/>
            <w:gridSpan w:val="2"/>
            <w:tcBorders>
              <w:top w:val="nil"/>
              <w:left w:val="nil"/>
              <w:bottom w:val="nil"/>
              <w:right w:val="nil"/>
            </w:tcBorders>
            <w:shd w:val="clear" w:color="auto" w:fill="auto"/>
            <w:noWrap/>
            <w:vAlign w:val="bottom"/>
            <w:hideMark/>
          </w:tcPr>
          <w:p w14:paraId="3353ABF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47.0</w:t>
            </w:r>
          </w:p>
        </w:tc>
        <w:tc>
          <w:tcPr>
            <w:tcW w:w="369" w:type="pct"/>
            <w:vMerge/>
            <w:tcBorders>
              <w:top w:val="nil"/>
              <w:left w:val="nil"/>
              <w:bottom w:val="nil"/>
              <w:right w:val="nil"/>
            </w:tcBorders>
            <w:vAlign w:val="center"/>
            <w:hideMark/>
          </w:tcPr>
          <w:p w14:paraId="2BF84DEA"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FD1CC2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E92765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93.8</w:t>
            </w:r>
          </w:p>
        </w:tc>
        <w:tc>
          <w:tcPr>
            <w:tcW w:w="291" w:type="pct"/>
            <w:vMerge/>
            <w:tcBorders>
              <w:top w:val="nil"/>
              <w:left w:val="nil"/>
              <w:bottom w:val="nil"/>
              <w:right w:val="nil"/>
            </w:tcBorders>
            <w:vAlign w:val="center"/>
            <w:hideMark/>
          </w:tcPr>
          <w:p w14:paraId="33D3F1F4"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4F5F68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4AFE9D0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208.4</w:t>
            </w:r>
          </w:p>
        </w:tc>
        <w:tc>
          <w:tcPr>
            <w:tcW w:w="291" w:type="pct"/>
            <w:vMerge/>
            <w:tcBorders>
              <w:top w:val="nil"/>
              <w:left w:val="nil"/>
              <w:bottom w:val="nil"/>
              <w:right w:val="nil"/>
            </w:tcBorders>
            <w:vAlign w:val="center"/>
            <w:hideMark/>
          </w:tcPr>
          <w:p w14:paraId="24DB4ADF"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BD4165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26AE75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106.4</w:t>
            </w:r>
          </w:p>
        </w:tc>
        <w:tc>
          <w:tcPr>
            <w:tcW w:w="291" w:type="pct"/>
            <w:vMerge/>
            <w:tcBorders>
              <w:top w:val="nil"/>
              <w:left w:val="nil"/>
              <w:bottom w:val="nil"/>
              <w:right w:val="nil"/>
            </w:tcBorders>
            <w:vAlign w:val="center"/>
            <w:hideMark/>
          </w:tcPr>
          <w:p w14:paraId="3A390018"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7C5614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5D6AA702" w14:textId="77777777" w:rsidTr="0044059F">
        <w:trPr>
          <w:trHeight w:val="300"/>
        </w:trPr>
        <w:tc>
          <w:tcPr>
            <w:tcW w:w="1112" w:type="pct"/>
            <w:tcBorders>
              <w:top w:val="nil"/>
              <w:left w:val="nil"/>
              <w:bottom w:val="nil"/>
              <w:right w:val="nil"/>
            </w:tcBorders>
            <w:shd w:val="clear" w:color="auto" w:fill="auto"/>
            <w:noWrap/>
            <w:vAlign w:val="bottom"/>
            <w:hideMark/>
          </w:tcPr>
          <w:p w14:paraId="27968569"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Median</w:t>
            </w:r>
          </w:p>
        </w:tc>
        <w:tc>
          <w:tcPr>
            <w:tcW w:w="707" w:type="pct"/>
            <w:gridSpan w:val="2"/>
            <w:tcBorders>
              <w:top w:val="nil"/>
              <w:left w:val="nil"/>
              <w:bottom w:val="nil"/>
              <w:right w:val="nil"/>
            </w:tcBorders>
            <w:shd w:val="clear" w:color="auto" w:fill="auto"/>
            <w:noWrap/>
            <w:vAlign w:val="bottom"/>
            <w:hideMark/>
          </w:tcPr>
          <w:p w14:paraId="5488D18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w:t>
            </w:r>
          </w:p>
        </w:tc>
        <w:tc>
          <w:tcPr>
            <w:tcW w:w="369" w:type="pct"/>
            <w:vMerge/>
            <w:tcBorders>
              <w:top w:val="nil"/>
              <w:left w:val="nil"/>
              <w:bottom w:val="nil"/>
              <w:right w:val="nil"/>
            </w:tcBorders>
            <w:vAlign w:val="center"/>
            <w:hideMark/>
          </w:tcPr>
          <w:p w14:paraId="1FDC0835"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5733A80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3C1048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w:t>
            </w:r>
          </w:p>
        </w:tc>
        <w:tc>
          <w:tcPr>
            <w:tcW w:w="291" w:type="pct"/>
            <w:vMerge/>
            <w:tcBorders>
              <w:top w:val="nil"/>
              <w:left w:val="nil"/>
              <w:bottom w:val="nil"/>
              <w:right w:val="nil"/>
            </w:tcBorders>
            <w:vAlign w:val="center"/>
            <w:hideMark/>
          </w:tcPr>
          <w:p w14:paraId="4ED7AAE6"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2C41D2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789E8A8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w:t>
            </w:r>
          </w:p>
        </w:tc>
        <w:tc>
          <w:tcPr>
            <w:tcW w:w="291" w:type="pct"/>
            <w:vMerge/>
            <w:tcBorders>
              <w:top w:val="nil"/>
              <w:left w:val="nil"/>
              <w:bottom w:val="nil"/>
              <w:right w:val="nil"/>
            </w:tcBorders>
            <w:vAlign w:val="center"/>
            <w:hideMark/>
          </w:tcPr>
          <w:p w14:paraId="75361DF5"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8283F0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B06051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w:t>
            </w:r>
          </w:p>
        </w:tc>
        <w:tc>
          <w:tcPr>
            <w:tcW w:w="291" w:type="pct"/>
            <w:vMerge/>
            <w:tcBorders>
              <w:top w:val="nil"/>
              <w:left w:val="nil"/>
              <w:bottom w:val="nil"/>
              <w:right w:val="nil"/>
            </w:tcBorders>
            <w:vAlign w:val="center"/>
            <w:hideMark/>
          </w:tcPr>
          <w:p w14:paraId="30FD591C"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2504B7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3DAAEC65" w14:textId="77777777" w:rsidTr="0044059F">
        <w:trPr>
          <w:trHeight w:val="300"/>
        </w:trPr>
        <w:tc>
          <w:tcPr>
            <w:tcW w:w="1112" w:type="pct"/>
            <w:tcBorders>
              <w:top w:val="nil"/>
              <w:left w:val="nil"/>
              <w:bottom w:val="nil"/>
              <w:right w:val="nil"/>
            </w:tcBorders>
            <w:shd w:val="clear" w:color="auto" w:fill="auto"/>
            <w:noWrap/>
            <w:vAlign w:val="bottom"/>
            <w:hideMark/>
          </w:tcPr>
          <w:p w14:paraId="5F95CEB8"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Interquartile Range (IQR)</w:t>
            </w:r>
          </w:p>
        </w:tc>
        <w:tc>
          <w:tcPr>
            <w:tcW w:w="707" w:type="pct"/>
            <w:gridSpan w:val="2"/>
            <w:tcBorders>
              <w:top w:val="nil"/>
              <w:left w:val="nil"/>
              <w:bottom w:val="nil"/>
              <w:right w:val="nil"/>
            </w:tcBorders>
            <w:shd w:val="clear" w:color="auto" w:fill="auto"/>
            <w:noWrap/>
            <w:vAlign w:val="bottom"/>
            <w:hideMark/>
          </w:tcPr>
          <w:p w14:paraId="1128554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0-0</w:t>
            </w:r>
          </w:p>
        </w:tc>
        <w:tc>
          <w:tcPr>
            <w:tcW w:w="369" w:type="pct"/>
            <w:vMerge/>
            <w:tcBorders>
              <w:top w:val="nil"/>
              <w:left w:val="nil"/>
              <w:bottom w:val="nil"/>
              <w:right w:val="nil"/>
            </w:tcBorders>
            <w:vAlign w:val="center"/>
            <w:hideMark/>
          </w:tcPr>
          <w:p w14:paraId="535BE52C"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773B02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C39F34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0-12</w:t>
            </w:r>
          </w:p>
        </w:tc>
        <w:tc>
          <w:tcPr>
            <w:tcW w:w="291" w:type="pct"/>
            <w:vMerge/>
            <w:tcBorders>
              <w:top w:val="nil"/>
              <w:left w:val="nil"/>
              <w:bottom w:val="nil"/>
              <w:right w:val="nil"/>
            </w:tcBorders>
            <w:vAlign w:val="center"/>
            <w:hideMark/>
          </w:tcPr>
          <w:p w14:paraId="5637CC14"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59D05E4"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63F7C18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0-37</w:t>
            </w:r>
          </w:p>
        </w:tc>
        <w:tc>
          <w:tcPr>
            <w:tcW w:w="291" w:type="pct"/>
            <w:vMerge/>
            <w:tcBorders>
              <w:top w:val="nil"/>
              <w:left w:val="nil"/>
              <w:bottom w:val="nil"/>
              <w:right w:val="nil"/>
            </w:tcBorders>
            <w:vAlign w:val="center"/>
            <w:hideMark/>
          </w:tcPr>
          <w:p w14:paraId="32C79595"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2DC24A8C"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11B2B96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0-15.75</w:t>
            </w:r>
          </w:p>
        </w:tc>
        <w:tc>
          <w:tcPr>
            <w:tcW w:w="291" w:type="pct"/>
            <w:vMerge/>
            <w:tcBorders>
              <w:top w:val="nil"/>
              <w:left w:val="nil"/>
              <w:bottom w:val="nil"/>
              <w:right w:val="nil"/>
            </w:tcBorders>
            <w:vAlign w:val="center"/>
            <w:hideMark/>
          </w:tcPr>
          <w:p w14:paraId="107F3E0C"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7C7C0A7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7D682738" w14:textId="77777777" w:rsidTr="0044059F">
        <w:trPr>
          <w:trHeight w:val="300"/>
        </w:trPr>
        <w:tc>
          <w:tcPr>
            <w:tcW w:w="1112" w:type="pct"/>
            <w:tcBorders>
              <w:top w:val="nil"/>
              <w:left w:val="nil"/>
              <w:bottom w:val="nil"/>
              <w:right w:val="nil"/>
            </w:tcBorders>
            <w:shd w:val="clear" w:color="auto" w:fill="auto"/>
            <w:noWrap/>
            <w:vAlign w:val="bottom"/>
            <w:hideMark/>
          </w:tcPr>
          <w:p w14:paraId="613BC51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Baseline Resource Use</w:t>
            </w:r>
          </w:p>
        </w:tc>
        <w:tc>
          <w:tcPr>
            <w:tcW w:w="707" w:type="pct"/>
            <w:gridSpan w:val="2"/>
            <w:tcBorders>
              <w:top w:val="nil"/>
              <w:left w:val="nil"/>
              <w:bottom w:val="nil"/>
              <w:right w:val="nil"/>
            </w:tcBorders>
            <w:shd w:val="clear" w:color="auto" w:fill="auto"/>
            <w:noWrap/>
            <w:vAlign w:val="bottom"/>
            <w:hideMark/>
          </w:tcPr>
          <w:p w14:paraId="4D05F55A" w14:textId="77777777" w:rsidR="0044059F" w:rsidRPr="0044059F" w:rsidRDefault="0044059F" w:rsidP="0044059F">
            <w:pPr>
              <w:spacing w:after="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78A25549"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6AEB853" w14:textId="77777777" w:rsidR="0044059F" w:rsidRPr="0044059F" w:rsidRDefault="0044059F" w:rsidP="0044059F">
            <w:pPr>
              <w:spacing w:after="0"/>
              <w:rPr>
                <w:rFonts w:ascii="Calibri" w:hAnsi="Calibri" w:cs="Calibri"/>
                <w:sz w:val="18"/>
                <w:szCs w:val="18"/>
                <w:lang w:eastAsia="en-US"/>
              </w:rPr>
            </w:pPr>
            <w:r w:rsidRPr="0044059F">
              <w:rPr>
                <w:rFonts w:ascii="Calibri" w:hAnsi="Calibri" w:cs="Calibri"/>
                <w:sz w:val="18"/>
                <w:szCs w:val="18"/>
                <w:lang w:eastAsia="en-US"/>
              </w:rPr>
              <w:t> </w:t>
            </w:r>
          </w:p>
        </w:tc>
        <w:tc>
          <w:tcPr>
            <w:tcW w:w="337" w:type="pct"/>
            <w:tcBorders>
              <w:top w:val="nil"/>
              <w:left w:val="nil"/>
              <w:bottom w:val="nil"/>
              <w:right w:val="nil"/>
            </w:tcBorders>
            <w:shd w:val="clear" w:color="auto" w:fill="auto"/>
            <w:noWrap/>
            <w:vAlign w:val="bottom"/>
            <w:hideMark/>
          </w:tcPr>
          <w:p w14:paraId="77E203B8" w14:textId="77777777" w:rsidR="0044059F" w:rsidRPr="0044059F" w:rsidRDefault="0044059F" w:rsidP="0044059F">
            <w:pPr>
              <w:spacing w:after="0"/>
              <w:rPr>
                <w:rFonts w:ascii="Calibri" w:hAnsi="Calibri" w:cs="Calibri"/>
                <w:sz w:val="18"/>
                <w:szCs w:val="18"/>
                <w:lang w:eastAsia="en-US"/>
              </w:rPr>
            </w:pPr>
          </w:p>
        </w:tc>
        <w:tc>
          <w:tcPr>
            <w:tcW w:w="291" w:type="pct"/>
            <w:tcBorders>
              <w:top w:val="nil"/>
              <w:left w:val="nil"/>
              <w:bottom w:val="nil"/>
              <w:right w:val="nil"/>
            </w:tcBorders>
            <w:shd w:val="clear" w:color="auto" w:fill="auto"/>
            <w:noWrap/>
            <w:vAlign w:val="bottom"/>
            <w:hideMark/>
          </w:tcPr>
          <w:p w14:paraId="34B59332"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4DCA7A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nil"/>
              <w:bottom w:val="nil"/>
              <w:right w:val="nil"/>
            </w:tcBorders>
            <w:shd w:val="clear" w:color="auto" w:fill="auto"/>
            <w:noWrap/>
            <w:vAlign w:val="bottom"/>
            <w:hideMark/>
          </w:tcPr>
          <w:p w14:paraId="10178363" w14:textId="77777777" w:rsidR="0044059F" w:rsidRPr="0044059F" w:rsidRDefault="0044059F" w:rsidP="0044059F">
            <w:pPr>
              <w:spacing w:after="0"/>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711833C5"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4886FF5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DFF2A62" w14:textId="77777777" w:rsidR="0044059F" w:rsidRPr="0044059F" w:rsidRDefault="0044059F" w:rsidP="0044059F">
            <w:pPr>
              <w:spacing w:after="0"/>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4109FA1F"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6CD4F4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39ABFE83" w14:textId="77777777" w:rsidTr="0044059F">
        <w:trPr>
          <w:trHeight w:val="300"/>
        </w:trPr>
        <w:tc>
          <w:tcPr>
            <w:tcW w:w="1112" w:type="pct"/>
            <w:tcBorders>
              <w:top w:val="nil"/>
              <w:left w:val="nil"/>
              <w:bottom w:val="nil"/>
              <w:right w:val="nil"/>
            </w:tcBorders>
            <w:shd w:val="clear" w:color="auto" w:fill="auto"/>
            <w:noWrap/>
            <w:vAlign w:val="bottom"/>
            <w:hideMark/>
          </w:tcPr>
          <w:p w14:paraId="1FB57EEA"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Number of Inpatient Visits</w:t>
            </w:r>
          </w:p>
        </w:tc>
        <w:tc>
          <w:tcPr>
            <w:tcW w:w="707" w:type="pct"/>
            <w:gridSpan w:val="2"/>
            <w:tcBorders>
              <w:top w:val="nil"/>
              <w:left w:val="nil"/>
              <w:bottom w:val="nil"/>
              <w:right w:val="nil"/>
            </w:tcBorders>
            <w:shd w:val="clear" w:color="auto" w:fill="auto"/>
            <w:noWrap/>
            <w:vAlign w:val="bottom"/>
            <w:hideMark/>
          </w:tcPr>
          <w:p w14:paraId="10D29C52" w14:textId="77777777" w:rsidR="0044059F" w:rsidRPr="0044059F" w:rsidRDefault="0044059F" w:rsidP="0044059F">
            <w:pPr>
              <w:spacing w:after="0"/>
              <w:ind w:firstLineChars="100" w:firstLine="18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7AC3A9F0"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F5B4636" w14:textId="65B1D515" w:rsidR="0044059F" w:rsidRPr="0044059F" w:rsidRDefault="0044059F" w:rsidP="0044059F">
            <w:pPr>
              <w:spacing w:after="0"/>
              <w:jc w:val="right"/>
              <w:rPr>
                <w:rFonts w:ascii="Calibri" w:hAnsi="Calibri" w:cs="Calibri"/>
                <w:sz w:val="18"/>
                <w:szCs w:val="18"/>
                <w:lang w:eastAsia="en-US"/>
              </w:rPr>
            </w:pPr>
            <w:r w:rsidRPr="0044059F">
              <w:rPr>
                <w:rFonts w:ascii="Calibri" w:hAnsi="Calibri" w:cs="Calibri"/>
                <w:sz w:val="18"/>
                <w:szCs w:val="18"/>
                <w:lang w:eastAsia="en-US"/>
              </w:rPr>
              <w:t>0.91</w:t>
            </w:r>
            <w:r>
              <w:rPr>
                <w:rFonts w:ascii="Calibri" w:hAnsi="Calibri" w:cs="Calibri"/>
                <w:sz w:val="18"/>
                <w:szCs w:val="18"/>
                <w:lang w:eastAsia="en-US"/>
              </w:rPr>
              <w:t>7</w:t>
            </w:r>
          </w:p>
        </w:tc>
        <w:tc>
          <w:tcPr>
            <w:tcW w:w="337" w:type="pct"/>
            <w:tcBorders>
              <w:top w:val="nil"/>
              <w:left w:val="nil"/>
              <w:bottom w:val="nil"/>
              <w:right w:val="nil"/>
            </w:tcBorders>
            <w:shd w:val="clear" w:color="auto" w:fill="auto"/>
            <w:noWrap/>
            <w:vAlign w:val="bottom"/>
            <w:hideMark/>
          </w:tcPr>
          <w:p w14:paraId="2BA1605B" w14:textId="77777777" w:rsidR="0044059F" w:rsidRPr="0044059F" w:rsidRDefault="0044059F" w:rsidP="0044059F">
            <w:pPr>
              <w:spacing w:after="0"/>
              <w:jc w:val="right"/>
              <w:rPr>
                <w:rFonts w:ascii="Calibri" w:hAnsi="Calibri" w:cs="Calibri"/>
                <w:sz w:val="18"/>
                <w:szCs w:val="18"/>
                <w:lang w:eastAsia="en-US"/>
              </w:rPr>
            </w:pPr>
          </w:p>
        </w:tc>
        <w:tc>
          <w:tcPr>
            <w:tcW w:w="291" w:type="pct"/>
            <w:tcBorders>
              <w:top w:val="nil"/>
              <w:left w:val="nil"/>
              <w:bottom w:val="nil"/>
              <w:right w:val="nil"/>
            </w:tcBorders>
            <w:shd w:val="clear" w:color="auto" w:fill="auto"/>
            <w:noWrap/>
            <w:vAlign w:val="bottom"/>
            <w:hideMark/>
          </w:tcPr>
          <w:p w14:paraId="68FA5B9F"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799D76C" w14:textId="3B428959"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0.78</w:t>
            </w:r>
            <w:r>
              <w:rPr>
                <w:rFonts w:ascii="Calibri" w:hAnsi="Calibri" w:cs="Calibri"/>
                <w:color w:val="000000"/>
                <w:sz w:val="18"/>
                <w:szCs w:val="18"/>
                <w:lang w:eastAsia="en-US"/>
              </w:rPr>
              <w:t>2</w:t>
            </w:r>
          </w:p>
        </w:tc>
        <w:tc>
          <w:tcPr>
            <w:tcW w:w="295" w:type="pct"/>
            <w:tcBorders>
              <w:top w:val="nil"/>
              <w:left w:val="nil"/>
              <w:bottom w:val="nil"/>
              <w:right w:val="nil"/>
            </w:tcBorders>
            <w:shd w:val="clear" w:color="auto" w:fill="auto"/>
            <w:noWrap/>
            <w:vAlign w:val="bottom"/>
            <w:hideMark/>
          </w:tcPr>
          <w:p w14:paraId="13EA4352"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1D2568A6"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F2C6333" w14:textId="757D99E0"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w:t>
            </w:r>
            <w:r>
              <w:rPr>
                <w:rFonts w:ascii="Calibri" w:hAnsi="Calibri" w:cs="Calibri"/>
                <w:color w:val="000000"/>
                <w:sz w:val="18"/>
                <w:szCs w:val="18"/>
                <w:lang w:eastAsia="en-US"/>
              </w:rPr>
              <w:t>60</w:t>
            </w:r>
          </w:p>
        </w:tc>
        <w:tc>
          <w:tcPr>
            <w:tcW w:w="337" w:type="pct"/>
            <w:tcBorders>
              <w:top w:val="nil"/>
              <w:left w:val="nil"/>
              <w:bottom w:val="nil"/>
              <w:right w:val="nil"/>
            </w:tcBorders>
            <w:shd w:val="clear" w:color="auto" w:fill="auto"/>
            <w:noWrap/>
            <w:vAlign w:val="bottom"/>
            <w:hideMark/>
          </w:tcPr>
          <w:p w14:paraId="24E66C87" w14:textId="77777777" w:rsidR="0044059F" w:rsidRPr="0044059F" w:rsidRDefault="0044059F" w:rsidP="0044059F">
            <w:pPr>
              <w:spacing w:after="0"/>
              <w:jc w:val="right"/>
              <w:rPr>
                <w:rFonts w:ascii="Calibri" w:hAnsi="Calibri" w:cs="Calibri"/>
                <w:color w:val="000000"/>
                <w:sz w:val="18"/>
                <w:szCs w:val="18"/>
                <w:lang w:eastAsia="en-US"/>
              </w:rPr>
            </w:pPr>
          </w:p>
        </w:tc>
        <w:tc>
          <w:tcPr>
            <w:tcW w:w="291" w:type="pct"/>
            <w:tcBorders>
              <w:top w:val="nil"/>
              <w:left w:val="nil"/>
              <w:bottom w:val="nil"/>
              <w:right w:val="nil"/>
            </w:tcBorders>
            <w:shd w:val="clear" w:color="auto" w:fill="auto"/>
            <w:noWrap/>
            <w:vAlign w:val="bottom"/>
            <w:hideMark/>
          </w:tcPr>
          <w:p w14:paraId="36DE3815"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061A4A96" w14:textId="6E850D79"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0.727</w:t>
            </w:r>
          </w:p>
        </w:tc>
      </w:tr>
      <w:tr w:rsidR="0044059F" w:rsidRPr="0044059F" w14:paraId="45681C2C" w14:textId="77777777" w:rsidTr="0044059F">
        <w:trPr>
          <w:trHeight w:val="300"/>
        </w:trPr>
        <w:tc>
          <w:tcPr>
            <w:tcW w:w="1112" w:type="pct"/>
            <w:tcBorders>
              <w:top w:val="nil"/>
              <w:left w:val="nil"/>
              <w:bottom w:val="nil"/>
              <w:right w:val="nil"/>
            </w:tcBorders>
            <w:shd w:val="clear" w:color="auto" w:fill="auto"/>
            <w:noWrap/>
            <w:vAlign w:val="bottom"/>
            <w:hideMark/>
          </w:tcPr>
          <w:p w14:paraId="164FACE7"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0</w:t>
            </w:r>
          </w:p>
        </w:tc>
        <w:tc>
          <w:tcPr>
            <w:tcW w:w="707" w:type="pct"/>
            <w:gridSpan w:val="2"/>
            <w:tcBorders>
              <w:top w:val="nil"/>
              <w:left w:val="nil"/>
              <w:bottom w:val="nil"/>
              <w:right w:val="nil"/>
            </w:tcBorders>
            <w:shd w:val="clear" w:color="auto" w:fill="auto"/>
            <w:noWrap/>
            <w:vAlign w:val="bottom"/>
            <w:hideMark/>
          </w:tcPr>
          <w:p w14:paraId="09A8CE1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68.2%</w:t>
            </w:r>
          </w:p>
        </w:tc>
        <w:tc>
          <w:tcPr>
            <w:tcW w:w="369" w:type="pct"/>
            <w:tcBorders>
              <w:top w:val="nil"/>
              <w:left w:val="nil"/>
              <w:bottom w:val="nil"/>
              <w:right w:val="nil"/>
            </w:tcBorders>
            <w:shd w:val="clear" w:color="auto" w:fill="auto"/>
            <w:noWrap/>
            <w:vAlign w:val="bottom"/>
            <w:hideMark/>
          </w:tcPr>
          <w:p w14:paraId="2BF64C3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68.5%</w:t>
            </w:r>
          </w:p>
        </w:tc>
        <w:tc>
          <w:tcPr>
            <w:tcW w:w="242" w:type="pct"/>
            <w:tcBorders>
              <w:top w:val="nil"/>
              <w:left w:val="nil"/>
              <w:bottom w:val="nil"/>
              <w:right w:val="single" w:sz="4" w:space="0" w:color="auto"/>
            </w:tcBorders>
            <w:shd w:val="clear" w:color="auto" w:fill="auto"/>
            <w:noWrap/>
            <w:vAlign w:val="bottom"/>
            <w:hideMark/>
          </w:tcPr>
          <w:p w14:paraId="22D61B3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ADDF86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78.6%</w:t>
            </w:r>
          </w:p>
        </w:tc>
        <w:tc>
          <w:tcPr>
            <w:tcW w:w="291" w:type="pct"/>
            <w:tcBorders>
              <w:top w:val="nil"/>
              <w:left w:val="nil"/>
              <w:bottom w:val="nil"/>
              <w:right w:val="nil"/>
            </w:tcBorders>
            <w:shd w:val="clear" w:color="auto" w:fill="auto"/>
            <w:noWrap/>
            <w:vAlign w:val="bottom"/>
            <w:hideMark/>
          </w:tcPr>
          <w:p w14:paraId="008F337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79.2%</w:t>
            </w:r>
          </w:p>
        </w:tc>
        <w:tc>
          <w:tcPr>
            <w:tcW w:w="242" w:type="pct"/>
            <w:tcBorders>
              <w:top w:val="nil"/>
              <w:left w:val="nil"/>
              <w:bottom w:val="nil"/>
              <w:right w:val="nil"/>
            </w:tcBorders>
            <w:shd w:val="clear" w:color="auto" w:fill="auto"/>
            <w:noWrap/>
            <w:vAlign w:val="bottom"/>
            <w:hideMark/>
          </w:tcPr>
          <w:p w14:paraId="10B6A1AB"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4964E88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64.8%</w:t>
            </w:r>
          </w:p>
        </w:tc>
        <w:tc>
          <w:tcPr>
            <w:tcW w:w="291" w:type="pct"/>
            <w:tcBorders>
              <w:top w:val="nil"/>
              <w:left w:val="nil"/>
              <w:bottom w:val="nil"/>
              <w:right w:val="nil"/>
            </w:tcBorders>
            <w:shd w:val="clear" w:color="auto" w:fill="auto"/>
            <w:noWrap/>
            <w:vAlign w:val="bottom"/>
            <w:hideMark/>
          </w:tcPr>
          <w:p w14:paraId="3F38518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66.5%</w:t>
            </w:r>
          </w:p>
        </w:tc>
        <w:tc>
          <w:tcPr>
            <w:tcW w:w="242" w:type="pct"/>
            <w:tcBorders>
              <w:top w:val="nil"/>
              <w:left w:val="nil"/>
              <w:bottom w:val="nil"/>
              <w:right w:val="single" w:sz="4" w:space="0" w:color="auto"/>
            </w:tcBorders>
            <w:shd w:val="clear" w:color="auto" w:fill="auto"/>
            <w:noWrap/>
            <w:vAlign w:val="bottom"/>
            <w:hideMark/>
          </w:tcPr>
          <w:p w14:paraId="6E9B794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D89B56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78.9%</w:t>
            </w:r>
          </w:p>
        </w:tc>
        <w:tc>
          <w:tcPr>
            <w:tcW w:w="291" w:type="pct"/>
            <w:tcBorders>
              <w:top w:val="nil"/>
              <w:left w:val="nil"/>
              <w:bottom w:val="nil"/>
              <w:right w:val="nil"/>
            </w:tcBorders>
            <w:shd w:val="clear" w:color="auto" w:fill="auto"/>
            <w:noWrap/>
            <w:vAlign w:val="bottom"/>
            <w:hideMark/>
          </w:tcPr>
          <w:p w14:paraId="0701D57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79.8%</w:t>
            </w:r>
          </w:p>
        </w:tc>
        <w:tc>
          <w:tcPr>
            <w:tcW w:w="242" w:type="pct"/>
            <w:tcBorders>
              <w:top w:val="nil"/>
              <w:left w:val="nil"/>
              <w:bottom w:val="nil"/>
              <w:right w:val="single" w:sz="4" w:space="0" w:color="auto"/>
            </w:tcBorders>
            <w:shd w:val="clear" w:color="auto" w:fill="auto"/>
            <w:noWrap/>
            <w:vAlign w:val="bottom"/>
            <w:hideMark/>
          </w:tcPr>
          <w:p w14:paraId="6C66F8E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74617060" w14:textId="77777777" w:rsidTr="0044059F">
        <w:trPr>
          <w:trHeight w:val="300"/>
        </w:trPr>
        <w:tc>
          <w:tcPr>
            <w:tcW w:w="1112" w:type="pct"/>
            <w:tcBorders>
              <w:top w:val="nil"/>
              <w:left w:val="nil"/>
              <w:bottom w:val="nil"/>
              <w:right w:val="nil"/>
            </w:tcBorders>
            <w:shd w:val="clear" w:color="auto" w:fill="auto"/>
            <w:noWrap/>
            <w:vAlign w:val="bottom"/>
            <w:hideMark/>
          </w:tcPr>
          <w:p w14:paraId="460DA4DE"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1</w:t>
            </w:r>
          </w:p>
        </w:tc>
        <w:tc>
          <w:tcPr>
            <w:tcW w:w="707" w:type="pct"/>
            <w:gridSpan w:val="2"/>
            <w:tcBorders>
              <w:top w:val="nil"/>
              <w:left w:val="nil"/>
              <w:bottom w:val="nil"/>
              <w:right w:val="nil"/>
            </w:tcBorders>
            <w:shd w:val="clear" w:color="auto" w:fill="auto"/>
            <w:noWrap/>
            <w:vAlign w:val="bottom"/>
            <w:hideMark/>
          </w:tcPr>
          <w:p w14:paraId="147AAD2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21.6%</w:t>
            </w:r>
          </w:p>
        </w:tc>
        <w:tc>
          <w:tcPr>
            <w:tcW w:w="369" w:type="pct"/>
            <w:tcBorders>
              <w:top w:val="nil"/>
              <w:left w:val="nil"/>
              <w:bottom w:val="nil"/>
              <w:right w:val="nil"/>
            </w:tcBorders>
            <w:shd w:val="clear" w:color="auto" w:fill="auto"/>
            <w:noWrap/>
            <w:vAlign w:val="bottom"/>
            <w:hideMark/>
          </w:tcPr>
          <w:p w14:paraId="4152204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21.7%</w:t>
            </w:r>
          </w:p>
        </w:tc>
        <w:tc>
          <w:tcPr>
            <w:tcW w:w="242" w:type="pct"/>
            <w:tcBorders>
              <w:top w:val="nil"/>
              <w:left w:val="nil"/>
              <w:bottom w:val="nil"/>
              <w:right w:val="single" w:sz="4" w:space="0" w:color="auto"/>
            </w:tcBorders>
            <w:shd w:val="clear" w:color="auto" w:fill="auto"/>
            <w:noWrap/>
            <w:vAlign w:val="bottom"/>
            <w:hideMark/>
          </w:tcPr>
          <w:p w14:paraId="06AC9BC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6E121A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16.6%</w:t>
            </w:r>
          </w:p>
        </w:tc>
        <w:tc>
          <w:tcPr>
            <w:tcW w:w="291" w:type="pct"/>
            <w:tcBorders>
              <w:top w:val="nil"/>
              <w:left w:val="nil"/>
              <w:bottom w:val="nil"/>
              <w:right w:val="nil"/>
            </w:tcBorders>
            <w:shd w:val="clear" w:color="auto" w:fill="auto"/>
            <w:noWrap/>
            <w:vAlign w:val="bottom"/>
            <w:hideMark/>
          </w:tcPr>
          <w:p w14:paraId="25D4968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16.0%</w:t>
            </w:r>
          </w:p>
        </w:tc>
        <w:tc>
          <w:tcPr>
            <w:tcW w:w="242" w:type="pct"/>
            <w:tcBorders>
              <w:top w:val="nil"/>
              <w:left w:val="nil"/>
              <w:bottom w:val="nil"/>
              <w:right w:val="nil"/>
            </w:tcBorders>
            <w:shd w:val="clear" w:color="auto" w:fill="auto"/>
            <w:noWrap/>
            <w:vAlign w:val="bottom"/>
            <w:hideMark/>
          </w:tcPr>
          <w:p w14:paraId="67A0705E"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1103BB7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23.9%</w:t>
            </w:r>
          </w:p>
        </w:tc>
        <w:tc>
          <w:tcPr>
            <w:tcW w:w="291" w:type="pct"/>
            <w:tcBorders>
              <w:top w:val="nil"/>
              <w:left w:val="nil"/>
              <w:bottom w:val="nil"/>
              <w:right w:val="nil"/>
            </w:tcBorders>
            <w:shd w:val="clear" w:color="auto" w:fill="auto"/>
            <w:noWrap/>
            <w:vAlign w:val="bottom"/>
            <w:hideMark/>
          </w:tcPr>
          <w:p w14:paraId="573C6F1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23.2%</w:t>
            </w:r>
          </w:p>
        </w:tc>
        <w:tc>
          <w:tcPr>
            <w:tcW w:w="242" w:type="pct"/>
            <w:tcBorders>
              <w:top w:val="nil"/>
              <w:left w:val="nil"/>
              <w:bottom w:val="nil"/>
              <w:right w:val="single" w:sz="4" w:space="0" w:color="auto"/>
            </w:tcBorders>
            <w:shd w:val="clear" w:color="auto" w:fill="auto"/>
            <w:noWrap/>
            <w:vAlign w:val="bottom"/>
            <w:hideMark/>
          </w:tcPr>
          <w:p w14:paraId="447FC164"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42AFDF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16.7%</w:t>
            </w:r>
          </w:p>
        </w:tc>
        <w:tc>
          <w:tcPr>
            <w:tcW w:w="291" w:type="pct"/>
            <w:tcBorders>
              <w:top w:val="nil"/>
              <w:left w:val="nil"/>
              <w:bottom w:val="nil"/>
              <w:right w:val="nil"/>
            </w:tcBorders>
            <w:shd w:val="clear" w:color="auto" w:fill="auto"/>
            <w:noWrap/>
            <w:vAlign w:val="bottom"/>
            <w:hideMark/>
          </w:tcPr>
          <w:p w14:paraId="305D77A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16.5%</w:t>
            </w:r>
          </w:p>
        </w:tc>
        <w:tc>
          <w:tcPr>
            <w:tcW w:w="242" w:type="pct"/>
            <w:tcBorders>
              <w:top w:val="nil"/>
              <w:left w:val="nil"/>
              <w:bottom w:val="nil"/>
              <w:right w:val="single" w:sz="4" w:space="0" w:color="auto"/>
            </w:tcBorders>
            <w:shd w:val="clear" w:color="auto" w:fill="auto"/>
            <w:noWrap/>
            <w:vAlign w:val="bottom"/>
            <w:hideMark/>
          </w:tcPr>
          <w:p w14:paraId="0CC4C90B"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65AA92F" w14:textId="77777777" w:rsidTr="0044059F">
        <w:trPr>
          <w:trHeight w:val="300"/>
        </w:trPr>
        <w:tc>
          <w:tcPr>
            <w:tcW w:w="1112" w:type="pct"/>
            <w:tcBorders>
              <w:top w:val="nil"/>
              <w:left w:val="nil"/>
              <w:bottom w:val="nil"/>
              <w:right w:val="nil"/>
            </w:tcBorders>
            <w:shd w:val="clear" w:color="auto" w:fill="auto"/>
            <w:noWrap/>
            <w:vAlign w:val="bottom"/>
            <w:hideMark/>
          </w:tcPr>
          <w:p w14:paraId="59211AB8"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2+</w:t>
            </w:r>
          </w:p>
        </w:tc>
        <w:tc>
          <w:tcPr>
            <w:tcW w:w="707" w:type="pct"/>
            <w:gridSpan w:val="2"/>
            <w:tcBorders>
              <w:top w:val="nil"/>
              <w:left w:val="nil"/>
              <w:bottom w:val="nil"/>
              <w:right w:val="nil"/>
            </w:tcBorders>
            <w:shd w:val="clear" w:color="auto" w:fill="auto"/>
            <w:noWrap/>
            <w:vAlign w:val="bottom"/>
            <w:hideMark/>
          </w:tcPr>
          <w:p w14:paraId="660AEAD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10.2%</w:t>
            </w:r>
          </w:p>
        </w:tc>
        <w:tc>
          <w:tcPr>
            <w:tcW w:w="369" w:type="pct"/>
            <w:tcBorders>
              <w:top w:val="nil"/>
              <w:left w:val="nil"/>
              <w:bottom w:val="nil"/>
              <w:right w:val="nil"/>
            </w:tcBorders>
            <w:shd w:val="clear" w:color="auto" w:fill="auto"/>
            <w:noWrap/>
            <w:vAlign w:val="bottom"/>
            <w:hideMark/>
          </w:tcPr>
          <w:p w14:paraId="4BDF5C4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9.8%</w:t>
            </w:r>
          </w:p>
        </w:tc>
        <w:tc>
          <w:tcPr>
            <w:tcW w:w="242" w:type="pct"/>
            <w:tcBorders>
              <w:top w:val="nil"/>
              <w:left w:val="nil"/>
              <w:bottom w:val="nil"/>
              <w:right w:val="single" w:sz="4" w:space="0" w:color="auto"/>
            </w:tcBorders>
            <w:shd w:val="clear" w:color="auto" w:fill="auto"/>
            <w:noWrap/>
            <w:vAlign w:val="bottom"/>
            <w:hideMark/>
          </w:tcPr>
          <w:p w14:paraId="52E4999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6E40DD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4.8%</w:t>
            </w:r>
          </w:p>
        </w:tc>
        <w:tc>
          <w:tcPr>
            <w:tcW w:w="291" w:type="pct"/>
            <w:tcBorders>
              <w:top w:val="nil"/>
              <w:left w:val="nil"/>
              <w:bottom w:val="nil"/>
              <w:right w:val="nil"/>
            </w:tcBorders>
            <w:shd w:val="clear" w:color="auto" w:fill="auto"/>
            <w:noWrap/>
            <w:vAlign w:val="bottom"/>
            <w:hideMark/>
          </w:tcPr>
          <w:p w14:paraId="15F4CE5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4.8%</w:t>
            </w:r>
          </w:p>
        </w:tc>
        <w:tc>
          <w:tcPr>
            <w:tcW w:w="242" w:type="pct"/>
            <w:tcBorders>
              <w:top w:val="nil"/>
              <w:left w:val="nil"/>
              <w:bottom w:val="nil"/>
              <w:right w:val="nil"/>
            </w:tcBorders>
            <w:shd w:val="clear" w:color="auto" w:fill="auto"/>
            <w:noWrap/>
            <w:vAlign w:val="bottom"/>
            <w:hideMark/>
          </w:tcPr>
          <w:p w14:paraId="6B9CF7DB"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7FDD905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11.3%</w:t>
            </w:r>
          </w:p>
        </w:tc>
        <w:tc>
          <w:tcPr>
            <w:tcW w:w="291" w:type="pct"/>
            <w:tcBorders>
              <w:top w:val="nil"/>
              <w:left w:val="nil"/>
              <w:bottom w:val="nil"/>
              <w:right w:val="nil"/>
            </w:tcBorders>
            <w:shd w:val="clear" w:color="auto" w:fill="auto"/>
            <w:noWrap/>
            <w:vAlign w:val="bottom"/>
            <w:hideMark/>
          </w:tcPr>
          <w:p w14:paraId="71F7E06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10.3%</w:t>
            </w:r>
          </w:p>
        </w:tc>
        <w:tc>
          <w:tcPr>
            <w:tcW w:w="242" w:type="pct"/>
            <w:tcBorders>
              <w:top w:val="nil"/>
              <w:left w:val="nil"/>
              <w:bottom w:val="nil"/>
              <w:right w:val="single" w:sz="4" w:space="0" w:color="auto"/>
            </w:tcBorders>
            <w:shd w:val="clear" w:color="auto" w:fill="auto"/>
            <w:noWrap/>
            <w:vAlign w:val="bottom"/>
            <w:hideMark/>
          </w:tcPr>
          <w:p w14:paraId="4D67C3A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20CAA6F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4.4%</w:t>
            </w:r>
          </w:p>
        </w:tc>
        <w:tc>
          <w:tcPr>
            <w:tcW w:w="291" w:type="pct"/>
            <w:tcBorders>
              <w:top w:val="nil"/>
              <w:left w:val="nil"/>
              <w:bottom w:val="nil"/>
              <w:right w:val="nil"/>
            </w:tcBorders>
            <w:shd w:val="clear" w:color="auto" w:fill="auto"/>
            <w:noWrap/>
            <w:vAlign w:val="bottom"/>
            <w:hideMark/>
          </w:tcPr>
          <w:p w14:paraId="1974AA9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3.7%</w:t>
            </w:r>
          </w:p>
        </w:tc>
        <w:tc>
          <w:tcPr>
            <w:tcW w:w="242" w:type="pct"/>
            <w:tcBorders>
              <w:top w:val="nil"/>
              <w:left w:val="nil"/>
              <w:bottom w:val="nil"/>
              <w:right w:val="single" w:sz="4" w:space="0" w:color="auto"/>
            </w:tcBorders>
            <w:shd w:val="clear" w:color="auto" w:fill="auto"/>
            <w:noWrap/>
            <w:vAlign w:val="bottom"/>
            <w:hideMark/>
          </w:tcPr>
          <w:p w14:paraId="2BC0968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422BD877" w14:textId="77777777" w:rsidTr="0044059F">
        <w:trPr>
          <w:trHeight w:val="300"/>
        </w:trPr>
        <w:tc>
          <w:tcPr>
            <w:tcW w:w="1112" w:type="pct"/>
            <w:tcBorders>
              <w:top w:val="nil"/>
              <w:left w:val="nil"/>
              <w:bottom w:val="nil"/>
              <w:right w:val="nil"/>
            </w:tcBorders>
            <w:shd w:val="clear" w:color="auto" w:fill="auto"/>
            <w:noWrap/>
            <w:vAlign w:val="bottom"/>
            <w:hideMark/>
          </w:tcPr>
          <w:p w14:paraId="2F192D24"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Number of ED Visits</w:t>
            </w:r>
          </w:p>
        </w:tc>
        <w:tc>
          <w:tcPr>
            <w:tcW w:w="707" w:type="pct"/>
            <w:gridSpan w:val="2"/>
            <w:tcBorders>
              <w:top w:val="nil"/>
              <w:left w:val="nil"/>
              <w:bottom w:val="nil"/>
              <w:right w:val="nil"/>
            </w:tcBorders>
            <w:shd w:val="clear" w:color="auto" w:fill="auto"/>
            <w:noWrap/>
            <w:vAlign w:val="bottom"/>
            <w:hideMark/>
          </w:tcPr>
          <w:p w14:paraId="73E59957" w14:textId="77777777" w:rsidR="0044059F" w:rsidRPr="0044059F" w:rsidRDefault="0044059F" w:rsidP="0044059F">
            <w:pPr>
              <w:spacing w:after="0"/>
              <w:ind w:firstLineChars="100" w:firstLine="18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4A388196"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74D02F61" w14:textId="5F72B8B4"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0.72</w:t>
            </w:r>
            <w:r>
              <w:rPr>
                <w:rFonts w:ascii="Calibri" w:hAnsi="Calibri" w:cs="Calibri"/>
                <w:color w:val="000000"/>
                <w:sz w:val="18"/>
                <w:szCs w:val="18"/>
                <w:lang w:eastAsia="en-US"/>
              </w:rPr>
              <w:t>3</w:t>
            </w:r>
          </w:p>
        </w:tc>
        <w:tc>
          <w:tcPr>
            <w:tcW w:w="337" w:type="pct"/>
            <w:tcBorders>
              <w:top w:val="nil"/>
              <w:left w:val="nil"/>
              <w:bottom w:val="nil"/>
              <w:right w:val="nil"/>
            </w:tcBorders>
            <w:shd w:val="clear" w:color="auto" w:fill="auto"/>
            <w:noWrap/>
            <w:vAlign w:val="bottom"/>
            <w:hideMark/>
          </w:tcPr>
          <w:p w14:paraId="71B69EE9"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05FB4875"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nil"/>
            </w:tcBorders>
            <w:shd w:val="clear" w:color="auto" w:fill="auto"/>
            <w:noWrap/>
            <w:vAlign w:val="bottom"/>
            <w:hideMark/>
          </w:tcPr>
          <w:p w14:paraId="1417751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0.882</w:t>
            </w:r>
          </w:p>
        </w:tc>
        <w:tc>
          <w:tcPr>
            <w:tcW w:w="295" w:type="pct"/>
            <w:tcBorders>
              <w:top w:val="nil"/>
              <w:left w:val="single" w:sz="4" w:space="0" w:color="auto"/>
              <w:bottom w:val="nil"/>
              <w:right w:val="nil"/>
            </w:tcBorders>
            <w:shd w:val="clear" w:color="auto" w:fill="auto"/>
            <w:noWrap/>
            <w:vAlign w:val="bottom"/>
            <w:hideMark/>
          </w:tcPr>
          <w:p w14:paraId="62F2C85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16FDAB06"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1C96B5BC" w14:textId="700C886F"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0.912</w:t>
            </w:r>
          </w:p>
        </w:tc>
        <w:tc>
          <w:tcPr>
            <w:tcW w:w="337" w:type="pct"/>
            <w:tcBorders>
              <w:top w:val="nil"/>
              <w:left w:val="nil"/>
              <w:bottom w:val="nil"/>
              <w:right w:val="nil"/>
            </w:tcBorders>
            <w:shd w:val="clear" w:color="auto" w:fill="auto"/>
            <w:noWrap/>
            <w:vAlign w:val="bottom"/>
            <w:hideMark/>
          </w:tcPr>
          <w:p w14:paraId="5CC6BBBF"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4F1D6F0B"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739DEF9" w14:textId="482289C8"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0.99</w:t>
            </w:r>
            <w:r>
              <w:rPr>
                <w:rFonts w:ascii="Calibri" w:hAnsi="Calibri" w:cs="Calibri"/>
                <w:color w:val="000000"/>
                <w:sz w:val="18"/>
                <w:szCs w:val="18"/>
                <w:lang w:eastAsia="en-US"/>
              </w:rPr>
              <w:t>9</w:t>
            </w:r>
          </w:p>
        </w:tc>
      </w:tr>
      <w:tr w:rsidR="0044059F" w:rsidRPr="0044059F" w14:paraId="3F74EFD6" w14:textId="77777777" w:rsidTr="0044059F">
        <w:trPr>
          <w:trHeight w:val="300"/>
        </w:trPr>
        <w:tc>
          <w:tcPr>
            <w:tcW w:w="1112" w:type="pct"/>
            <w:tcBorders>
              <w:top w:val="nil"/>
              <w:left w:val="nil"/>
              <w:bottom w:val="nil"/>
              <w:right w:val="nil"/>
            </w:tcBorders>
            <w:shd w:val="clear" w:color="auto" w:fill="auto"/>
            <w:noWrap/>
            <w:vAlign w:val="bottom"/>
            <w:hideMark/>
          </w:tcPr>
          <w:p w14:paraId="271C1730"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0</w:t>
            </w:r>
          </w:p>
        </w:tc>
        <w:tc>
          <w:tcPr>
            <w:tcW w:w="707" w:type="pct"/>
            <w:gridSpan w:val="2"/>
            <w:tcBorders>
              <w:top w:val="nil"/>
              <w:left w:val="nil"/>
              <w:bottom w:val="nil"/>
              <w:right w:val="nil"/>
            </w:tcBorders>
            <w:shd w:val="clear" w:color="auto" w:fill="auto"/>
            <w:noWrap/>
            <w:vAlign w:val="bottom"/>
            <w:hideMark/>
          </w:tcPr>
          <w:p w14:paraId="7BB24AA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56.1%</w:t>
            </w:r>
          </w:p>
        </w:tc>
        <w:tc>
          <w:tcPr>
            <w:tcW w:w="369" w:type="pct"/>
            <w:tcBorders>
              <w:top w:val="nil"/>
              <w:left w:val="nil"/>
              <w:bottom w:val="nil"/>
              <w:right w:val="nil"/>
            </w:tcBorders>
            <w:shd w:val="clear" w:color="auto" w:fill="auto"/>
            <w:noWrap/>
            <w:vAlign w:val="bottom"/>
            <w:hideMark/>
          </w:tcPr>
          <w:p w14:paraId="01E5D33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56.7%</w:t>
            </w:r>
          </w:p>
        </w:tc>
        <w:tc>
          <w:tcPr>
            <w:tcW w:w="242" w:type="pct"/>
            <w:tcBorders>
              <w:top w:val="nil"/>
              <w:left w:val="nil"/>
              <w:bottom w:val="nil"/>
              <w:right w:val="single" w:sz="4" w:space="0" w:color="auto"/>
            </w:tcBorders>
            <w:shd w:val="clear" w:color="auto" w:fill="auto"/>
            <w:noWrap/>
            <w:vAlign w:val="bottom"/>
            <w:hideMark/>
          </w:tcPr>
          <w:p w14:paraId="68E3A40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0018F80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55.3%</w:t>
            </w:r>
          </w:p>
        </w:tc>
        <w:tc>
          <w:tcPr>
            <w:tcW w:w="291" w:type="pct"/>
            <w:tcBorders>
              <w:top w:val="nil"/>
              <w:left w:val="nil"/>
              <w:bottom w:val="nil"/>
              <w:right w:val="nil"/>
            </w:tcBorders>
            <w:shd w:val="clear" w:color="auto" w:fill="auto"/>
            <w:noWrap/>
            <w:vAlign w:val="bottom"/>
            <w:hideMark/>
          </w:tcPr>
          <w:p w14:paraId="58F0716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55.8%</w:t>
            </w:r>
          </w:p>
        </w:tc>
        <w:tc>
          <w:tcPr>
            <w:tcW w:w="242" w:type="pct"/>
            <w:tcBorders>
              <w:top w:val="nil"/>
              <w:left w:val="nil"/>
              <w:bottom w:val="nil"/>
              <w:right w:val="nil"/>
            </w:tcBorders>
            <w:shd w:val="clear" w:color="auto" w:fill="auto"/>
            <w:noWrap/>
            <w:vAlign w:val="bottom"/>
            <w:hideMark/>
          </w:tcPr>
          <w:p w14:paraId="1B3B20C3"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46649DA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56.5%</w:t>
            </w:r>
          </w:p>
        </w:tc>
        <w:tc>
          <w:tcPr>
            <w:tcW w:w="291" w:type="pct"/>
            <w:tcBorders>
              <w:top w:val="nil"/>
              <w:left w:val="nil"/>
              <w:bottom w:val="nil"/>
              <w:right w:val="nil"/>
            </w:tcBorders>
            <w:shd w:val="clear" w:color="auto" w:fill="auto"/>
            <w:noWrap/>
            <w:vAlign w:val="bottom"/>
            <w:hideMark/>
          </w:tcPr>
          <w:p w14:paraId="1CFFD33A"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57.6%</w:t>
            </w:r>
          </w:p>
        </w:tc>
        <w:tc>
          <w:tcPr>
            <w:tcW w:w="242" w:type="pct"/>
            <w:tcBorders>
              <w:top w:val="nil"/>
              <w:left w:val="nil"/>
              <w:bottom w:val="nil"/>
              <w:right w:val="single" w:sz="4" w:space="0" w:color="auto"/>
            </w:tcBorders>
            <w:shd w:val="clear" w:color="auto" w:fill="auto"/>
            <w:noWrap/>
            <w:vAlign w:val="bottom"/>
            <w:hideMark/>
          </w:tcPr>
          <w:p w14:paraId="1D57123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3062A00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55.5%</w:t>
            </w:r>
          </w:p>
        </w:tc>
        <w:tc>
          <w:tcPr>
            <w:tcW w:w="291" w:type="pct"/>
            <w:tcBorders>
              <w:top w:val="nil"/>
              <w:left w:val="nil"/>
              <w:bottom w:val="nil"/>
              <w:right w:val="nil"/>
            </w:tcBorders>
            <w:shd w:val="clear" w:color="auto" w:fill="auto"/>
            <w:noWrap/>
            <w:vAlign w:val="bottom"/>
            <w:hideMark/>
          </w:tcPr>
          <w:p w14:paraId="52A1CA1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55.4%</w:t>
            </w:r>
          </w:p>
        </w:tc>
        <w:tc>
          <w:tcPr>
            <w:tcW w:w="242" w:type="pct"/>
            <w:tcBorders>
              <w:top w:val="nil"/>
              <w:left w:val="nil"/>
              <w:bottom w:val="nil"/>
              <w:right w:val="single" w:sz="4" w:space="0" w:color="auto"/>
            </w:tcBorders>
            <w:shd w:val="clear" w:color="auto" w:fill="auto"/>
            <w:noWrap/>
            <w:vAlign w:val="bottom"/>
            <w:hideMark/>
          </w:tcPr>
          <w:p w14:paraId="23D1B76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BEB8B08" w14:textId="77777777" w:rsidTr="0044059F">
        <w:trPr>
          <w:trHeight w:val="300"/>
        </w:trPr>
        <w:tc>
          <w:tcPr>
            <w:tcW w:w="1112" w:type="pct"/>
            <w:tcBorders>
              <w:top w:val="nil"/>
              <w:left w:val="nil"/>
              <w:bottom w:val="nil"/>
              <w:right w:val="nil"/>
            </w:tcBorders>
            <w:shd w:val="clear" w:color="auto" w:fill="auto"/>
            <w:noWrap/>
            <w:vAlign w:val="bottom"/>
            <w:hideMark/>
          </w:tcPr>
          <w:p w14:paraId="0421B84B"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1</w:t>
            </w:r>
          </w:p>
        </w:tc>
        <w:tc>
          <w:tcPr>
            <w:tcW w:w="707" w:type="pct"/>
            <w:gridSpan w:val="2"/>
            <w:tcBorders>
              <w:top w:val="nil"/>
              <w:left w:val="nil"/>
              <w:bottom w:val="nil"/>
              <w:right w:val="nil"/>
            </w:tcBorders>
            <w:shd w:val="clear" w:color="auto" w:fill="auto"/>
            <w:noWrap/>
            <w:vAlign w:val="bottom"/>
            <w:hideMark/>
          </w:tcPr>
          <w:p w14:paraId="1CA7B6A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27.5%</w:t>
            </w:r>
          </w:p>
        </w:tc>
        <w:tc>
          <w:tcPr>
            <w:tcW w:w="369" w:type="pct"/>
            <w:tcBorders>
              <w:top w:val="nil"/>
              <w:left w:val="nil"/>
              <w:bottom w:val="nil"/>
              <w:right w:val="nil"/>
            </w:tcBorders>
            <w:shd w:val="clear" w:color="auto" w:fill="auto"/>
            <w:noWrap/>
            <w:vAlign w:val="bottom"/>
            <w:hideMark/>
          </w:tcPr>
          <w:p w14:paraId="6917720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27.8%</w:t>
            </w:r>
          </w:p>
        </w:tc>
        <w:tc>
          <w:tcPr>
            <w:tcW w:w="242" w:type="pct"/>
            <w:tcBorders>
              <w:top w:val="nil"/>
              <w:left w:val="nil"/>
              <w:bottom w:val="nil"/>
              <w:right w:val="single" w:sz="4" w:space="0" w:color="auto"/>
            </w:tcBorders>
            <w:shd w:val="clear" w:color="auto" w:fill="auto"/>
            <w:noWrap/>
            <w:vAlign w:val="bottom"/>
            <w:hideMark/>
          </w:tcPr>
          <w:p w14:paraId="437F0B7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BE82E5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28.6%</w:t>
            </w:r>
          </w:p>
        </w:tc>
        <w:tc>
          <w:tcPr>
            <w:tcW w:w="291" w:type="pct"/>
            <w:tcBorders>
              <w:top w:val="nil"/>
              <w:left w:val="nil"/>
              <w:bottom w:val="nil"/>
              <w:right w:val="nil"/>
            </w:tcBorders>
            <w:shd w:val="clear" w:color="auto" w:fill="auto"/>
            <w:noWrap/>
            <w:vAlign w:val="bottom"/>
            <w:hideMark/>
          </w:tcPr>
          <w:p w14:paraId="1546DCC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28.1%</w:t>
            </w:r>
          </w:p>
        </w:tc>
        <w:tc>
          <w:tcPr>
            <w:tcW w:w="242" w:type="pct"/>
            <w:tcBorders>
              <w:top w:val="nil"/>
              <w:left w:val="nil"/>
              <w:bottom w:val="nil"/>
              <w:right w:val="nil"/>
            </w:tcBorders>
            <w:shd w:val="clear" w:color="auto" w:fill="auto"/>
            <w:noWrap/>
            <w:vAlign w:val="bottom"/>
            <w:hideMark/>
          </w:tcPr>
          <w:p w14:paraId="5A91A7F8"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20E5CCD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28.0%</w:t>
            </w:r>
          </w:p>
        </w:tc>
        <w:tc>
          <w:tcPr>
            <w:tcW w:w="291" w:type="pct"/>
            <w:tcBorders>
              <w:top w:val="nil"/>
              <w:left w:val="nil"/>
              <w:bottom w:val="nil"/>
              <w:right w:val="nil"/>
            </w:tcBorders>
            <w:shd w:val="clear" w:color="auto" w:fill="auto"/>
            <w:noWrap/>
            <w:vAlign w:val="bottom"/>
            <w:hideMark/>
          </w:tcPr>
          <w:p w14:paraId="2AEFC4E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27.3%</w:t>
            </w:r>
          </w:p>
        </w:tc>
        <w:tc>
          <w:tcPr>
            <w:tcW w:w="242" w:type="pct"/>
            <w:tcBorders>
              <w:top w:val="nil"/>
              <w:left w:val="nil"/>
              <w:bottom w:val="nil"/>
              <w:right w:val="single" w:sz="4" w:space="0" w:color="auto"/>
            </w:tcBorders>
            <w:shd w:val="clear" w:color="auto" w:fill="auto"/>
            <w:noWrap/>
            <w:vAlign w:val="bottom"/>
            <w:hideMark/>
          </w:tcPr>
          <w:p w14:paraId="4B6163E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72425F2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28.8%</w:t>
            </w:r>
          </w:p>
        </w:tc>
        <w:tc>
          <w:tcPr>
            <w:tcW w:w="291" w:type="pct"/>
            <w:tcBorders>
              <w:top w:val="nil"/>
              <w:left w:val="nil"/>
              <w:bottom w:val="nil"/>
              <w:right w:val="nil"/>
            </w:tcBorders>
            <w:shd w:val="clear" w:color="auto" w:fill="auto"/>
            <w:noWrap/>
            <w:vAlign w:val="bottom"/>
            <w:hideMark/>
          </w:tcPr>
          <w:p w14:paraId="7749F50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28.9%</w:t>
            </w:r>
          </w:p>
        </w:tc>
        <w:tc>
          <w:tcPr>
            <w:tcW w:w="242" w:type="pct"/>
            <w:tcBorders>
              <w:top w:val="nil"/>
              <w:left w:val="nil"/>
              <w:bottom w:val="nil"/>
              <w:right w:val="single" w:sz="4" w:space="0" w:color="auto"/>
            </w:tcBorders>
            <w:shd w:val="clear" w:color="auto" w:fill="auto"/>
            <w:noWrap/>
            <w:vAlign w:val="bottom"/>
            <w:hideMark/>
          </w:tcPr>
          <w:p w14:paraId="6B4AB415"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CF85FAB" w14:textId="77777777" w:rsidTr="0044059F">
        <w:trPr>
          <w:trHeight w:val="300"/>
        </w:trPr>
        <w:tc>
          <w:tcPr>
            <w:tcW w:w="1112" w:type="pct"/>
            <w:tcBorders>
              <w:top w:val="nil"/>
              <w:left w:val="nil"/>
              <w:bottom w:val="nil"/>
              <w:right w:val="nil"/>
            </w:tcBorders>
            <w:shd w:val="clear" w:color="auto" w:fill="auto"/>
            <w:noWrap/>
            <w:vAlign w:val="bottom"/>
            <w:hideMark/>
          </w:tcPr>
          <w:p w14:paraId="0641800F"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lastRenderedPageBreak/>
              <w:t>2+</w:t>
            </w:r>
          </w:p>
        </w:tc>
        <w:tc>
          <w:tcPr>
            <w:tcW w:w="707" w:type="pct"/>
            <w:gridSpan w:val="2"/>
            <w:tcBorders>
              <w:top w:val="nil"/>
              <w:left w:val="nil"/>
              <w:bottom w:val="nil"/>
              <w:right w:val="nil"/>
            </w:tcBorders>
            <w:shd w:val="clear" w:color="auto" w:fill="auto"/>
            <w:noWrap/>
            <w:vAlign w:val="bottom"/>
            <w:hideMark/>
          </w:tcPr>
          <w:p w14:paraId="19DA843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16.4%</w:t>
            </w:r>
          </w:p>
        </w:tc>
        <w:tc>
          <w:tcPr>
            <w:tcW w:w="369" w:type="pct"/>
            <w:tcBorders>
              <w:top w:val="nil"/>
              <w:left w:val="nil"/>
              <w:bottom w:val="nil"/>
              <w:right w:val="nil"/>
            </w:tcBorders>
            <w:shd w:val="clear" w:color="auto" w:fill="auto"/>
            <w:noWrap/>
            <w:vAlign w:val="bottom"/>
            <w:hideMark/>
          </w:tcPr>
          <w:p w14:paraId="6F0FC1E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15.5%</w:t>
            </w:r>
          </w:p>
        </w:tc>
        <w:tc>
          <w:tcPr>
            <w:tcW w:w="242" w:type="pct"/>
            <w:tcBorders>
              <w:top w:val="nil"/>
              <w:left w:val="nil"/>
              <w:bottom w:val="nil"/>
              <w:right w:val="single" w:sz="4" w:space="0" w:color="auto"/>
            </w:tcBorders>
            <w:shd w:val="clear" w:color="auto" w:fill="auto"/>
            <w:noWrap/>
            <w:vAlign w:val="bottom"/>
            <w:hideMark/>
          </w:tcPr>
          <w:p w14:paraId="4A8E4EB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06E011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16.1%</w:t>
            </w:r>
          </w:p>
        </w:tc>
        <w:tc>
          <w:tcPr>
            <w:tcW w:w="291" w:type="pct"/>
            <w:tcBorders>
              <w:top w:val="nil"/>
              <w:left w:val="nil"/>
              <w:bottom w:val="nil"/>
              <w:right w:val="nil"/>
            </w:tcBorders>
            <w:shd w:val="clear" w:color="auto" w:fill="auto"/>
            <w:noWrap/>
            <w:vAlign w:val="bottom"/>
            <w:hideMark/>
          </w:tcPr>
          <w:p w14:paraId="272BD36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16.1%</w:t>
            </w:r>
          </w:p>
        </w:tc>
        <w:tc>
          <w:tcPr>
            <w:tcW w:w="242" w:type="pct"/>
            <w:tcBorders>
              <w:top w:val="nil"/>
              <w:left w:val="nil"/>
              <w:bottom w:val="nil"/>
              <w:right w:val="nil"/>
            </w:tcBorders>
            <w:shd w:val="clear" w:color="auto" w:fill="auto"/>
            <w:noWrap/>
            <w:vAlign w:val="bottom"/>
            <w:hideMark/>
          </w:tcPr>
          <w:p w14:paraId="575AC5CD"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50633512"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15.5%</w:t>
            </w:r>
          </w:p>
        </w:tc>
        <w:tc>
          <w:tcPr>
            <w:tcW w:w="291" w:type="pct"/>
            <w:tcBorders>
              <w:top w:val="nil"/>
              <w:left w:val="nil"/>
              <w:bottom w:val="nil"/>
              <w:right w:val="nil"/>
            </w:tcBorders>
            <w:shd w:val="clear" w:color="auto" w:fill="auto"/>
            <w:noWrap/>
            <w:vAlign w:val="bottom"/>
            <w:hideMark/>
          </w:tcPr>
          <w:p w14:paraId="08F7C71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15.1%</w:t>
            </w:r>
          </w:p>
        </w:tc>
        <w:tc>
          <w:tcPr>
            <w:tcW w:w="242" w:type="pct"/>
            <w:tcBorders>
              <w:top w:val="nil"/>
              <w:left w:val="nil"/>
              <w:bottom w:val="nil"/>
              <w:right w:val="single" w:sz="4" w:space="0" w:color="auto"/>
            </w:tcBorders>
            <w:shd w:val="clear" w:color="auto" w:fill="auto"/>
            <w:noWrap/>
            <w:vAlign w:val="bottom"/>
            <w:hideMark/>
          </w:tcPr>
          <w:p w14:paraId="249D5EC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449AC3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15.7%</w:t>
            </w:r>
          </w:p>
        </w:tc>
        <w:tc>
          <w:tcPr>
            <w:tcW w:w="291" w:type="pct"/>
            <w:tcBorders>
              <w:top w:val="nil"/>
              <w:left w:val="nil"/>
              <w:bottom w:val="nil"/>
              <w:right w:val="nil"/>
            </w:tcBorders>
            <w:shd w:val="clear" w:color="auto" w:fill="auto"/>
            <w:noWrap/>
            <w:vAlign w:val="bottom"/>
            <w:hideMark/>
          </w:tcPr>
          <w:p w14:paraId="5960B57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15.7%</w:t>
            </w:r>
          </w:p>
        </w:tc>
        <w:tc>
          <w:tcPr>
            <w:tcW w:w="242" w:type="pct"/>
            <w:tcBorders>
              <w:top w:val="nil"/>
              <w:left w:val="nil"/>
              <w:bottom w:val="nil"/>
              <w:right w:val="single" w:sz="4" w:space="0" w:color="auto"/>
            </w:tcBorders>
            <w:shd w:val="clear" w:color="auto" w:fill="auto"/>
            <w:noWrap/>
            <w:vAlign w:val="bottom"/>
            <w:hideMark/>
          </w:tcPr>
          <w:p w14:paraId="6E1E56E4"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1E262561" w14:textId="77777777" w:rsidTr="0044059F">
        <w:trPr>
          <w:trHeight w:val="300"/>
        </w:trPr>
        <w:tc>
          <w:tcPr>
            <w:tcW w:w="1112" w:type="pct"/>
            <w:tcBorders>
              <w:top w:val="nil"/>
              <w:left w:val="nil"/>
              <w:bottom w:val="nil"/>
              <w:right w:val="nil"/>
            </w:tcBorders>
            <w:shd w:val="clear" w:color="auto" w:fill="auto"/>
            <w:noWrap/>
            <w:vAlign w:val="bottom"/>
            <w:hideMark/>
          </w:tcPr>
          <w:p w14:paraId="7F7AD9E4" w14:textId="77777777" w:rsidR="0044059F" w:rsidRPr="0044059F" w:rsidRDefault="0044059F" w:rsidP="0044059F">
            <w:pPr>
              <w:spacing w:after="0"/>
              <w:ind w:firstLineChars="100" w:firstLine="180"/>
              <w:rPr>
                <w:rFonts w:ascii="Calibri" w:hAnsi="Calibri" w:cs="Calibri"/>
                <w:color w:val="000000"/>
                <w:sz w:val="18"/>
                <w:szCs w:val="18"/>
                <w:lang w:eastAsia="en-US"/>
              </w:rPr>
            </w:pPr>
            <w:r w:rsidRPr="0044059F">
              <w:rPr>
                <w:rFonts w:ascii="Calibri" w:hAnsi="Calibri" w:cs="Calibri"/>
                <w:color w:val="000000"/>
                <w:sz w:val="18"/>
                <w:szCs w:val="18"/>
                <w:lang w:eastAsia="en-US"/>
              </w:rPr>
              <w:t>Total Payment Group*</w:t>
            </w:r>
          </w:p>
        </w:tc>
        <w:tc>
          <w:tcPr>
            <w:tcW w:w="707" w:type="pct"/>
            <w:gridSpan w:val="2"/>
            <w:tcBorders>
              <w:top w:val="nil"/>
              <w:left w:val="nil"/>
              <w:bottom w:val="nil"/>
              <w:right w:val="nil"/>
            </w:tcBorders>
            <w:shd w:val="clear" w:color="auto" w:fill="auto"/>
            <w:noWrap/>
            <w:vAlign w:val="bottom"/>
            <w:hideMark/>
          </w:tcPr>
          <w:p w14:paraId="2705F791" w14:textId="77777777" w:rsidR="0044059F" w:rsidRPr="0044059F" w:rsidRDefault="0044059F" w:rsidP="0044059F">
            <w:pPr>
              <w:spacing w:after="0"/>
              <w:ind w:firstLineChars="100" w:firstLine="180"/>
              <w:rPr>
                <w:rFonts w:ascii="Calibri" w:hAnsi="Calibri" w:cs="Calibri"/>
                <w:color w:val="000000"/>
                <w:sz w:val="18"/>
                <w:szCs w:val="18"/>
                <w:lang w:eastAsia="en-US"/>
              </w:rPr>
            </w:pPr>
          </w:p>
        </w:tc>
        <w:tc>
          <w:tcPr>
            <w:tcW w:w="369" w:type="pct"/>
            <w:tcBorders>
              <w:top w:val="nil"/>
              <w:left w:val="nil"/>
              <w:bottom w:val="nil"/>
              <w:right w:val="nil"/>
            </w:tcBorders>
            <w:shd w:val="clear" w:color="auto" w:fill="auto"/>
            <w:noWrap/>
            <w:vAlign w:val="bottom"/>
            <w:hideMark/>
          </w:tcPr>
          <w:p w14:paraId="2AF73358"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68797D4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0.7555</w:t>
            </w:r>
          </w:p>
        </w:tc>
        <w:tc>
          <w:tcPr>
            <w:tcW w:w="337" w:type="pct"/>
            <w:tcBorders>
              <w:top w:val="nil"/>
              <w:left w:val="nil"/>
              <w:bottom w:val="nil"/>
              <w:right w:val="nil"/>
            </w:tcBorders>
            <w:shd w:val="clear" w:color="auto" w:fill="auto"/>
            <w:noWrap/>
            <w:vAlign w:val="bottom"/>
            <w:hideMark/>
          </w:tcPr>
          <w:p w14:paraId="17C6E8A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44D71CF0"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nil"/>
            </w:tcBorders>
            <w:shd w:val="clear" w:color="auto" w:fill="auto"/>
            <w:noWrap/>
            <w:vAlign w:val="bottom"/>
            <w:hideMark/>
          </w:tcPr>
          <w:p w14:paraId="0B7E02B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0.8911</w:t>
            </w:r>
          </w:p>
        </w:tc>
        <w:tc>
          <w:tcPr>
            <w:tcW w:w="295" w:type="pct"/>
            <w:tcBorders>
              <w:top w:val="nil"/>
              <w:left w:val="single" w:sz="4" w:space="0" w:color="auto"/>
              <w:bottom w:val="nil"/>
              <w:right w:val="nil"/>
            </w:tcBorders>
            <w:shd w:val="clear" w:color="auto" w:fill="auto"/>
            <w:noWrap/>
            <w:vAlign w:val="bottom"/>
            <w:hideMark/>
          </w:tcPr>
          <w:p w14:paraId="7C3B3D6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07AED210"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58BD7439" w14:textId="2BDAFA45"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0.914</w:t>
            </w:r>
          </w:p>
        </w:tc>
        <w:tc>
          <w:tcPr>
            <w:tcW w:w="337" w:type="pct"/>
            <w:tcBorders>
              <w:top w:val="nil"/>
              <w:left w:val="nil"/>
              <w:bottom w:val="nil"/>
              <w:right w:val="nil"/>
            </w:tcBorders>
            <w:shd w:val="clear" w:color="auto" w:fill="auto"/>
            <w:noWrap/>
            <w:vAlign w:val="bottom"/>
            <w:hideMark/>
          </w:tcPr>
          <w:p w14:paraId="77208253"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1" w:type="pct"/>
            <w:tcBorders>
              <w:top w:val="nil"/>
              <w:left w:val="nil"/>
              <w:bottom w:val="nil"/>
              <w:right w:val="nil"/>
            </w:tcBorders>
            <w:shd w:val="clear" w:color="auto" w:fill="auto"/>
            <w:noWrap/>
            <w:vAlign w:val="bottom"/>
            <w:hideMark/>
          </w:tcPr>
          <w:p w14:paraId="35349F44" w14:textId="77777777" w:rsidR="0044059F" w:rsidRPr="0044059F" w:rsidRDefault="0044059F" w:rsidP="0044059F">
            <w:pPr>
              <w:spacing w:after="0"/>
              <w:rPr>
                <w:rFonts w:ascii="Calibri" w:hAnsi="Calibri" w:cs="Calibri"/>
                <w:color w:val="000000"/>
                <w:sz w:val="18"/>
                <w:szCs w:val="18"/>
                <w:lang w:eastAsia="en-US"/>
              </w:rPr>
            </w:pPr>
          </w:p>
        </w:tc>
        <w:tc>
          <w:tcPr>
            <w:tcW w:w="242" w:type="pct"/>
            <w:tcBorders>
              <w:top w:val="nil"/>
              <w:left w:val="nil"/>
              <w:bottom w:val="nil"/>
              <w:right w:val="single" w:sz="4" w:space="0" w:color="auto"/>
            </w:tcBorders>
            <w:shd w:val="clear" w:color="auto" w:fill="auto"/>
            <w:noWrap/>
            <w:vAlign w:val="bottom"/>
            <w:hideMark/>
          </w:tcPr>
          <w:p w14:paraId="3ECEC9F2" w14:textId="63CFC004"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0.9</w:t>
            </w:r>
            <w:r>
              <w:rPr>
                <w:rFonts w:ascii="Calibri" w:hAnsi="Calibri" w:cs="Calibri"/>
                <w:color w:val="000000"/>
                <w:sz w:val="18"/>
                <w:szCs w:val="18"/>
                <w:lang w:eastAsia="en-US"/>
              </w:rPr>
              <w:t>43</w:t>
            </w:r>
          </w:p>
        </w:tc>
      </w:tr>
      <w:tr w:rsidR="0044059F" w:rsidRPr="0044059F" w14:paraId="6FDE908B" w14:textId="77777777" w:rsidTr="0044059F">
        <w:trPr>
          <w:trHeight w:val="300"/>
        </w:trPr>
        <w:tc>
          <w:tcPr>
            <w:tcW w:w="1112" w:type="pct"/>
            <w:tcBorders>
              <w:top w:val="nil"/>
              <w:left w:val="nil"/>
              <w:bottom w:val="nil"/>
              <w:right w:val="nil"/>
            </w:tcBorders>
            <w:shd w:val="clear" w:color="auto" w:fill="auto"/>
            <w:noWrap/>
            <w:vAlign w:val="bottom"/>
            <w:hideMark/>
          </w:tcPr>
          <w:p w14:paraId="3874B342"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Low</w:t>
            </w:r>
          </w:p>
        </w:tc>
        <w:tc>
          <w:tcPr>
            <w:tcW w:w="707" w:type="pct"/>
            <w:gridSpan w:val="2"/>
            <w:tcBorders>
              <w:top w:val="nil"/>
              <w:left w:val="nil"/>
              <w:bottom w:val="nil"/>
              <w:right w:val="nil"/>
            </w:tcBorders>
            <w:shd w:val="clear" w:color="auto" w:fill="auto"/>
            <w:noWrap/>
            <w:vAlign w:val="bottom"/>
            <w:hideMark/>
          </w:tcPr>
          <w:p w14:paraId="700DCD9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24.9%</w:t>
            </w:r>
          </w:p>
        </w:tc>
        <w:tc>
          <w:tcPr>
            <w:tcW w:w="369" w:type="pct"/>
            <w:tcBorders>
              <w:top w:val="nil"/>
              <w:left w:val="nil"/>
              <w:bottom w:val="nil"/>
              <w:right w:val="nil"/>
            </w:tcBorders>
            <w:shd w:val="clear" w:color="auto" w:fill="auto"/>
            <w:noWrap/>
            <w:vAlign w:val="bottom"/>
            <w:hideMark/>
          </w:tcPr>
          <w:p w14:paraId="5C94A87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25.0%</w:t>
            </w:r>
          </w:p>
        </w:tc>
        <w:tc>
          <w:tcPr>
            <w:tcW w:w="242" w:type="pct"/>
            <w:tcBorders>
              <w:top w:val="nil"/>
              <w:left w:val="nil"/>
              <w:bottom w:val="nil"/>
              <w:right w:val="single" w:sz="4" w:space="0" w:color="auto"/>
            </w:tcBorders>
            <w:shd w:val="clear" w:color="auto" w:fill="auto"/>
            <w:noWrap/>
            <w:vAlign w:val="bottom"/>
            <w:hideMark/>
          </w:tcPr>
          <w:p w14:paraId="4E0FC741"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E5BE34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19.1%</w:t>
            </w:r>
          </w:p>
        </w:tc>
        <w:tc>
          <w:tcPr>
            <w:tcW w:w="291" w:type="pct"/>
            <w:tcBorders>
              <w:top w:val="nil"/>
              <w:left w:val="nil"/>
              <w:bottom w:val="nil"/>
              <w:right w:val="nil"/>
            </w:tcBorders>
            <w:shd w:val="clear" w:color="auto" w:fill="auto"/>
            <w:noWrap/>
            <w:vAlign w:val="bottom"/>
            <w:hideMark/>
          </w:tcPr>
          <w:p w14:paraId="362AEC6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18.7%</w:t>
            </w:r>
          </w:p>
        </w:tc>
        <w:tc>
          <w:tcPr>
            <w:tcW w:w="242" w:type="pct"/>
            <w:tcBorders>
              <w:top w:val="nil"/>
              <w:left w:val="nil"/>
              <w:bottom w:val="nil"/>
              <w:right w:val="nil"/>
            </w:tcBorders>
            <w:shd w:val="clear" w:color="auto" w:fill="auto"/>
            <w:noWrap/>
            <w:vAlign w:val="bottom"/>
            <w:hideMark/>
          </w:tcPr>
          <w:p w14:paraId="27BB8AC0"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60C6BA18"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21.4%</w:t>
            </w:r>
          </w:p>
        </w:tc>
        <w:tc>
          <w:tcPr>
            <w:tcW w:w="291" w:type="pct"/>
            <w:tcBorders>
              <w:top w:val="nil"/>
              <w:left w:val="nil"/>
              <w:bottom w:val="nil"/>
              <w:right w:val="nil"/>
            </w:tcBorders>
            <w:shd w:val="clear" w:color="auto" w:fill="auto"/>
            <w:noWrap/>
            <w:vAlign w:val="bottom"/>
            <w:hideMark/>
          </w:tcPr>
          <w:p w14:paraId="42DE1C7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22.3%</w:t>
            </w:r>
          </w:p>
        </w:tc>
        <w:tc>
          <w:tcPr>
            <w:tcW w:w="242" w:type="pct"/>
            <w:tcBorders>
              <w:top w:val="nil"/>
              <w:left w:val="nil"/>
              <w:bottom w:val="nil"/>
              <w:right w:val="single" w:sz="4" w:space="0" w:color="auto"/>
            </w:tcBorders>
            <w:shd w:val="clear" w:color="auto" w:fill="auto"/>
            <w:noWrap/>
            <w:vAlign w:val="bottom"/>
            <w:hideMark/>
          </w:tcPr>
          <w:p w14:paraId="5DF6AA5D"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5AF2A745"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17.4%</w:t>
            </w:r>
          </w:p>
        </w:tc>
        <w:tc>
          <w:tcPr>
            <w:tcW w:w="291" w:type="pct"/>
            <w:tcBorders>
              <w:top w:val="nil"/>
              <w:left w:val="nil"/>
              <w:bottom w:val="nil"/>
              <w:right w:val="nil"/>
            </w:tcBorders>
            <w:shd w:val="clear" w:color="auto" w:fill="auto"/>
            <w:noWrap/>
            <w:vAlign w:val="bottom"/>
            <w:hideMark/>
          </w:tcPr>
          <w:p w14:paraId="2A07FB14"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16.9%</w:t>
            </w:r>
          </w:p>
        </w:tc>
        <w:tc>
          <w:tcPr>
            <w:tcW w:w="242" w:type="pct"/>
            <w:tcBorders>
              <w:top w:val="nil"/>
              <w:left w:val="nil"/>
              <w:bottom w:val="nil"/>
              <w:right w:val="single" w:sz="4" w:space="0" w:color="auto"/>
            </w:tcBorders>
            <w:shd w:val="clear" w:color="auto" w:fill="auto"/>
            <w:noWrap/>
            <w:vAlign w:val="bottom"/>
            <w:hideMark/>
          </w:tcPr>
          <w:p w14:paraId="0F37EF2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0218022D" w14:textId="77777777" w:rsidTr="0044059F">
        <w:trPr>
          <w:trHeight w:val="300"/>
        </w:trPr>
        <w:tc>
          <w:tcPr>
            <w:tcW w:w="1112" w:type="pct"/>
            <w:tcBorders>
              <w:top w:val="nil"/>
              <w:left w:val="nil"/>
              <w:bottom w:val="nil"/>
              <w:right w:val="nil"/>
            </w:tcBorders>
            <w:shd w:val="clear" w:color="auto" w:fill="auto"/>
            <w:noWrap/>
            <w:vAlign w:val="bottom"/>
            <w:hideMark/>
          </w:tcPr>
          <w:p w14:paraId="485C1B7B"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Medium</w:t>
            </w:r>
          </w:p>
        </w:tc>
        <w:tc>
          <w:tcPr>
            <w:tcW w:w="707" w:type="pct"/>
            <w:gridSpan w:val="2"/>
            <w:tcBorders>
              <w:top w:val="nil"/>
              <w:left w:val="nil"/>
              <w:bottom w:val="nil"/>
              <w:right w:val="nil"/>
            </w:tcBorders>
            <w:shd w:val="clear" w:color="auto" w:fill="auto"/>
            <w:noWrap/>
            <w:vAlign w:val="bottom"/>
            <w:hideMark/>
          </w:tcPr>
          <w:p w14:paraId="1097289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49.5%</w:t>
            </w:r>
          </w:p>
        </w:tc>
        <w:tc>
          <w:tcPr>
            <w:tcW w:w="369" w:type="pct"/>
            <w:tcBorders>
              <w:top w:val="nil"/>
              <w:left w:val="nil"/>
              <w:bottom w:val="nil"/>
              <w:right w:val="nil"/>
            </w:tcBorders>
            <w:shd w:val="clear" w:color="auto" w:fill="auto"/>
            <w:noWrap/>
            <w:vAlign w:val="bottom"/>
            <w:hideMark/>
          </w:tcPr>
          <w:p w14:paraId="11FDA3D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50.5%</w:t>
            </w:r>
          </w:p>
        </w:tc>
        <w:tc>
          <w:tcPr>
            <w:tcW w:w="242" w:type="pct"/>
            <w:tcBorders>
              <w:top w:val="nil"/>
              <w:left w:val="nil"/>
              <w:bottom w:val="nil"/>
              <w:right w:val="single" w:sz="4" w:space="0" w:color="auto"/>
            </w:tcBorders>
            <w:shd w:val="clear" w:color="auto" w:fill="auto"/>
            <w:noWrap/>
            <w:vAlign w:val="bottom"/>
            <w:hideMark/>
          </w:tcPr>
          <w:p w14:paraId="4A84422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4EEACF73"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64.1%</w:t>
            </w:r>
          </w:p>
        </w:tc>
        <w:tc>
          <w:tcPr>
            <w:tcW w:w="291" w:type="pct"/>
            <w:tcBorders>
              <w:top w:val="nil"/>
              <w:left w:val="nil"/>
              <w:bottom w:val="nil"/>
              <w:right w:val="nil"/>
            </w:tcBorders>
            <w:shd w:val="clear" w:color="auto" w:fill="auto"/>
            <w:noWrap/>
            <w:vAlign w:val="bottom"/>
            <w:hideMark/>
          </w:tcPr>
          <w:p w14:paraId="21253D3B"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64.5%</w:t>
            </w:r>
          </w:p>
        </w:tc>
        <w:tc>
          <w:tcPr>
            <w:tcW w:w="242" w:type="pct"/>
            <w:tcBorders>
              <w:top w:val="nil"/>
              <w:left w:val="nil"/>
              <w:bottom w:val="nil"/>
              <w:right w:val="nil"/>
            </w:tcBorders>
            <w:shd w:val="clear" w:color="auto" w:fill="auto"/>
            <w:noWrap/>
            <w:vAlign w:val="bottom"/>
            <w:hideMark/>
          </w:tcPr>
          <w:p w14:paraId="2CAABABB" w14:textId="77777777" w:rsidR="0044059F" w:rsidRPr="0044059F" w:rsidRDefault="0044059F" w:rsidP="0044059F">
            <w:pPr>
              <w:spacing w:after="0"/>
              <w:jc w:val="right"/>
              <w:rPr>
                <w:rFonts w:ascii="Calibri" w:hAnsi="Calibri" w:cs="Calibri"/>
                <w:color w:val="000000"/>
                <w:sz w:val="18"/>
                <w:szCs w:val="18"/>
                <w:lang w:eastAsia="en-US"/>
              </w:rPr>
            </w:pPr>
          </w:p>
        </w:tc>
        <w:tc>
          <w:tcPr>
            <w:tcW w:w="295" w:type="pct"/>
            <w:tcBorders>
              <w:top w:val="nil"/>
              <w:left w:val="single" w:sz="4" w:space="0" w:color="auto"/>
              <w:bottom w:val="nil"/>
              <w:right w:val="nil"/>
            </w:tcBorders>
            <w:shd w:val="clear" w:color="auto" w:fill="auto"/>
            <w:noWrap/>
            <w:vAlign w:val="bottom"/>
            <w:hideMark/>
          </w:tcPr>
          <w:p w14:paraId="2CCA578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49.9%</w:t>
            </w:r>
          </w:p>
        </w:tc>
        <w:tc>
          <w:tcPr>
            <w:tcW w:w="291" w:type="pct"/>
            <w:tcBorders>
              <w:top w:val="nil"/>
              <w:left w:val="nil"/>
              <w:bottom w:val="nil"/>
              <w:right w:val="nil"/>
            </w:tcBorders>
            <w:shd w:val="clear" w:color="auto" w:fill="auto"/>
            <w:noWrap/>
            <w:vAlign w:val="bottom"/>
            <w:hideMark/>
          </w:tcPr>
          <w:p w14:paraId="698D77DD"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49.7%</w:t>
            </w:r>
          </w:p>
        </w:tc>
        <w:tc>
          <w:tcPr>
            <w:tcW w:w="242" w:type="pct"/>
            <w:tcBorders>
              <w:top w:val="nil"/>
              <w:left w:val="nil"/>
              <w:bottom w:val="nil"/>
              <w:right w:val="single" w:sz="4" w:space="0" w:color="auto"/>
            </w:tcBorders>
            <w:shd w:val="clear" w:color="auto" w:fill="auto"/>
            <w:noWrap/>
            <w:vAlign w:val="bottom"/>
            <w:hideMark/>
          </w:tcPr>
          <w:p w14:paraId="733C499A"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nil"/>
              <w:right w:val="nil"/>
            </w:tcBorders>
            <w:shd w:val="clear" w:color="auto" w:fill="auto"/>
            <w:noWrap/>
            <w:vAlign w:val="bottom"/>
            <w:hideMark/>
          </w:tcPr>
          <w:p w14:paraId="6AE07D7F"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67.8%</w:t>
            </w:r>
          </w:p>
        </w:tc>
        <w:tc>
          <w:tcPr>
            <w:tcW w:w="291" w:type="pct"/>
            <w:tcBorders>
              <w:top w:val="nil"/>
              <w:left w:val="nil"/>
              <w:bottom w:val="nil"/>
              <w:right w:val="nil"/>
            </w:tcBorders>
            <w:shd w:val="clear" w:color="auto" w:fill="auto"/>
            <w:noWrap/>
            <w:vAlign w:val="bottom"/>
            <w:hideMark/>
          </w:tcPr>
          <w:p w14:paraId="413B685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68.4%</w:t>
            </w:r>
          </w:p>
        </w:tc>
        <w:tc>
          <w:tcPr>
            <w:tcW w:w="242" w:type="pct"/>
            <w:tcBorders>
              <w:top w:val="nil"/>
              <w:left w:val="nil"/>
              <w:bottom w:val="nil"/>
              <w:right w:val="single" w:sz="4" w:space="0" w:color="auto"/>
            </w:tcBorders>
            <w:shd w:val="clear" w:color="auto" w:fill="auto"/>
            <w:noWrap/>
            <w:vAlign w:val="bottom"/>
            <w:hideMark/>
          </w:tcPr>
          <w:p w14:paraId="1F1EF7E0"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933826C" w14:textId="77777777" w:rsidTr="0044059F">
        <w:trPr>
          <w:trHeight w:val="300"/>
        </w:trPr>
        <w:tc>
          <w:tcPr>
            <w:tcW w:w="1112" w:type="pct"/>
            <w:tcBorders>
              <w:top w:val="nil"/>
              <w:left w:val="nil"/>
              <w:bottom w:val="single" w:sz="4" w:space="0" w:color="auto"/>
              <w:right w:val="nil"/>
            </w:tcBorders>
            <w:shd w:val="clear" w:color="auto" w:fill="auto"/>
            <w:noWrap/>
            <w:vAlign w:val="bottom"/>
            <w:hideMark/>
          </w:tcPr>
          <w:p w14:paraId="6E183BDB" w14:textId="77777777" w:rsidR="0044059F" w:rsidRPr="0044059F" w:rsidRDefault="0044059F" w:rsidP="0044059F">
            <w:pPr>
              <w:spacing w:after="0"/>
              <w:ind w:firstLineChars="200" w:firstLine="360"/>
              <w:rPr>
                <w:rFonts w:ascii="Calibri" w:hAnsi="Calibri" w:cs="Calibri"/>
                <w:color w:val="000000"/>
                <w:sz w:val="18"/>
                <w:szCs w:val="18"/>
                <w:lang w:eastAsia="en-US"/>
              </w:rPr>
            </w:pPr>
            <w:r w:rsidRPr="0044059F">
              <w:rPr>
                <w:rFonts w:ascii="Calibri" w:hAnsi="Calibri" w:cs="Calibri"/>
                <w:color w:val="000000"/>
                <w:sz w:val="18"/>
                <w:szCs w:val="18"/>
                <w:lang w:eastAsia="en-US"/>
              </w:rPr>
              <w:t>High</w:t>
            </w:r>
          </w:p>
        </w:tc>
        <w:tc>
          <w:tcPr>
            <w:tcW w:w="707" w:type="pct"/>
            <w:gridSpan w:val="2"/>
            <w:tcBorders>
              <w:top w:val="nil"/>
              <w:left w:val="nil"/>
              <w:bottom w:val="single" w:sz="4" w:space="0" w:color="auto"/>
              <w:right w:val="nil"/>
            </w:tcBorders>
            <w:shd w:val="clear" w:color="auto" w:fill="auto"/>
            <w:noWrap/>
            <w:vAlign w:val="bottom"/>
            <w:hideMark/>
          </w:tcPr>
          <w:p w14:paraId="32BD33A7"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25.5%</w:t>
            </w:r>
          </w:p>
        </w:tc>
        <w:tc>
          <w:tcPr>
            <w:tcW w:w="369" w:type="pct"/>
            <w:tcBorders>
              <w:top w:val="nil"/>
              <w:left w:val="nil"/>
              <w:bottom w:val="single" w:sz="4" w:space="0" w:color="auto"/>
              <w:right w:val="nil"/>
            </w:tcBorders>
            <w:shd w:val="clear" w:color="auto" w:fill="auto"/>
            <w:noWrap/>
            <w:vAlign w:val="bottom"/>
            <w:hideMark/>
          </w:tcPr>
          <w:p w14:paraId="1F735839"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24.6%</w:t>
            </w:r>
          </w:p>
        </w:tc>
        <w:tc>
          <w:tcPr>
            <w:tcW w:w="242" w:type="pct"/>
            <w:tcBorders>
              <w:top w:val="nil"/>
              <w:left w:val="nil"/>
              <w:bottom w:val="single" w:sz="4" w:space="0" w:color="auto"/>
              <w:right w:val="single" w:sz="4" w:space="0" w:color="auto"/>
            </w:tcBorders>
            <w:shd w:val="clear" w:color="auto" w:fill="auto"/>
            <w:noWrap/>
            <w:vAlign w:val="bottom"/>
            <w:hideMark/>
          </w:tcPr>
          <w:p w14:paraId="270C5248"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single" w:sz="4" w:space="0" w:color="auto"/>
              <w:right w:val="nil"/>
            </w:tcBorders>
            <w:shd w:val="clear" w:color="auto" w:fill="auto"/>
            <w:noWrap/>
            <w:vAlign w:val="bottom"/>
            <w:hideMark/>
          </w:tcPr>
          <w:p w14:paraId="1EBD6A40"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16.7%</w:t>
            </w:r>
          </w:p>
        </w:tc>
        <w:tc>
          <w:tcPr>
            <w:tcW w:w="291" w:type="pct"/>
            <w:tcBorders>
              <w:top w:val="nil"/>
              <w:left w:val="nil"/>
              <w:bottom w:val="single" w:sz="4" w:space="0" w:color="auto"/>
              <w:right w:val="nil"/>
            </w:tcBorders>
            <w:shd w:val="clear" w:color="auto" w:fill="auto"/>
            <w:noWrap/>
            <w:vAlign w:val="bottom"/>
            <w:hideMark/>
          </w:tcPr>
          <w:p w14:paraId="63A1E7C6"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16.8%</w:t>
            </w:r>
          </w:p>
        </w:tc>
        <w:tc>
          <w:tcPr>
            <w:tcW w:w="242" w:type="pct"/>
            <w:tcBorders>
              <w:top w:val="nil"/>
              <w:left w:val="nil"/>
              <w:bottom w:val="single" w:sz="4" w:space="0" w:color="auto"/>
              <w:right w:val="nil"/>
            </w:tcBorders>
            <w:shd w:val="clear" w:color="auto" w:fill="auto"/>
            <w:noWrap/>
            <w:vAlign w:val="bottom"/>
            <w:hideMark/>
          </w:tcPr>
          <w:p w14:paraId="55457E8E"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295" w:type="pct"/>
            <w:tcBorders>
              <w:top w:val="nil"/>
              <w:left w:val="single" w:sz="4" w:space="0" w:color="auto"/>
              <w:bottom w:val="single" w:sz="4" w:space="0" w:color="auto"/>
              <w:right w:val="nil"/>
            </w:tcBorders>
            <w:shd w:val="clear" w:color="auto" w:fill="auto"/>
            <w:noWrap/>
            <w:vAlign w:val="bottom"/>
            <w:hideMark/>
          </w:tcPr>
          <w:p w14:paraId="6614EF71"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28.7%</w:t>
            </w:r>
          </w:p>
        </w:tc>
        <w:tc>
          <w:tcPr>
            <w:tcW w:w="291" w:type="pct"/>
            <w:tcBorders>
              <w:top w:val="nil"/>
              <w:left w:val="nil"/>
              <w:bottom w:val="single" w:sz="4" w:space="0" w:color="auto"/>
              <w:right w:val="nil"/>
            </w:tcBorders>
            <w:shd w:val="clear" w:color="auto" w:fill="auto"/>
            <w:noWrap/>
            <w:vAlign w:val="bottom"/>
            <w:hideMark/>
          </w:tcPr>
          <w:p w14:paraId="4C32A46E"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28.0%</w:t>
            </w:r>
          </w:p>
        </w:tc>
        <w:tc>
          <w:tcPr>
            <w:tcW w:w="242" w:type="pct"/>
            <w:tcBorders>
              <w:top w:val="nil"/>
              <w:left w:val="nil"/>
              <w:bottom w:val="single" w:sz="4" w:space="0" w:color="auto"/>
              <w:right w:val="single" w:sz="4" w:space="0" w:color="auto"/>
            </w:tcBorders>
            <w:shd w:val="clear" w:color="auto" w:fill="auto"/>
            <w:noWrap/>
            <w:vAlign w:val="bottom"/>
            <w:hideMark/>
          </w:tcPr>
          <w:p w14:paraId="4DDAFCC2"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c>
          <w:tcPr>
            <w:tcW w:w="337" w:type="pct"/>
            <w:tcBorders>
              <w:top w:val="nil"/>
              <w:left w:val="nil"/>
              <w:bottom w:val="single" w:sz="4" w:space="0" w:color="auto"/>
              <w:right w:val="nil"/>
            </w:tcBorders>
            <w:shd w:val="clear" w:color="auto" w:fill="auto"/>
            <w:noWrap/>
            <w:vAlign w:val="bottom"/>
            <w:hideMark/>
          </w:tcPr>
          <w:p w14:paraId="651F6E6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14.9%</w:t>
            </w:r>
          </w:p>
        </w:tc>
        <w:tc>
          <w:tcPr>
            <w:tcW w:w="291" w:type="pct"/>
            <w:tcBorders>
              <w:top w:val="nil"/>
              <w:left w:val="nil"/>
              <w:bottom w:val="single" w:sz="4" w:space="0" w:color="auto"/>
              <w:right w:val="nil"/>
            </w:tcBorders>
            <w:shd w:val="clear" w:color="auto" w:fill="auto"/>
            <w:noWrap/>
            <w:vAlign w:val="bottom"/>
            <w:hideMark/>
          </w:tcPr>
          <w:p w14:paraId="01DC1E2C" w14:textId="77777777" w:rsidR="0044059F" w:rsidRPr="0044059F" w:rsidRDefault="0044059F" w:rsidP="0044059F">
            <w:pPr>
              <w:spacing w:after="0"/>
              <w:jc w:val="right"/>
              <w:rPr>
                <w:rFonts w:ascii="Calibri" w:hAnsi="Calibri" w:cs="Calibri"/>
                <w:color w:val="000000"/>
                <w:sz w:val="18"/>
                <w:szCs w:val="18"/>
                <w:lang w:eastAsia="en-US"/>
              </w:rPr>
            </w:pPr>
            <w:r w:rsidRPr="0044059F">
              <w:rPr>
                <w:rFonts w:ascii="Calibri" w:hAnsi="Calibri" w:cs="Calibri"/>
                <w:color w:val="000000"/>
                <w:sz w:val="18"/>
                <w:szCs w:val="18"/>
                <w:lang w:eastAsia="en-US"/>
              </w:rPr>
              <w:t>14.7%</w:t>
            </w:r>
          </w:p>
        </w:tc>
        <w:tc>
          <w:tcPr>
            <w:tcW w:w="242" w:type="pct"/>
            <w:tcBorders>
              <w:top w:val="nil"/>
              <w:left w:val="nil"/>
              <w:bottom w:val="single" w:sz="4" w:space="0" w:color="auto"/>
              <w:right w:val="single" w:sz="4" w:space="0" w:color="auto"/>
            </w:tcBorders>
            <w:shd w:val="clear" w:color="auto" w:fill="auto"/>
            <w:noWrap/>
            <w:vAlign w:val="bottom"/>
            <w:hideMark/>
          </w:tcPr>
          <w:p w14:paraId="747E37E7" w14:textId="77777777" w:rsidR="0044059F" w:rsidRPr="0044059F" w:rsidRDefault="0044059F" w:rsidP="0044059F">
            <w:pPr>
              <w:spacing w:after="0"/>
              <w:rPr>
                <w:rFonts w:ascii="Calibri" w:hAnsi="Calibri" w:cs="Calibri"/>
                <w:color w:val="000000"/>
                <w:sz w:val="18"/>
                <w:szCs w:val="18"/>
                <w:lang w:eastAsia="en-US"/>
              </w:rPr>
            </w:pPr>
            <w:r w:rsidRPr="0044059F">
              <w:rPr>
                <w:rFonts w:ascii="Calibri" w:hAnsi="Calibri" w:cs="Calibri"/>
                <w:color w:val="000000"/>
                <w:sz w:val="18"/>
                <w:szCs w:val="18"/>
                <w:lang w:eastAsia="en-US"/>
              </w:rPr>
              <w:t> </w:t>
            </w:r>
          </w:p>
        </w:tc>
      </w:tr>
      <w:tr w:rsidR="0044059F" w:rsidRPr="0044059F" w14:paraId="2FB1D5C7" w14:textId="77777777" w:rsidTr="0044059F">
        <w:trPr>
          <w:trHeight w:val="300"/>
        </w:trPr>
        <w:tc>
          <w:tcPr>
            <w:tcW w:w="1112" w:type="pct"/>
            <w:tcBorders>
              <w:top w:val="nil"/>
              <w:left w:val="nil"/>
              <w:bottom w:val="nil"/>
              <w:right w:val="nil"/>
            </w:tcBorders>
            <w:shd w:val="clear" w:color="auto" w:fill="auto"/>
            <w:noWrap/>
            <w:vAlign w:val="bottom"/>
            <w:hideMark/>
          </w:tcPr>
          <w:p w14:paraId="381F2A33" w14:textId="77777777" w:rsidR="0044059F" w:rsidRPr="0044059F" w:rsidRDefault="0044059F" w:rsidP="0044059F">
            <w:pPr>
              <w:spacing w:after="0"/>
              <w:rPr>
                <w:rFonts w:ascii="Calibri" w:hAnsi="Calibri" w:cs="Calibri"/>
                <w:color w:val="000000"/>
                <w:sz w:val="18"/>
                <w:szCs w:val="18"/>
                <w:lang w:eastAsia="en-US"/>
              </w:rPr>
            </w:pPr>
          </w:p>
        </w:tc>
        <w:tc>
          <w:tcPr>
            <w:tcW w:w="707" w:type="pct"/>
            <w:gridSpan w:val="2"/>
            <w:tcBorders>
              <w:top w:val="nil"/>
              <w:left w:val="nil"/>
              <w:bottom w:val="nil"/>
              <w:right w:val="nil"/>
            </w:tcBorders>
            <w:shd w:val="clear" w:color="auto" w:fill="auto"/>
            <w:noWrap/>
            <w:vAlign w:val="bottom"/>
            <w:hideMark/>
          </w:tcPr>
          <w:p w14:paraId="1EA2AC83" w14:textId="77777777" w:rsidR="0044059F" w:rsidRPr="0044059F" w:rsidRDefault="0044059F" w:rsidP="0044059F">
            <w:pPr>
              <w:spacing w:after="0"/>
              <w:rPr>
                <w:rFonts w:ascii="Times New Roman" w:hAnsi="Times New Roman"/>
                <w:sz w:val="18"/>
                <w:szCs w:val="18"/>
                <w:lang w:eastAsia="en-US"/>
              </w:rPr>
            </w:pPr>
          </w:p>
        </w:tc>
        <w:tc>
          <w:tcPr>
            <w:tcW w:w="369" w:type="pct"/>
            <w:tcBorders>
              <w:top w:val="nil"/>
              <w:left w:val="nil"/>
              <w:bottom w:val="nil"/>
              <w:right w:val="nil"/>
            </w:tcBorders>
            <w:shd w:val="clear" w:color="auto" w:fill="auto"/>
            <w:noWrap/>
            <w:vAlign w:val="bottom"/>
            <w:hideMark/>
          </w:tcPr>
          <w:p w14:paraId="61C0EA17"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nil"/>
            </w:tcBorders>
            <w:shd w:val="clear" w:color="auto" w:fill="auto"/>
            <w:noWrap/>
            <w:vAlign w:val="bottom"/>
            <w:hideMark/>
          </w:tcPr>
          <w:p w14:paraId="40E15FA7" w14:textId="77777777" w:rsidR="0044059F" w:rsidRPr="0044059F" w:rsidRDefault="0044059F" w:rsidP="0044059F">
            <w:pPr>
              <w:spacing w:after="0"/>
              <w:rPr>
                <w:rFonts w:ascii="Times New Roman" w:hAnsi="Times New Roman"/>
                <w:sz w:val="18"/>
                <w:szCs w:val="18"/>
                <w:lang w:eastAsia="en-US"/>
              </w:rPr>
            </w:pPr>
          </w:p>
        </w:tc>
        <w:tc>
          <w:tcPr>
            <w:tcW w:w="337" w:type="pct"/>
            <w:tcBorders>
              <w:top w:val="nil"/>
              <w:left w:val="nil"/>
              <w:bottom w:val="nil"/>
              <w:right w:val="nil"/>
            </w:tcBorders>
            <w:shd w:val="clear" w:color="auto" w:fill="auto"/>
            <w:noWrap/>
            <w:vAlign w:val="bottom"/>
            <w:hideMark/>
          </w:tcPr>
          <w:p w14:paraId="211F67B5" w14:textId="77777777" w:rsidR="0044059F" w:rsidRPr="0044059F" w:rsidRDefault="0044059F" w:rsidP="0044059F">
            <w:pPr>
              <w:spacing w:after="0"/>
              <w:rPr>
                <w:rFonts w:ascii="Times New Roman" w:hAnsi="Times New Roman"/>
                <w:sz w:val="18"/>
                <w:szCs w:val="18"/>
                <w:lang w:eastAsia="en-US"/>
              </w:rPr>
            </w:pPr>
          </w:p>
        </w:tc>
        <w:tc>
          <w:tcPr>
            <w:tcW w:w="291" w:type="pct"/>
            <w:tcBorders>
              <w:top w:val="nil"/>
              <w:left w:val="nil"/>
              <w:bottom w:val="nil"/>
              <w:right w:val="nil"/>
            </w:tcBorders>
            <w:shd w:val="clear" w:color="auto" w:fill="auto"/>
            <w:noWrap/>
            <w:vAlign w:val="bottom"/>
            <w:hideMark/>
          </w:tcPr>
          <w:p w14:paraId="4CDA3CA8"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nil"/>
            </w:tcBorders>
            <w:shd w:val="clear" w:color="auto" w:fill="auto"/>
            <w:noWrap/>
            <w:vAlign w:val="bottom"/>
            <w:hideMark/>
          </w:tcPr>
          <w:p w14:paraId="6B55D1D2" w14:textId="77777777" w:rsidR="0044059F" w:rsidRPr="0044059F" w:rsidRDefault="0044059F" w:rsidP="0044059F">
            <w:pPr>
              <w:spacing w:after="0"/>
              <w:rPr>
                <w:rFonts w:ascii="Times New Roman" w:hAnsi="Times New Roman"/>
                <w:sz w:val="18"/>
                <w:szCs w:val="18"/>
                <w:lang w:eastAsia="en-US"/>
              </w:rPr>
            </w:pPr>
          </w:p>
        </w:tc>
        <w:tc>
          <w:tcPr>
            <w:tcW w:w="295" w:type="pct"/>
            <w:tcBorders>
              <w:top w:val="nil"/>
              <w:left w:val="nil"/>
              <w:bottom w:val="nil"/>
              <w:right w:val="nil"/>
            </w:tcBorders>
            <w:shd w:val="clear" w:color="auto" w:fill="auto"/>
            <w:noWrap/>
            <w:vAlign w:val="bottom"/>
            <w:hideMark/>
          </w:tcPr>
          <w:p w14:paraId="565F487E" w14:textId="77777777" w:rsidR="0044059F" w:rsidRPr="0044059F" w:rsidRDefault="0044059F" w:rsidP="0044059F">
            <w:pPr>
              <w:spacing w:after="0"/>
              <w:rPr>
                <w:rFonts w:ascii="Times New Roman" w:hAnsi="Times New Roman"/>
                <w:sz w:val="18"/>
                <w:szCs w:val="18"/>
                <w:lang w:eastAsia="en-US"/>
              </w:rPr>
            </w:pPr>
          </w:p>
        </w:tc>
        <w:tc>
          <w:tcPr>
            <w:tcW w:w="291" w:type="pct"/>
            <w:tcBorders>
              <w:top w:val="nil"/>
              <w:left w:val="nil"/>
              <w:bottom w:val="nil"/>
              <w:right w:val="nil"/>
            </w:tcBorders>
            <w:shd w:val="clear" w:color="auto" w:fill="auto"/>
            <w:noWrap/>
            <w:vAlign w:val="bottom"/>
            <w:hideMark/>
          </w:tcPr>
          <w:p w14:paraId="206CF67F"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nil"/>
            </w:tcBorders>
            <w:shd w:val="clear" w:color="auto" w:fill="auto"/>
            <w:noWrap/>
            <w:vAlign w:val="bottom"/>
            <w:hideMark/>
          </w:tcPr>
          <w:p w14:paraId="0F392F1F" w14:textId="77777777" w:rsidR="0044059F" w:rsidRPr="0044059F" w:rsidRDefault="0044059F" w:rsidP="0044059F">
            <w:pPr>
              <w:spacing w:after="0"/>
              <w:rPr>
                <w:rFonts w:ascii="Times New Roman" w:hAnsi="Times New Roman"/>
                <w:sz w:val="18"/>
                <w:szCs w:val="18"/>
                <w:lang w:eastAsia="en-US"/>
              </w:rPr>
            </w:pPr>
          </w:p>
        </w:tc>
        <w:tc>
          <w:tcPr>
            <w:tcW w:w="337" w:type="pct"/>
            <w:tcBorders>
              <w:top w:val="nil"/>
              <w:left w:val="nil"/>
              <w:bottom w:val="nil"/>
              <w:right w:val="nil"/>
            </w:tcBorders>
            <w:shd w:val="clear" w:color="auto" w:fill="auto"/>
            <w:noWrap/>
            <w:vAlign w:val="bottom"/>
            <w:hideMark/>
          </w:tcPr>
          <w:p w14:paraId="1FD16898" w14:textId="77777777" w:rsidR="0044059F" w:rsidRPr="0044059F" w:rsidRDefault="0044059F" w:rsidP="0044059F">
            <w:pPr>
              <w:spacing w:after="0"/>
              <w:rPr>
                <w:rFonts w:ascii="Times New Roman" w:hAnsi="Times New Roman"/>
                <w:sz w:val="18"/>
                <w:szCs w:val="18"/>
                <w:lang w:eastAsia="en-US"/>
              </w:rPr>
            </w:pPr>
          </w:p>
        </w:tc>
        <w:tc>
          <w:tcPr>
            <w:tcW w:w="291" w:type="pct"/>
            <w:tcBorders>
              <w:top w:val="nil"/>
              <w:left w:val="nil"/>
              <w:bottom w:val="nil"/>
              <w:right w:val="nil"/>
            </w:tcBorders>
            <w:shd w:val="clear" w:color="auto" w:fill="auto"/>
            <w:noWrap/>
            <w:vAlign w:val="bottom"/>
            <w:hideMark/>
          </w:tcPr>
          <w:p w14:paraId="3FA648C4" w14:textId="77777777" w:rsidR="0044059F" w:rsidRPr="0044059F" w:rsidRDefault="0044059F" w:rsidP="0044059F">
            <w:pPr>
              <w:spacing w:after="0"/>
              <w:rPr>
                <w:rFonts w:ascii="Times New Roman" w:hAnsi="Times New Roman"/>
                <w:sz w:val="18"/>
                <w:szCs w:val="18"/>
                <w:lang w:eastAsia="en-US"/>
              </w:rPr>
            </w:pPr>
          </w:p>
        </w:tc>
        <w:tc>
          <w:tcPr>
            <w:tcW w:w="242" w:type="pct"/>
            <w:tcBorders>
              <w:top w:val="nil"/>
              <w:left w:val="nil"/>
              <w:bottom w:val="nil"/>
              <w:right w:val="nil"/>
            </w:tcBorders>
            <w:shd w:val="clear" w:color="auto" w:fill="auto"/>
            <w:noWrap/>
            <w:vAlign w:val="bottom"/>
            <w:hideMark/>
          </w:tcPr>
          <w:p w14:paraId="69424DDC" w14:textId="77777777" w:rsidR="0044059F" w:rsidRPr="0044059F" w:rsidRDefault="0044059F" w:rsidP="0044059F">
            <w:pPr>
              <w:spacing w:after="0"/>
              <w:rPr>
                <w:rFonts w:ascii="Times New Roman" w:hAnsi="Times New Roman"/>
                <w:sz w:val="18"/>
                <w:szCs w:val="18"/>
                <w:lang w:eastAsia="en-US"/>
              </w:rPr>
            </w:pPr>
          </w:p>
        </w:tc>
      </w:tr>
    </w:tbl>
    <w:p w14:paraId="28152963" w14:textId="77777777" w:rsidR="008C4E28" w:rsidRDefault="008C4E28">
      <w:pPr>
        <w:rPr>
          <w:b/>
          <w:bCs/>
        </w:rPr>
      </w:pPr>
    </w:p>
    <w:p w14:paraId="3B7BBE06" w14:textId="77777777" w:rsidR="008C4E28" w:rsidRDefault="008C4E28">
      <w:pPr>
        <w:spacing w:after="0"/>
        <w:rPr>
          <w:b/>
          <w:bCs/>
        </w:rPr>
      </w:pPr>
      <w:r>
        <w:rPr>
          <w:b/>
          <w:bCs/>
        </w:rPr>
        <w:br w:type="page"/>
      </w:r>
    </w:p>
    <w:p w14:paraId="64DBF6A7" w14:textId="38011B2A" w:rsidR="00BB2587" w:rsidRPr="008B5A6F" w:rsidRDefault="00BB2587">
      <w:pPr>
        <w:rPr>
          <w:b/>
          <w:bCs/>
        </w:rPr>
      </w:pPr>
      <w:r w:rsidRPr="008B5A6F">
        <w:rPr>
          <w:b/>
          <w:bCs/>
        </w:rPr>
        <w:lastRenderedPageBreak/>
        <w:t xml:space="preserve">SUPPLEMENTAL </w:t>
      </w:r>
      <w:r w:rsidR="0044059F">
        <w:rPr>
          <w:b/>
          <w:bCs/>
        </w:rPr>
        <w:t xml:space="preserve">MODELING </w:t>
      </w:r>
      <w:r w:rsidRPr="008B5A6F">
        <w:rPr>
          <w:b/>
          <w:bCs/>
        </w:rPr>
        <w:t>TABLES</w:t>
      </w:r>
    </w:p>
    <w:p w14:paraId="1E261562" w14:textId="6F0D9CB8" w:rsidR="00012AF6" w:rsidRPr="008B5A6F" w:rsidRDefault="00012AF6" w:rsidP="00357A51">
      <w:pPr>
        <w:pStyle w:val="Caption"/>
        <w:rPr>
          <w:vertAlign w:val="superscript"/>
        </w:rPr>
      </w:pPr>
      <w:bookmarkStart w:id="3" w:name="_Ref12006852"/>
      <w:bookmarkStart w:id="4" w:name="_Ref12006847"/>
      <w:r w:rsidRPr="00363709">
        <w:t xml:space="preserve">Table </w:t>
      </w:r>
      <w:bookmarkEnd w:id="3"/>
      <w:r w:rsidR="00993BDE" w:rsidRPr="00363709">
        <w:t>S1</w:t>
      </w:r>
      <w:r w:rsidRPr="00363709">
        <w:t xml:space="preserve">: 6-month probability of vertebral fracture amongst the general US </w:t>
      </w:r>
      <w:proofErr w:type="spellStart"/>
      <w:r w:rsidRPr="00363709">
        <w:t>population</w:t>
      </w:r>
      <w:bookmarkEnd w:id="4"/>
      <w:r w:rsidRPr="00363709">
        <w:rPr>
          <w:vertAlign w:val="superscript"/>
        </w:rPr>
        <w:t>a</w:t>
      </w:r>
      <w:proofErr w:type="spellEnd"/>
    </w:p>
    <w:p w14:paraId="78422126" w14:textId="77777777" w:rsidR="00BB4616" w:rsidRPr="008B5A6F" w:rsidRDefault="00BB4616" w:rsidP="00BB4616">
      <w:pPr>
        <w:rPr>
          <w:lang w:eastAsia="en-US"/>
        </w:rPr>
      </w:pPr>
    </w:p>
    <w:tbl>
      <w:tblPr>
        <w:tblStyle w:val="TableGrid"/>
        <w:tblW w:w="5000" w:type="pct"/>
        <w:tblLook w:val="04A0" w:firstRow="1" w:lastRow="0" w:firstColumn="1" w:lastColumn="0" w:noHBand="0" w:noVBand="1"/>
      </w:tblPr>
      <w:tblGrid>
        <w:gridCol w:w="4040"/>
        <w:gridCol w:w="4486"/>
        <w:gridCol w:w="4424"/>
      </w:tblGrid>
      <w:tr w:rsidR="00012AF6" w:rsidRPr="008B5A6F" w14:paraId="785E87B7" w14:textId="77777777" w:rsidTr="00026AF6">
        <w:trPr>
          <w:tblHeader/>
        </w:trPr>
        <w:tc>
          <w:tcPr>
            <w:tcW w:w="1560" w:type="pct"/>
            <w:shd w:val="clear" w:color="auto" w:fill="D9D9D9" w:themeFill="background1" w:themeFillShade="D9"/>
          </w:tcPr>
          <w:p w14:paraId="360F1E87" w14:textId="77777777" w:rsidR="00012AF6" w:rsidRPr="008B5A6F" w:rsidRDefault="00012AF6" w:rsidP="00026AF6">
            <w:pPr>
              <w:jc w:val="center"/>
              <w:rPr>
                <w:b/>
                <w:bCs/>
              </w:rPr>
            </w:pPr>
            <w:r w:rsidRPr="008B5A6F">
              <w:rPr>
                <w:b/>
                <w:bCs/>
              </w:rPr>
              <w:t>Age category</w:t>
            </w:r>
          </w:p>
        </w:tc>
        <w:tc>
          <w:tcPr>
            <w:tcW w:w="1732" w:type="pct"/>
            <w:shd w:val="clear" w:color="auto" w:fill="D9D9D9" w:themeFill="background1" w:themeFillShade="D9"/>
          </w:tcPr>
          <w:p w14:paraId="7D12F748" w14:textId="04FA83CF" w:rsidR="00012AF6" w:rsidRPr="008B5A6F" w:rsidRDefault="00012AF6" w:rsidP="00026AF6">
            <w:pPr>
              <w:jc w:val="center"/>
              <w:rPr>
                <w:b/>
                <w:bCs/>
              </w:rPr>
            </w:pPr>
            <w:r w:rsidRPr="008B5A6F">
              <w:rPr>
                <w:b/>
                <w:bCs/>
              </w:rPr>
              <w:t>Females</w:t>
            </w:r>
            <w:r w:rsidR="0075527E">
              <w:rPr>
                <w:b/>
                <w:bCs/>
              </w:rPr>
              <w:t xml:space="preserve"> (standard error)</w:t>
            </w:r>
          </w:p>
        </w:tc>
        <w:tc>
          <w:tcPr>
            <w:tcW w:w="1708" w:type="pct"/>
            <w:shd w:val="clear" w:color="auto" w:fill="D9D9D9" w:themeFill="background1" w:themeFillShade="D9"/>
          </w:tcPr>
          <w:p w14:paraId="5BA587FB" w14:textId="7F4AA8B4" w:rsidR="00012AF6" w:rsidRPr="008B5A6F" w:rsidRDefault="00012AF6" w:rsidP="00026AF6">
            <w:pPr>
              <w:jc w:val="center"/>
              <w:rPr>
                <w:b/>
                <w:bCs/>
              </w:rPr>
            </w:pPr>
            <w:r w:rsidRPr="008B5A6F">
              <w:rPr>
                <w:b/>
                <w:bCs/>
              </w:rPr>
              <w:t>Males</w:t>
            </w:r>
            <w:r w:rsidR="0075527E">
              <w:rPr>
                <w:b/>
                <w:bCs/>
              </w:rPr>
              <w:t xml:space="preserve"> (standard error)</w:t>
            </w:r>
          </w:p>
        </w:tc>
      </w:tr>
      <w:tr w:rsidR="00012AF6" w:rsidRPr="008B5A6F" w14:paraId="13D9A393" w14:textId="77777777" w:rsidTr="00026AF6">
        <w:tc>
          <w:tcPr>
            <w:tcW w:w="1560" w:type="pct"/>
          </w:tcPr>
          <w:p w14:paraId="5D896805" w14:textId="77777777" w:rsidR="00012AF6" w:rsidRPr="008B5A6F" w:rsidRDefault="00012AF6" w:rsidP="00026AF6">
            <w:pPr>
              <w:jc w:val="center"/>
            </w:pPr>
            <w:r w:rsidRPr="008B5A6F">
              <w:t>50-54</w:t>
            </w:r>
          </w:p>
        </w:tc>
        <w:tc>
          <w:tcPr>
            <w:tcW w:w="1732" w:type="pct"/>
          </w:tcPr>
          <w:p w14:paraId="7B68816C" w14:textId="5E77F985"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0.032%</w:t>
            </w:r>
            <w:r w:rsidR="0075527E">
              <w:rPr>
                <w:rFonts w:ascii="Calibri" w:hAnsi="Calibri" w:cs="Calibri"/>
                <w:color w:val="000000"/>
              </w:rPr>
              <w:t xml:space="preserve"> (0.0033%)</w:t>
            </w:r>
          </w:p>
        </w:tc>
        <w:tc>
          <w:tcPr>
            <w:tcW w:w="1708" w:type="pct"/>
          </w:tcPr>
          <w:p w14:paraId="733A04DE" w14:textId="56CA7B9B"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0.021%</w:t>
            </w:r>
            <w:r w:rsidR="0075527E">
              <w:rPr>
                <w:rFonts w:ascii="Calibri" w:hAnsi="Calibri" w:cs="Calibri"/>
                <w:color w:val="000000"/>
              </w:rPr>
              <w:t xml:space="preserve"> (0.0022%)</w:t>
            </w:r>
          </w:p>
        </w:tc>
      </w:tr>
      <w:tr w:rsidR="00012AF6" w:rsidRPr="008B5A6F" w14:paraId="0F915229" w14:textId="77777777" w:rsidTr="00026AF6">
        <w:tc>
          <w:tcPr>
            <w:tcW w:w="1560" w:type="pct"/>
          </w:tcPr>
          <w:p w14:paraId="1F64F9AC" w14:textId="77777777" w:rsidR="00012AF6" w:rsidRPr="008B5A6F" w:rsidRDefault="00012AF6" w:rsidP="00026AF6">
            <w:pPr>
              <w:jc w:val="center"/>
            </w:pPr>
            <w:r w:rsidRPr="008B5A6F">
              <w:t>55-59</w:t>
            </w:r>
          </w:p>
        </w:tc>
        <w:tc>
          <w:tcPr>
            <w:tcW w:w="1732" w:type="pct"/>
          </w:tcPr>
          <w:p w14:paraId="7FCB08F5" w14:textId="210F84DC"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0.066%</w:t>
            </w:r>
            <w:r w:rsidR="0075527E">
              <w:rPr>
                <w:rFonts w:ascii="Calibri" w:hAnsi="Calibri" w:cs="Calibri"/>
                <w:color w:val="000000"/>
              </w:rPr>
              <w:t xml:space="preserve"> (0.0067%)</w:t>
            </w:r>
          </w:p>
        </w:tc>
        <w:tc>
          <w:tcPr>
            <w:tcW w:w="1708" w:type="pct"/>
          </w:tcPr>
          <w:p w14:paraId="2B23982A" w14:textId="1B821A2D"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0.023%</w:t>
            </w:r>
            <w:r w:rsidR="0075527E">
              <w:rPr>
                <w:rFonts w:ascii="Calibri" w:hAnsi="Calibri" w:cs="Calibri"/>
                <w:color w:val="000000"/>
              </w:rPr>
              <w:t xml:space="preserve"> (0.0023%)</w:t>
            </w:r>
          </w:p>
        </w:tc>
      </w:tr>
      <w:tr w:rsidR="00012AF6" w:rsidRPr="008B5A6F" w14:paraId="125B8B63" w14:textId="77777777" w:rsidTr="00026AF6">
        <w:tc>
          <w:tcPr>
            <w:tcW w:w="1560" w:type="pct"/>
          </w:tcPr>
          <w:p w14:paraId="5509ACA2" w14:textId="77777777" w:rsidR="00012AF6" w:rsidRPr="008B5A6F" w:rsidRDefault="00012AF6" w:rsidP="00026AF6">
            <w:pPr>
              <w:jc w:val="center"/>
            </w:pPr>
            <w:r w:rsidRPr="008B5A6F">
              <w:t>60-64</w:t>
            </w:r>
          </w:p>
        </w:tc>
        <w:tc>
          <w:tcPr>
            <w:tcW w:w="1732" w:type="pct"/>
          </w:tcPr>
          <w:p w14:paraId="6F30B677" w14:textId="77455374"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0.062%</w:t>
            </w:r>
            <w:r w:rsidR="0075527E">
              <w:rPr>
                <w:rFonts w:ascii="Calibri" w:hAnsi="Calibri" w:cs="Calibri"/>
                <w:color w:val="000000"/>
              </w:rPr>
              <w:t xml:space="preserve"> (0.0063%)</w:t>
            </w:r>
          </w:p>
        </w:tc>
        <w:tc>
          <w:tcPr>
            <w:tcW w:w="1708" w:type="pct"/>
          </w:tcPr>
          <w:p w14:paraId="3AD4D77C" w14:textId="3C2353CD"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0.089%</w:t>
            </w:r>
            <w:r w:rsidR="0075527E">
              <w:rPr>
                <w:rFonts w:ascii="Calibri" w:hAnsi="Calibri" w:cs="Calibri"/>
                <w:color w:val="000000"/>
              </w:rPr>
              <w:t xml:space="preserve"> (0.0091%)</w:t>
            </w:r>
          </w:p>
        </w:tc>
      </w:tr>
      <w:tr w:rsidR="00012AF6" w:rsidRPr="008B5A6F" w14:paraId="6BFB0966" w14:textId="77777777" w:rsidTr="00026AF6">
        <w:tc>
          <w:tcPr>
            <w:tcW w:w="1560" w:type="pct"/>
          </w:tcPr>
          <w:p w14:paraId="5CFF188C" w14:textId="77777777" w:rsidR="00012AF6" w:rsidRPr="008B5A6F" w:rsidRDefault="00012AF6" w:rsidP="00026AF6">
            <w:pPr>
              <w:jc w:val="center"/>
            </w:pPr>
            <w:r w:rsidRPr="008B5A6F">
              <w:t>65-69</w:t>
            </w:r>
          </w:p>
        </w:tc>
        <w:tc>
          <w:tcPr>
            <w:tcW w:w="1732" w:type="pct"/>
          </w:tcPr>
          <w:p w14:paraId="415DACEB" w14:textId="135089F2"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0.116%</w:t>
            </w:r>
            <w:r w:rsidR="0075527E">
              <w:rPr>
                <w:rFonts w:ascii="Calibri" w:hAnsi="Calibri" w:cs="Calibri"/>
                <w:color w:val="000000"/>
              </w:rPr>
              <w:t xml:space="preserve"> (0.0119%)</w:t>
            </w:r>
          </w:p>
        </w:tc>
        <w:tc>
          <w:tcPr>
            <w:tcW w:w="1708" w:type="pct"/>
          </w:tcPr>
          <w:p w14:paraId="41BF8917" w14:textId="6237F0BB"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0.057%</w:t>
            </w:r>
            <w:r w:rsidR="0075527E">
              <w:rPr>
                <w:rFonts w:ascii="Calibri" w:hAnsi="Calibri" w:cs="Calibri"/>
                <w:color w:val="000000"/>
              </w:rPr>
              <w:t xml:space="preserve"> (0.0058%)</w:t>
            </w:r>
          </w:p>
        </w:tc>
      </w:tr>
      <w:tr w:rsidR="00012AF6" w:rsidRPr="008B5A6F" w14:paraId="66ADCC12" w14:textId="77777777" w:rsidTr="00026AF6">
        <w:tc>
          <w:tcPr>
            <w:tcW w:w="1560" w:type="pct"/>
          </w:tcPr>
          <w:p w14:paraId="18A48A4A" w14:textId="77777777" w:rsidR="00012AF6" w:rsidRPr="008B5A6F" w:rsidRDefault="00012AF6" w:rsidP="00026AF6">
            <w:pPr>
              <w:jc w:val="center"/>
            </w:pPr>
            <w:r w:rsidRPr="008B5A6F">
              <w:t>70-74</w:t>
            </w:r>
          </w:p>
        </w:tc>
        <w:tc>
          <w:tcPr>
            <w:tcW w:w="1732" w:type="pct"/>
          </w:tcPr>
          <w:p w14:paraId="7B59F2A6" w14:textId="68276240"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0.236%</w:t>
            </w:r>
            <w:r w:rsidR="0075527E">
              <w:rPr>
                <w:rFonts w:ascii="Calibri" w:hAnsi="Calibri" w:cs="Calibri"/>
                <w:color w:val="000000"/>
              </w:rPr>
              <w:t xml:space="preserve"> (0.0241%)</w:t>
            </w:r>
          </w:p>
        </w:tc>
        <w:tc>
          <w:tcPr>
            <w:tcW w:w="1708" w:type="pct"/>
          </w:tcPr>
          <w:p w14:paraId="44BECC3B" w14:textId="2599E8CC"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0.107%</w:t>
            </w:r>
            <w:r w:rsidR="0075527E">
              <w:rPr>
                <w:rFonts w:ascii="Calibri" w:hAnsi="Calibri" w:cs="Calibri"/>
                <w:color w:val="000000"/>
              </w:rPr>
              <w:t xml:space="preserve"> (0.0109%)</w:t>
            </w:r>
          </w:p>
        </w:tc>
      </w:tr>
      <w:tr w:rsidR="00012AF6" w:rsidRPr="008B5A6F" w14:paraId="538298F1" w14:textId="77777777" w:rsidTr="00026AF6">
        <w:tc>
          <w:tcPr>
            <w:tcW w:w="1560" w:type="pct"/>
          </w:tcPr>
          <w:p w14:paraId="347ACA2C" w14:textId="77777777" w:rsidR="00012AF6" w:rsidRPr="008B5A6F" w:rsidRDefault="00012AF6" w:rsidP="00026AF6">
            <w:pPr>
              <w:jc w:val="center"/>
            </w:pPr>
            <w:r w:rsidRPr="008B5A6F">
              <w:t>75-79</w:t>
            </w:r>
          </w:p>
        </w:tc>
        <w:tc>
          <w:tcPr>
            <w:tcW w:w="1732" w:type="pct"/>
          </w:tcPr>
          <w:p w14:paraId="65AAC895" w14:textId="23595712"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0.261%</w:t>
            </w:r>
            <w:r w:rsidR="0075527E">
              <w:rPr>
                <w:rFonts w:ascii="Calibri" w:hAnsi="Calibri" w:cs="Calibri"/>
                <w:color w:val="000000"/>
              </w:rPr>
              <w:t xml:space="preserve"> (0.0266%)</w:t>
            </w:r>
          </w:p>
        </w:tc>
        <w:tc>
          <w:tcPr>
            <w:tcW w:w="1708" w:type="pct"/>
          </w:tcPr>
          <w:p w14:paraId="63DDEAB9" w14:textId="4A2FF7D3"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0.175%</w:t>
            </w:r>
            <w:r w:rsidR="0075527E">
              <w:rPr>
                <w:rFonts w:ascii="Calibri" w:hAnsi="Calibri" w:cs="Calibri"/>
                <w:color w:val="000000"/>
              </w:rPr>
              <w:t xml:space="preserve"> (0.0178%)</w:t>
            </w:r>
          </w:p>
        </w:tc>
      </w:tr>
      <w:tr w:rsidR="00012AF6" w:rsidRPr="008B5A6F" w14:paraId="781390AE" w14:textId="77777777" w:rsidTr="00026AF6">
        <w:tc>
          <w:tcPr>
            <w:tcW w:w="1560" w:type="pct"/>
          </w:tcPr>
          <w:p w14:paraId="5432384E" w14:textId="77777777" w:rsidR="00012AF6" w:rsidRPr="008B5A6F" w:rsidRDefault="00012AF6" w:rsidP="00026AF6">
            <w:pPr>
              <w:jc w:val="center"/>
            </w:pPr>
            <w:r w:rsidRPr="008B5A6F">
              <w:t>80-84</w:t>
            </w:r>
          </w:p>
        </w:tc>
        <w:tc>
          <w:tcPr>
            <w:tcW w:w="1732" w:type="pct"/>
          </w:tcPr>
          <w:p w14:paraId="25A6F19D" w14:textId="02F8E6CC"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0.311%</w:t>
            </w:r>
            <w:r w:rsidR="0075527E">
              <w:rPr>
                <w:rFonts w:ascii="Calibri" w:hAnsi="Calibri" w:cs="Calibri"/>
                <w:color w:val="000000"/>
              </w:rPr>
              <w:t xml:space="preserve"> (0.0317%)</w:t>
            </w:r>
          </w:p>
        </w:tc>
        <w:tc>
          <w:tcPr>
            <w:tcW w:w="1708" w:type="pct"/>
          </w:tcPr>
          <w:p w14:paraId="108FCF62" w14:textId="0F5D1DCA"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0.179%</w:t>
            </w:r>
            <w:r w:rsidR="0075527E">
              <w:rPr>
                <w:rFonts w:ascii="Calibri" w:hAnsi="Calibri" w:cs="Calibri"/>
                <w:color w:val="000000"/>
              </w:rPr>
              <w:t xml:space="preserve"> (0.0182%)</w:t>
            </w:r>
          </w:p>
        </w:tc>
      </w:tr>
      <w:tr w:rsidR="00012AF6" w:rsidRPr="008B5A6F" w14:paraId="35842264" w14:textId="77777777" w:rsidTr="00026AF6">
        <w:tc>
          <w:tcPr>
            <w:tcW w:w="1560" w:type="pct"/>
          </w:tcPr>
          <w:p w14:paraId="21A25840" w14:textId="77777777" w:rsidR="00012AF6" w:rsidRPr="008B5A6F" w:rsidRDefault="00012AF6" w:rsidP="00026AF6">
            <w:pPr>
              <w:jc w:val="center"/>
            </w:pPr>
            <w:r w:rsidRPr="008B5A6F">
              <w:t>85+</w:t>
            </w:r>
          </w:p>
        </w:tc>
        <w:tc>
          <w:tcPr>
            <w:tcW w:w="1732" w:type="pct"/>
          </w:tcPr>
          <w:p w14:paraId="6C205E99" w14:textId="38E87F9E" w:rsidR="00012AF6" w:rsidRPr="008B5A6F" w:rsidRDefault="00012AF6" w:rsidP="00FF1142">
            <w:pPr>
              <w:tabs>
                <w:tab w:val="decimal" w:pos="1246"/>
              </w:tabs>
              <w:autoSpaceDE w:val="0"/>
              <w:autoSpaceDN w:val="0"/>
              <w:adjustRightInd w:val="0"/>
              <w:rPr>
                <w:rFonts w:ascii="Calibri" w:hAnsi="Calibri" w:cs="Calibri"/>
                <w:color w:val="000000"/>
              </w:rPr>
            </w:pPr>
            <w:r w:rsidRPr="008B5A6F">
              <w:rPr>
                <w:rFonts w:ascii="Calibri" w:hAnsi="Calibri" w:cs="Calibri"/>
                <w:color w:val="000000"/>
              </w:rPr>
              <w:t>0.546%</w:t>
            </w:r>
            <w:r w:rsidR="0075527E">
              <w:rPr>
                <w:rFonts w:ascii="Calibri" w:hAnsi="Calibri" w:cs="Calibri"/>
                <w:color w:val="000000"/>
              </w:rPr>
              <w:t xml:space="preserve"> (0.0557%)</w:t>
            </w:r>
          </w:p>
        </w:tc>
        <w:tc>
          <w:tcPr>
            <w:tcW w:w="1708" w:type="pct"/>
          </w:tcPr>
          <w:p w14:paraId="30D9FB22" w14:textId="61A4C1D7" w:rsidR="00012AF6" w:rsidRPr="008B5A6F" w:rsidRDefault="00012AF6" w:rsidP="00FF1142">
            <w:pPr>
              <w:tabs>
                <w:tab w:val="decimal" w:pos="1141"/>
              </w:tabs>
              <w:autoSpaceDE w:val="0"/>
              <w:autoSpaceDN w:val="0"/>
              <w:adjustRightInd w:val="0"/>
              <w:rPr>
                <w:rFonts w:ascii="Calibri" w:hAnsi="Calibri" w:cs="Calibri"/>
                <w:color w:val="000000"/>
              </w:rPr>
            </w:pPr>
            <w:r w:rsidRPr="008B5A6F">
              <w:rPr>
                <w:rFonts w:ascii="Calibri" w:hAnsi="Calibri" w:cs="Calibri"/>
                <w:color w:val="000000"/>
              </w:rPr>
              <w:t>0.618%</w:t>
            </w:r>
            <w:r w:rsidR="0075527E">
              <w:rPr>
                <w:rFonts w:ascii="Calibri" w:hAnsi="Calibri" w:cs="Calibri"/>
                <w:color w:val="000000"/>
              </w:rPr>
              <w:t xml:space="preserve"> (0.0630%)</w:t>
            </w:r>
          </w:p>
        </w:tc>
      </w:tr>
    </w:tbl>
    <w:p w14:paraId="29282468" w14:textId="52604F71" w:rsidR="00012AF6" w:rsidRPr="008B5A6F" w:rsidRDefault="00012AF6" w:rsidP="00012AF6">
      <w:proofErr w:type="spellStart"/>
      <w:r w:rsidRPr="008B5A6F">
        <w:rPr>
          <w:vertAlign w:val="superscript"/>
        </w:rPr>
        <w:t>a</w:t>
      </w:r>
      <w:r w:rsidR="004E7648" w:rsidRPr="008B5A6F">
        <w:t>D</w:t>
      </w:r>
      <w:r w:rsidR="00DD67AC" w:rsidRPr="008B5A6F">
        <w:t>ata</w:t>
      </w:r>
      <w:proofErr w:type="spellEnd"/>
      <w:r w:rsidR="00DD67AC" w:rsidRPr="008B5A6F">
        <w:t xml:space="preserve"> </w:t>
      </w:r>
      <w:r w:rsidR="004E7648" w:rsidRPr="008B5A6F">
        <w:t xml:space="preserve">derived </w:t>
      </w:r>
      <w:r w:rsidR="00DD67AC" w:rsidRPr="008B5A6F">
        <w:t>from</w:t>
      </w:r>
      <w:r w:rsidRPr="008B5A6F">
        <w:t xml:space="preserve"> </w:t>
      </w:r>
      <w:r w:rsidR="00AF48B2" w:rsidRPr="008B5A6F">
        <w:t xml:space="preserve">Ettinger et al. </w:t>
      </w:r>
      <w:proofErr w:type="spellStart"/>
      <w:r w:rsidR="00AF48B2" w:rsidRPr="008B5A6F">
        <w:t>Osteoporos</w:t>
      </w:r>
      <w:proofErr w:type="spellEnd"/>
      <w:r w:rsidR="00AF48B2" w:rsidRPr="008B5A6F">
        <w:t xml:space="preserve"> Int. 2010. 21:25-33. </w:t>
      </w:r>
      <w:r w:rsidRPr="008B5A6F">
        <w:t>Beta distributions used to represent uncertainty</w:t>
      </w:r>
      <w:r w:rsidR="00D6285B">
        <w:t>.</w:t>
      </w:r>
      <w:r w:rsidR="0075527E">
        <w:t xml:space="preserve"> Standard error calculated based on lower and upper confidence limits represented by 20% either side of mean value.</w:t>
      </w:r>
      <w:r w:rsidR="00D6285B">
        <w:t xml:space="preserve"> Annual rates converted to 6-month probabilities using the formula: probability = 1 – exp (-rate * 0.5).</w:t>
      </w:r>
    </w:p>
    <w:p w14:paraId="0409679A" w14:textId="77777777" w:rsidR="00012AF6" w:rsidRPr="008B5A6F" w:rsidRDefault="00012AF6" w:rsidP="00012AF6"/>
    <w:p w14:paraId="50A65FEF" w14:textId="77777777" w:rsidR="00357A51" w:rsidRPr="008B5A6F" w:rsidRDefault="00357A51" w:rsidP="00357A51">
      <w:pPr>
        <w:pStyle w:val="Caption"/>
      </w:pPr>
      <w:bookmarkStart w:id="5" w:name="_Ref12007457"/>
    </w:p>
    <w:p w14:paraId="77D82CCC" w14:textId="1BFE94A3" w:rsidR="00012AF6" w:rsidRPr="008B5A6F" w:rsidRDefault="00012AF6" w:rsidP="00357A51">
      <w:pPr>
        <w:pStyle w:val="Caption"/>
      </w:pPr>
      <w:r w:rsidRPr="00363709">
        <w:t xml:space="preserve">Table </w:t>
      </w:r>
      <w:bookmarkEnd w:id="5"/>
      <w:r w:rsidR="002D30C9" w:rsidRPr="00363709">
        <w:t>S2</w:t>
      </w:r>
      <w:r w:rsidR="00887BBA" w:rsidRPr="00363709">
        <w:t>:</w:t>
      </w:r>
      <w:r w:rsidRPr="00363709">
        <w:t xml:space="preserve"> Relative risk of fracture versus general population, by age at initial vertebral fracture</w:t>
      </w:r>
    </w:p>
    <w:p w14:paraId="1098DF00" w14:textId="77777777" w:rsidR="00BB4616" w:rsidRPr="008B5A6F" w:rsidRDefault="00BB4616" w:rsidP="00BB4616">
      <w:pPr>
        <w:rPr>
          <w:lang w:eastAsia="en-US"/>
        </w:rPr>
      </w:pPr>
    </w:p>
    <w:tbl>
      <w:tblPr>
        <w:tblStyle w:val="TableGrid"/>
        <w:tblW w:w="0" w:type="auto"/>
        <w:jc w:val="center"/>
        <w:tblLook w:val="04A0" w:firstRow="1" w:lastRow="0" w:firstColumn="1" w:lastColumn="0" w:noHBand="0" w:noVBand="1"/>
      </w:tblPr>
      <w:tblGrid>
        <w:gridCol w:w="2404"/>
        <w:gridCol w:w="3978"/>
      </w:tblGrid>
      <w:tr w:rsidR="00012AF6" w:rsidRPr="008B5A6F" w14:paraId="3C75F860" w14:textId="77777777" w:rsidTr="00535C02">
        <w:trPr>
          <w:tblHeader/>
          <w:jc w:val="center"/>
        </w:trPr>
        <w:tc>
          <w:tcPr>
            <w:tcW w:w="0" w:type="auto"/>
            <w:shd w:val="clear" w:color="auto" w:fill="D9D9D9" w:themeFill="background1" w:themeFillShade="D9"/>
          </w:tcPr>
          <w:p w14:paraId="3B3B949B" w14:textId="77777777" w:rsidR="00012AF6" w:rsidRPr="008B5A6F" w:rsidRDefault="00012AF6" w:rsidP="00B81EC6">
            <w:pPr>
              <w:jc w:val="center"/>
            </w:pPr>
            <w:r w:rsidRPr="008B5A6F">
              <w:t>Age at initial fracture</w:t>
            </w:r>
          </w:p>
        </w:tc>
        <w:tc>
          <w:tcPr>
            <w:tcW w:w="0" w:type="auto"/>
            <w:shd w:val="clear" w:color="auto" w:fill="D9D9D9" w:themeFill="background1" w:themeFillShade="D9"/>
          </w:tcPr>
          <w:p w14:paraId="77C0D9F1" w14:textId="3B6DD65F" w:rsidR="00012AF6" w:rsidRPr="008B5A6F" w:rsidRDefault="00012AF6" w:rsidP="00B81EC6">
            <w:pPr>
              <w:tabs>
                <w:tab w:val="decimal" w:pos="1621"/>
              </w:tabs>
            </w:pPr>
            <w:r w:rsidRPr="008B5A6F">
              <w:t>Relative risk of subsequent fracture</w:t>
            </w:r>
            <w:r w:rsidR="0075527E">
              <w:t xml:space="preserve"> </w:t>
            </w:r>
            <w:r w:rsidR="0075527E">
              <w:br/>
              <w:t>(standard error)</w:t>
            </w:r>
          </w:p>
        </w:tc>
      </w:tr>
      <w:tr w:rsidR="00012AF6" w:rsidRPr="008B5A6F" w14:paraId="1F1D145C" w14:textId="77777777" w:rsidTr="00535C02">
        <w:trPr>
          <w:jc w:val="center"/>
        </w:trPr>
        <w:tc>
          <w:tcPr>
            <w:tcW w:w="0" w:type="auto"/>
          </w:tcPr>
          <w:p w14:paraId="14C63E3D" w14:textId="77777777" w:rsidR="00012AF6" w:rsidRPr="008B5A6F" w:rsidRDefault="00012AF6" w:rsidP="00B81EC6">
            <w:pPr>
              <w:jc w:val="center"/>
            </w:pPr>
            <w:r w:rsidRPr="008B5A6F">
              <w:t>70</w:t>
            </w:r>
          </w:p>
        </w:tc>
        <w:tc>
          <w:tcPr>
            <w:tcW w:w="0" w:type="auto"/>
          </w:tcPr>
          <w:p w14:paraId="144E68F4" w14:textId="4B5A80DD" w:rsidR="00012AF6" w:rsidRPr="008B5A6F" w:rsidRDefault="00012AF6" w:rsidP="00B81EC6">
            <w:pPr>
              <w:tabs>
                <w:tab w:val="decimal" w:pos="1621"/>
              </w:tabs>
            </w:pPr>
            <w:r w:rsidRPr="008B5A6F">
              <w:t>5.85</w:t>
            </w:r>
            <w:r w:rsidR="0075527E">
              <w:t xml:space="preserve"> (0.597)</w:t>
            </w:r>
          </w:p>
        </w:tc>
      </w:tr>
      <w:tr w:rsidR="00012AF6" w:rsidRPr="008B5A6F" w14:paraId="72BA5E7D" w14:textId="77777777" w:rsidTr="00535C02">
        <w:trPr>
          <w:jc w:val="center"/>
        </w:trPr>
        <w:tc>
          <w:tcPr>
            <w:tcW w:w="0" w:type="auto"/>
          </w:tcPr>
          <w:p w14:paraId="39A2DE58" w14:textId="77777777" w:rsidR="00012AF6" w:rsidRPr="008B5A6F" w:rsidRDefault="00012AF6" w:rsidP="00B81EC6">
            <w:pPr>
              <w:jc w:val="center"/>
            </w:pPr>
            <w:r w:rsidRPr="008B5A6F">
              <w:lastRenderedPageBreak/>
              <w:t>71</w:t>
            </w:r>
          </w:p>
        </w:tc>
        <w:tc>
          <w:tcPr>
            <w:tcW w:w="0" w:type="auto"/>
          </w:tcPr>
          <w:p w14:paraId="3838B667" w14:textId="6B67B715" w:rsidR="00012AF6" w:rsidRPr="008B5A6F" w:rsidRDefault="00012AF6" w:rsidP="00B81EC6">
            <w:pPr>
              <w:tabs>
                <w:tab w:val="decimal" w:pos="1621"/>
              </w:tabs>
            </w:pPr>
            <w:r w:rsidRPr="008B5A6F">
              <w:t>5.59</w:t>
            </w:r>
            <w:r w:rsidR="0075527E">
              <w:t xml:space="preserve"> (0.57)</w:t>
            </w:r>
          </w:p>
        </w:tc>
      </w:tr>
      <w:tr w:rsidR="00012AF6" w:rsidRPr="008B5A6F" w14:paraId="6605081C" w14:textId="77777777" w:rsidTr="00535C02">
        <w:trPr>
          <w:jc w:val="center"/>
        </w:trPr>
        <w:tc>
          <w:tcPr>
            <w:tcW w:w="0" w:type="auto"/>
          </w:tcPr>
          <w:p w14:paraId="72C7CFC7" w14:textId="77777777" w:rsidR="00012AF6" w:rsidRPr="008B5A6F" w:rsidRDefault="00012AF6" w:rsidP="00B81EC6">
            <w:pPr>
              <w:jc w:val="center"/>
            </w:pPr>
            <w:r w:rsidRPr="008B5A6F">
              <w:t>72</w:t>
            </w:r>
          </w:p>
        </w:tc>
        <w:tc>
          <w:tcPr>
            <w:tcW w:w="0" w:type="auto"/>
          </w:tcPr>
          <w:p w14:paraId="767AF48F" w14:textId="535ECBBF" w:rsidR="00012AF6" w:rsidRPr="008B5A6F" w:rsidRDefault="00012AF6" w:rsidP="00B81EC6">
            <w:pPr>
              <w:tabs>
                <w:tab w:val="decimal" w:pos="1621"/>
              </w:tabs>
            </w:pPr>
            <w:r w:rsidRPr="008B5A6F">
              <w:t>5.35</w:t>
            </w:r>
            <w:r w:rsidR="0075527E">
              <w:t xml:space="preserve"> (0.546)</w:t>
            </w:r>
          </w:p>
        </w:tc>
      </w:tr>
      <w:tr w:rsidR="00012AF6" w:rsidRPr="008B5A6F" w14:paraId="48EE7D15" w14:textId="77777777" w:rsidTr="00535C02">
        <w:trPr>
          <w:jc w:val="center"/>
        </w:trPr>
        <w:tc>
          <w:tcPr>
            <w:tcW w:w="0" w:type="auto"/>
          </w:tcPr>
          <w:p w14:paraId="6A15053E" w14:textId="77777777" w:rsidR="00012AF6" w:rsidRPr="008B5A6F" w:rsidRDefault="00012AF6" w:rsidP="00B81EC6">
            <w:pPr>
              <w:jc w:val="center"/>
            </w:pPr>
            <w:r w:rsidRPr="008B5A6F">
              <w:t>73</w:t>
            </w:r>
          </w:p>
        </w:tc>
        <w:tc>
          <w:tcPr>
            <w:tcW w:w="0" w:type="auto"/>
          </w:tcPr>
          <w:p w14:paraId="43770B04" w14:textId="12A3585A" w:rsidR="00012AF6" w:rsidRPr="008B5A6F" w:rsidRDefault="00012AF6" w:rsidP="00B81EC6">
            <w:pPr>
              <w:tabs>
                <w:tab w:val="decimal" w:pos="1621"/>
              </w:tabs>
            </w:pPr>
            <w:r w:rsidRPr="008B5A6F">
              <w:t>5.10</w:t>
            </w:r>
            <w:r w:rsidR="0075527E">
              <w:t xml:space="preserve"> (0.521)</w:t>
            </w:r>
          </w:p>
        </w:tc>
      </w:tr>
      <w:tr w:rsidR="00012AF6" w:rsidRPr="008B5A6F" w14:paraId="1EDE2C44" w14:textId="77777777" w:rsidTr="00535C02">
        <w:trPr>
          <w:jc w:val="center"/>
        </w:trPr>
        <w:tc>
          <w:tcPr>
            <w:tcW w:w="0" w:type="auto"/>
          </w:tcPr>
          <w:p w14:paraId="0041664D" w14:textId="77777777" w:rsidR="00012AF6" w:rsidRPr="008B5A6F" w:rsidRDefault="00012AF6" w:rsidP="00B81EC6">
            <w:pPr>
              <w:jc w:val="center"/>
            </w:pPr>
            <w:r w:rsidRPr="008B5A6F">
              <w:t>74</w:t>
            </w:r>
          </w:p>
        </w:tc>
        <w:tc>
          <w:tcPr>
            <w:tcW w:w="0" w:type="auto"/>
          </w:tcPr>
          <w:p w14:paraId="67FE3904" w14:textId="52B9D717" w:rsidR="00012AF6" w:rsidRPr="008B5A6F" w:rsidRDefault="00012AF6" w:rsidP="00B81EC6">
            <w:pPr>
              <w:tabs>
                <w:tab w:val="decimal" w:pos="1621"/>
              </w:tabs>
            </w:pPr>
            <w:r w:rsidRPr="008B5A6F">
              <w:t>4.85</w:t>
            </w:r>
            <w:r w:rsidR="0075527E">
              <w:t xml:space="preserve"> (0.495)</w:t>
            </w:r>
          </w:p>
        </w:tc>
      </w:tr>
      <w:tr w:rsidR="00012AF6" w:rsidRPr="008B5A6F" w14:paraId="1D6BA2D2" w14:textId="77777777" w:rsidTr="00535C02">
        <w:trPr>
          <w:jc w:val="center"/>
        </w:trPr>
        <w:tc>
          <w:tcPr>
            <w:tcW w:w="0" w:type="auto"/>
          </w:tcPr>
          <w:p w14:paraId="4C54FE73" w14:textId="77777777" w:rsidR="00012AF6" w:rsidRPr="008B5A6F" w:rsidRDefault="00012AF6" w:rsidP="00B81EC6">
            <w:pPr>
              <w:jc w:val="center"/>
            </w:pPr>
            <w:r w:rsidRPr="008B5A6F">
              <w:t>75</w:t>
            </w:r>
          </w:p>
        </w:tc>
        <w:tc>
          <w:tcPr>
            <w:tcW w:w="0" w:type="auto"/>
          </w:tcPr>
          <w:p w14:paraId="73B26222" w14:textId="3A7B5BFF" w:rsidR="00012AF6" w:rsidRPr="008B5A6F" w:rsidRDefault="00012AF6" w:rsidP="00B81EC6">
            <w:pPr>
              <w:tabs>
                <w:tab w:val="decimal" w:pos="1621"/>
              </w:tabs>
            </w:pPr>
            <w:r w:rsidRPr="008B5A6F">
              <w:t>4.63</w:t>
            </w:r>
            <w:r w:rsidR="0075527E">
              <w:t xml:space="preserve"> (0.472)</w:t>
            </w:r>
          </w:p>
        </w:tc>
      </w:tr>
      <w:tr w:rsidR="00012AF6" w:rsidRPr="008B5A6F" w14:paraId="197D47B0" w14:textId="77777777" w:rsidTr="00535C02">
        <w:trPr>
          <w:jc w:val="center"/>
        </w:trPr>
        <w:tc>
          <w:tcPr>
            <w:tcW w:w="0" w:type="auto"/>
          </w:tcPr>
          <w:p w14:paraId="45521E7E" w14:textId="77777777" w:rsidR="00012AF6" w:rsidRPr="008B5A6F" w:rsidRDefault="00012AF6" w:rsidP="00B81EC6">
            <w:pPr>
              <w:jc w:val="center"/>
            </w:pPr>
            <w:r w:rsidRPr="008B5A6F">
              <w:t>76</w:t>
            </w:r>
          </w:p>
        </w:tc>
        <w:tc>
          <w:tcPr>
            <w:tcW w:w="0" w:type="auto"/>
          </w:tcPr>
          <w:p w14:paraId="7A689732" w14:textId="5E45D6C3" w:rsidR="00012AF6" w:rsidRPr="008B5A6F" w:rsidRDefault="00012AF6" w:rsidP="00B81EC6">
            <w:pPr>
              <w:tabs>
                <w:tab w:val="decimal" w:pos="1621"/>
              </w:tabs>
            </w:pPr>
            <w:r w:rsidRPr="008B5A6F">
              <w:t>4.40</w:t>
            </w:r>
            <w:r w:rsidR="0075527E">
              <w:t xml:space="preserve"> (0.449)</w:t>
            </w:r>
          </w:p>
        </w:tc>
      </w:tr>
      <w:tr w:rsidR="00012AF6" w:rsidRPr="008B5A6F" w14:paraId="37D7E4A0" w14:textId="77777777" w:rsidTr="00535C02">
        <w:trPr>
          <w:jc w:val="center"/>
        </w:trPr>
        <w:tc>
          <w:tcPr>
            <w:tcW w:w="0" w:type="auto"/>
          </w:tcPr>
          <w:p w14:paraId="7633DB6A" w14:textId="77777777" w:rsidR="00012AF6" w:rsidRPr="008B5A6F" w:rsidRDefault="00012AF6" w:rsidP="00B81EC6">
            <w:pPr>
              <w:jc w:val="center"/>
            </w:pPr>
            <w:r w:rsidRPr="008B5A6F">
              <w:t>77</w:t>
            </w:r>
          </w:p>
        </w:tc>
        <w:tc>
          <w:tcPr>
            <w:tcW w:w="0" w:type="auto"/>
          </w:tcPr>
          <w:p w14:paraId="3E755F5A" w14:textId="3DF787A2" w:rsidR="00012AF6" w:rsidRPr="008B5A6F" w:rsidRDefault="00012AF6" w:rsidP="00B81EC6">
            <w:pPr>
              <w:tabs>
                <w:tab w:val="decimal" w:pos="1621"/>
              </w:tabs>
            </w:pPr>
            <w:r w:rsidRPr="008B5A6F">
              <w:t>4.18</w:t>
            </w:r>
            <w:r w:rsidR="0075527E">
              <w:t xml:space="preserve"> (0.427)</w:t>
            </w:r>
          </w:p>
        </w:tc>
      </w:tr>
      <w:tr w:rsidR="00012AF6" w:rsidRPr="008B5A6F" w14:paraId="2F60E15D" w14:textId="77777777" w:rsidTr="00535C02">
        <w:trPr>
          <w:jc w:val="center"/>
        </w:trPr>
        <w:tc>
          <w:tcPr>
            <w:tcW w:w="0" w:type="auto"/>
          </w:tcPr>
          <w:p w14:paraId="706A9B4C" w14:textId="77777777" w:rsidR="00012AF6" w:rsidRPr="008B5A6F" w:rsidRDefault="00012AF6" w:rsidP="00B81EC6">
            <w:pPr>
              <w:jc w:val="center"/>
            </w:pPr>
            <w:r w:rsidRPr="008B5A6F">
              <w:t>78</w:t>
            </w:r>
          </w:p>
        </w:tc>
        <w:tc>
          <w:tcPr>
            <w:tcW w:w="0" w:type="auto"/>
          </w:tcPr>
          <w:p w14:paraId="44D4B642" w14:textId="1993EBD0" w:rsidR="00012AF6" w:rsidRPr="008B5A6F" w:rsidRDefault="00012AF6" w:rsidP="00B81EC6">
            <w:pPr>
              <w:tabs>
                <w:tab w:val="decimal" w:pos="1621"/>
              </w:tabs>
            </w:pPr>
            <w:r w:rsidRPr="008B5A6F">
              <w:t>3.97</w:t>
            </w:r>
            <w:r w:rsidR="0075527E">
              <w:t xml:space="preserve"> (0.405)</w:t>
            </w:r>
          </w:p>
        </w:tc>
      </w:tr>
      <w:tr w:rsidR="00012AF6" w:rsidRPr="008B5A6F" w14:paraId="5C1EFDAF" w14:textId="77777777" w:rsidTr="00535C02">
        <w:trPr>
          <w:jc w:val="center"/>
        </w:trPr>
        <w:tc>
          <w:tcPr>
            <w:tcW w:w="0" w:type="auto"/>
          </w:tcPr>
          <w:p w14:paraId="32B26907" w14:textId="77777777" w:rsidR="00012AF6" w:rsidRPr="008B5A6F" w:rsidRDefault="00012AF6" w:rsidP="00B81EC6">
            <w:pPr>
              <w:jc w:val="center"/>
            </w:pPr>
            <w:r w:rsidRPr="008B5A6F">
              <w:t>79</w:t>
            </w:r>
          </w:p>
        </w:tc>
        <w:tc>
          <w:tcPr>
            <w:tcW w:w="0" w:type="auto"/>
          </w:tcPr>
          <w:p w14:paraId="01740CE2" w14:textId="612B07D0" w:rsidR="00012AF6" w:rsidRPr="008B5A6F" w:rsidRDefault="00012AF6" w:rsidP="00B81EC6">
            <w:pPr>
              <w:tabs>
                <w:tab w:val="decimal" w:pos="1621"/>
              </w:tabs>
            </w:pPr>
            <w:r w:rsidRPr="008B5A6F">
              <w:t>3.79</w:t>
            </w:r>
            <w:r w:rsidR="0075527E">
              <w:t xml:space="preserve"> (0.386)</w:t>
            </w:r>
          </w:p>
        </w:tc>
      </w:tr>
      <w:tr w:rsidR="00012AF6" w:rsidRPr="008B5A6F" w14:paraId="542EA74C" w14:textId="77777777" w:rsidTr="00535C02">
        <w:trPr>
          <w:jc w:val="center"/>
        </w:trPr>
        <w:tc>
          <w:tcPr>
            <w:tcW w:w="0" w:type="auto"/>
          </w:tcPr>
          <w:p w14:paraId="2BF71CA3" w14:textId="77777777" w:rsidR="00012AF6" w:rsidRPr="008B5A6F" w:rsidRDefault="00012AF6" w:rsidP="00B81EC6">
            <w:pPr>
              <w:jc w:val="center"/>
            </w:pPr>
            <w:r w:rsidRPr="008B5A6F">
              <w:t>80</w:t>
            </w:r>
          </w:p>
        </w:tc>
        <w:tc>
          <w:tcPr>
            <w:tcW w:w="0" w:type="auto"/>
          </w:tcPr>
          <w:p w14:paraId="42125409" w14:textId="540F5044" w:rsidR="00012AF6" w:rsidRPr="008B5A6F" w:rsidRDefault="00012AF6" w:rsidP="00B81EC6">
            <w:pPr>
              <w:tabs>
                <w:tab w:val="decimal" w:pos="1621"/>
              </w:tabs>
            </w:pPr>
            <w:r w:rsidRPr="008B5A6F">
              <w:t>3.66</w:t>
            </w:r>
            <w:r w:rsidR="0075527E">
              <w:t xml:space="preserve"> (0.373)</w:t>
            </w:r>
          </w:p>
        </w:tc>
      </w:tr>
      <w:tr w:rsidR="00012AF6" w:rsidRPr="008B5A6F" w14:paraId="7E52945C" w14:textId="77777777" w:rsidTr="00535C02">
        <w:trPr>
          <w:jc w:val="center"/>
        </w:trPr>
        <w:tc>
          <w:tcPr>
            <w:tcW w:w="0" w:type="auto"/>
          </w:tcPr>
          <w:p w14:paraId="1CD4FA22" w14:textId="77777777" w:rsidR="00012AF6" w:rsidRPr="008B5A6F" w:rsidRDefault="00012AF6" w:rsidP="00B81EC6">
            <w:pPr>
              <w:jc w:val="center"/>
            </w:pPr>
            <w:r w:rsidRPr="008B5A6F">
              <w:t>81</w:t>
            </w:r>
          </w:p>
        </w:tc>
        <w:tc>
          <w:tcPr>
            <w:tcW w:w="0" w:type="auto"/>
          </w:tcPr>
          <w:p w14:paraId="318CB6EE" w14:textId="25081F9A" w:rsidR="00012AF6" w:rsidRPr="008B5A6F" w:rsidRDefault="00012AF6" w:rsidP="00B81EC6">
            <w:pPr>
              <w:tabs>
                <w:tab w:val="decimal" w:pos="1621"/>
              </w:tabs>
            </w:pPr>
            <w:r w:rsidRPr="008B5A6F">
              <w:t>3.50</w:t>
            </w:r>
            <w:r w:rsidR="0075527E">
              <w:t xml:space="preserve"> (0.357)</w:t>
            </w:r>
          </w:p>
        </w:tc>
      </w:tr>
      <w:tr w:rsidR="00012AF6" w:rsidRPr="008B5A6F" w14:paraId="589B4963" w14:textId="77777777" w:rsidTr="00535C02">
        <w:trPr>
          <w:jc w:val="center"/>
        </w:trPr>
        <w:tc>
          <w:tcPr>
            <w:tcW w:w="0" w:type="auto"/>
          </w:tcPr>
          <w:p w14:paraId="41128DB3" w14:textId="77777777" w:rsidR="00012AF6" w:rsidRPr="008B5A6F" w:rsidRDefault="00012AF6" w:rsidP="00B81EC6">
            <w:pPr>
              <w:jc w:val="center"/>
            </w:pPr>
            <w:r w:rsidRPr="008B5A6F">
              <w:t>82</w:t>
            </w:r>
          </w:p>
        </w:tc>
        <w:tc>
          <w:tcPr>
            <w:tcW w:w="0" w:type="auto"/>
          </w:tcPr>
          <w:p w14:paraId="7FD2E4AA" w14:textId="36C9AD19" w:rsidR="00012AF6" w:rsidRPr="008B5A6F" w:rsidRDefault="00012AF6" w:rsidP="00B81EC6">
            <w:pPr>
              <w:tabs>
                <w:tab w:val="decimal" w:pos="1621"/>
              </w:tabs>
            </w:pPr>
            <w:r w:rsidRPr="008B5A6F">
              <w:t>3.36</w:t>
            </w:r>
            <w:r w:rsidR="0075527E">
              <w:t xml:space="preserve"> (0.342)</w:t>
            </w:r>
          </w:p>
        </w:tc>
      </w:tr>
      <w:tr w:rsidR="00012AF6" w:rsidRPr="008B5A6F" w14:paraId="433DA8D1" w14:textId="77777777" w:rsidTr="00535C02">
        <w:trPr>
          <w:jc w:val="center"/>
        </w:trPr>
        <w:tc>
          <w:tcPr>
            <w:tcW w:w="0" w:type="auto"/>
          </w:tcPr>
          <w:p w14:paraId="585B5014" w14:textId="77777777" w:rsidR="00012AF6" w:rsidRPr="008B5A6F" w:rsidRDefault="00012AF6" w:rsidP="00B81EC6">
            <w:pPr>
              <w:jc w:val="center"/>
            </w:pPr>
            <w:r w:rsidRPr="008B5A6F">
              <w:t>83</w:t>
            </w:r>
          </w:p>
        </w:tc>
        <w:tc>
          <w:tcPr>
            <w:tcW w:w="0" w:type="auto"/>
          </w:tcPr>
          <w:p w14:paraId="421BE56F" w14:textId="7F893C63" w:rsidR="00012AF6" w:rsidRPr="008B5A6F" w:rsidRDefault="00012AF6" w:rsidP="00B81EC6">
            <w:pPr>
              <w:tabs>
                <w:tab w:val="decimal" w:pos="1621"/>
              </w:tabs>
            </w:pPr>
            <w:r w:rsidRPr="008B5A6F">
              <w:t>3.23</w:t>
            </w:r>
            <w:r w:rsidR="0075527E">
              <w:t xml:space="preserve"> (0.329)</w:t>
            </w:r>
          </w:p>
        </w:tc>
      </w:tr>
      <w:tr w:rsidR="00012AF6" w:rsidRPr="008B5A6F" w14:paraId="47FE41A9" w14:textId="77777777" w:rsidTr="00535C02">
        <w:trPr>
          <w:jc w:val="center"/>
        </w:trPr>
        <w:tc>
          <w:tcPr>
            <w:tcW w:w="0" w:type="auto"/>
          </w:tcPr>
          <w:p w14:paraId="2F823D6F" w14:textId="77777777" w:rsidR="00012AF6" w:rsidRPr="008B5A6F" w:rsidRDefault="00012AF6" w:rsidP="00B81EC6">
            <w:pPr>
              <w:jc w:val="center"/>
            </w:pPr>
            <w:r w:rsidRPr="008B5A6F">
              <w:t>84</w:t>
            </w:r>
          </w:p>
        </w:tc>
        <w:tc>
          <w:tcPr>
            <w:tcW w:w="0" w:type="auto"/>
          </w:tcPr>
          <w:p w14:paraId="327B8731" w14:textId="0BA5968D" w:rsidR="00012AF6" w:rsidRPr="008B5A6F" w:rsidRDefault="00012AF6" w:rsidP="00B81EC6">
            <w:pPr>
              <w:tabs>
                <w:tab w:val="decimal" w:pos="1621"/>
              </w:tabs>
            </w:pPr>
            <w:r w:rsidRPr="008B5A6F">
              <w:t>3.12</w:t>
            </w:r>
            <w:r w:rsidR="0075527E">
              <w:t xml:space="preserve"> (0.318)</w:t>
            </w:r>
          </w:p>
        </w:tc>
      </w:tr>
      <w:tr w:rsidR="00012AF6" w:rsidRPr="008B5A6F" w14:paraId="65A98863" w14:textId="77777777" w:rsidTr="00535C02">
        <w:trPr>
          <w:jc w:val="center"/>
        </w:trPr>
        <w:tc>
          <w:tcPr>
            <w:tcW w:w="0" w:type="auto"/>
          </w:tcPr>
          <w:p w14:paraId="0029C897" w14:textId="77777777" w:rsidR="00012AF6" w:rsidRPr="008B5A6F" w:rsidRDefault="00012AF6" w:rsidP="00B81EC6">
            <w:pPr>
              <w:jc w:val="center"/>
            </w:pPr>
            <w:r w:rsidRPr="008B5A6F">
              <w:t>85</w:t>
            </w:r>
          </w:p>
        </w:tc>
        <w:tc>
          <w:tcPr>
            <w:tcW w:w="0" w:type="auto"/>
          </w:tcPr>
          <w:p w14:paraId="5E00F450" w14:textId="3924E04F" w:rsidR="00012AF6" w:rsidRPr="008B5A6F" w:rsidRDefault="00012AF6" w:rsidP="00B81EC6">
            <w:pPr>
              <w:tabs>
                <w:tab w:val="decimal" w:pos="1621"/>
              </w:tabs>
            </w:pPr>
            <w:r w:rsidRPr="008B5A6F">
              <w:t>3.01</w:t>
            </w:r>
            <w:r w:rsidR="0075527E">
              <w:t xml:space="preserve"> (0.308)</w:t>
            </w:r>
          </w:p>
        </w:tc>
      </w:tr>
      <w:tr w:rsidR="00012AF6" w:rsidRPr="008B5A6F" w14:paraId="615DE99E" w14:textId="77777777" w:rsidTr="00535C02">
        <w:trPr>
          <w:jc w:val="center"/>
        </w:trPr>
        <w:tc>
          <w:tcPr>
            <w:tcW w:w="0" w:type="auto"/>
          </w:tcPr>
          <w:p w14:paraId="33E238B3" w14:textId="77777777" w:rsidR="00012AF6" w:rsidRPr="008B5A6F" w:rsidRDefault="00012AF6" w:rsidP="00B81EC6">
            <w:pPr>
              <w:jc w:val="center"/>
            </w:pPr>
            <w:r w:rsidRPr="008B5A6F">
              <w:t>86</w:t>
            </w:r>
          </w:p>
        </w:tc>
        <w:tc>
          <w:tcPr>
            <w:tcW w:w="0" w:type="auto"/>
          </w:tcPr>
          <w:p w14:paraId="08A5F2BD" w14:textId="553D762A" w:rsidR="00012AF6" w:rsidRPr="008B5A6F" w:rsidRDefault="00012AF6" w:rsidP="00B81EC6">
            <w:pPr>
              <w:tabs>
                <w:tab w:val="decimal" w:pos="1621"/>
              </w:tabs>
            </w:pPr>
            <w:r w:rsidRPr="008B5A6F">
              <w:t>2.99</w:t>
            </w:r>
            <w:r w:rsidR="0075527E">
              <w:t xml:space="preserve"> (0.305)</w:t>
            </w:r>
          </w:p>
        </w:tc>
      </w:tr>
      <w:tr w:rsidR="00012AF6" w:rsidRPr="008B5A6F" w14:paraId="128802CC" w14:textId="77777777" w:rsidTr="00535C02">
        <w:trPr>
          <w:jc w:val="center"/>
        </w:trPr>
        <w:tc>
          <w:tcPr>
            <w:tcW w:w="0" w:type="auto"/>
          </w:tcPr>
          <w:p w14:paraId="6AD82BA3" w14:textId="77777777" w:rsidR="00012AF6" w:rsidRPr="008B5A6F" w:rsidRDefault="00012AF6" w:rsidP="00B81EC6">
            <w:pPr>
              <w:jc w:val="center"/>
            </w:pPr>
            <w:r w:rsidRPr="008B5A6F">
              <w:t>87</w:t>
            </w:r>
          </w:p>
        </w:tc>
        <w:tc>
          <w:tcPr>
            <w:tcW w:w="0" w:type="auto"/>
          </w:tcPr>
          <w:p w14:paraId="020EF2DF" w14:textId="3E1FC53B" w:rsidR="00012AF6" w:rsidRPr="008B5A6F" w:rsidRDefault="00012AF6" w:rsidP="00B81EC6">
            <w:pPr>
              <w:tabs>
                <w:tab w:val="decimal" w:pos="1621"/>
              </w:tabs>
            </w:pPr>
            <w:r w:rsidRPr="008B5A6F">
              <w:t>2.85</w:t>
            </w:r>
            <w:r w:rsidR="0075527E">
              <w:t xml:space="preserve"> (0.290)</w:t>
            </w:r>
          </w:p>
        </w:tc>
      </w:tr>
      <w:tr w:rsidR="00012AF6" w:rsidRPr="008B5A6F" w14:paraId="5D48B6ED" w14:textId="77777777" w:rsidTr="00535C02">
        <w:trPr>
          <w:jc w:val="center"/>
        </w:trPr>
        <w:tc>
          <w:tcPr>
            <w:tcW w:w="0" w:type="auto"/>
          </w:tcPr>
          <w:p w14:paraId="06DFFEEB" w14:textId="77777777" w:rsidR="00012AF6" w:rsidRPr="008B5A6F" w:rsidRDefault="00012AF6" w:rsidP="00B81EC6">
            <w:pPr>
              <w:jc w:val="center"/>
            </w:pPr>
            <w:r w:rsidRPr="008B5A6F">
              <w:t>88</w:t>
            </w:r>
          </w:p>
        </w:tc>
        <w:tc>
          <w:tcPr>
            <w:tcW w:w="0" w:type="auto"/>
          </w:tcPr>
          <w:p w14:paraId="5A432754" w14:textId="11F035A2" w:rsidR="00012AF6" w:rsidRPr="008B5A6F" w:rsidRDefault="00012AF6" w:rsidP="00B81EC6">
            <w:pPr>
              <w:tabs>
                <w:tab w:val="decimal" w:pos="1621"/>
              </w:tabs>
            </w:pPr>
            <w:r w:rsidRPr="008B5A6F">
              <w:t>2.86</w:t>
            </w:r>
            <w:r w:rsidR="0075527E">
              <w:t xml:space="preserve"> (0.292)</w:t>
            </w:r>
          </w:p>
        </w:tc>
      </w:tr>
      <w:tr w:rsidR="00012AF6" w:rsidRPr="008B5A6F" w14:paraId="6FABA6FE" w14:textId="77777777" w:rsidTr="00535C02">
        <w:trPr>
          <w:jc w:val="center"/>
        </w:trPr>
        <w:tc>
          <w:tcPr>
            <w:tcW w:w="0" w:type="auto"/>
          </w:tcPr>
          <w:p w14:paraId="499E9423" w14:textId="77777777" w:rsidR="00012AF6" w:rsidRPr="008B5A6F" w:rsidRDefault="00012AF6" w:rsidP="00B81EC6">
            <w:pPr>
              <w:jc w:val="center"/>
            </w:pPr>
            <w:r w:rsidRPr="008B5A6F">
              <w:t>89</w:t>
            </w:r>
          </w:p>
        </w:tc>
        <w:tc>
          <w:tcPr>
            <w:tcW w:w="0" w:type="auto"/>
          </w:tcPr>
          <w:p w14:paraId="63A5EE16" w14:textId="7CD43641" w:rsidR="00012AF6" w:rsidRPr="008B5A6F" w:rsidRDefault="00012AF6" w:rsidP="00B81EC6">
            <w:pPr>
              <w:tabs>
                <w:tab w:val="decimal" w:pos="1621"/>
              </w:tabs>
            </w:pPr>
            <w:r w:rsidRPr="008B5A6F">
              <w:t>2.84</w:t>
            </w:r>
            <w:r w:rsidR="0075527E">
              <w:t xml:space="preserve"> (0.290)</w:t>
            </w:r>
          </w:p>
        </w:tc>
      </w:tr>
      <w:tr w:rsidR="00012AF6" w:rsidRPr="008B5A6F" w14:paraId="6E423CD7" w14:textId="77777777" w:rsidTr="00535C02">
        <w:trPr>
          <w:jc w:val="center"/>
        </w:trPr>
        <w:tc>
          <w:tcPr>
            <w:tcW w:w="0" w:type="auto"/>
          </w:tcPr>
          <w:p w14:paraId="273258C8" w14:textId="77777777" w:rsidR="00012AF6" w:rsidRPr="008B5A6F" w:rsidRDefault="00012AF6" w:rsidP="00B81EC6">
            <w:pPr>
              <w:jc w:val="center"/>
            </w:pPr>
            <w:r w:rsidRPr="008B5A6F">
              <w:lastRenderedPageBreak/>
              <w:t>90</w:t>
            </w:r>
          </w:p>
        </w:tc>
        <w:tc>
          <w:tcPr>
            <w:tcW w:w="0" w:type="auto"/>
          </w:tcPr>
          <w:p w14:paraId="5184C9E5" w14:textId="21558BCC" w:rsidR="00012AF6" w:rsidRPr="008B5A6F" w:rsidRDefault="00012AF6" w:rsidP="00B81EC6">
            <w:pPr>
              <w:tabs>
                <w:tab w:val="decimal" w:pos="1621"/>
              </w:tabs>
            </w:pPr>
            <w:r w:rsidRPr="008B5A6F">
              <w:t>2.78</w:t>
            </w:r>
            <w:r w:rsidR="0075527E">
              <w:t xml:space="preserve"> (0.284)</w:t>
            </w:r>
          </w:p>
        </w:tc>
      </w:tr>
    </w:tbl>
    <w:p w14:paraId="7E24FE76" w14:textId="0DBE5067" w:rsidR="00012AF6" w:rsidRPr="008B5A6F" w:rsidRDefault="004E7648" w:rsidP="00012AF6">
      <w:r w:rsidRPr="00A8305B">
        <w:t xml:space="preserve">Data </w:t>
      </w:r>
      <w:r w:rsidR="00A8305B" w:rsidRPr="00A8305B">
        <w:t xml:space="preserve">based on model reported by </w:t>
      </w:r>
      <w:proofErr w:type="spellStart"/>
      <w:r w:rsidR="00A8305B" w:rsidRPr="00A8305B">
        <w:t>Svedbom</w:t>
      </w:r>
      <w:proofErr w:type="spellEnd"/>
      <w:r w:rsidR="004E066B" w:rsidRPr="00A8305B">
        <w:t xml:space="preserve"> et al. </w:t>
      </w:r>
      <w:proofErr w:type="spellStart"/>
      <w:r w:rsidR="004E066B" w:rsidRPr="00A8305B">
        <w:t>Osteoporos</w:t>
      </w:r>
      <w:proofErr w:type="spellEnd"/>
      <w:r w:rsidR="004E066B" w:rsidRPr="00A8305B">
        <w:t xml:space="preserve"> Int. 201</w:t>
      </w:r>
      <w:r w:rsidR="00A8305B" w:rsidRPr="00A8305B">
        <w:t>3</w:t>
      </w:r>
      <w:r w:rsidR="004E066B" w:rsidRPr="00A8305B">
        <w:t xml:space="preserve">. </w:t>
      </w:r>
      <w:r w:rsidR="00A8305B" w:rsidRPr="00A8305B">
        <w:t>24(1)</w:t>
      </w:r>
      <w:r w:rsidR="004E066B" w:rsidRPr="00A8305B">
        <w:t>:</w:t>
      </w:r>
      <w:r w:rsidR="00A8305B" w:rsidRPr="00A8305B">
        <w:t>355-367</w:t>
      </w:r>
      <w:r w:rsidR="004E066B" w:rsidRPr="00A8305B">
        <w:t xml:space="preserve">. </w:t>
      </w:r>
      <w:r w:rsidR="00012AF6" w:rsidRPr="00A8305B">
        <w:t>Lognormal distributions used to represent uncertainty</w:t>
      </w:r>
      <w:r w:rsidR="0075527E" w:rsidRPr="00A8305B">
        <w:t xml:space="preserve">, with standard error </w:t>
      </w:r>
      <w:r w:rsidR="00B21947" w:rsidRPr="00A8305B">
        <w:t>estimated</w:t>
      </w:r>
      <w:r w:rsidR="0075527E" w:rsidRPr="00A8305B">
        <w:t xml:space="preserve"> by specifying confidence intervals for each relative risk </w:t>
      </w:r>
      <w:r w:rsidR="00B21947" w:rsidRPr="00A8305B">
        <w:t>based on 20% variation either side of the mean.</w:t>
      </w:r>
    </w:p>
    <w:p w14:paraId="6C42E688" w14:textId="77777777" w:rsidR="00012AF6" w:rsidRPr="008B5A6F" w:rsidRDefault="00012AF6" w:rsidP="00012AF6"/>
    <w:p w14:paraId="5D92DE60" w14:textId="77777777" w:rsidR="00012AF6" w:rsidRPr="008B5A6F" w:rsidRDefault="00012AF6" w:rsidP="00012AF6"/>
    <w:p w14:paraId="6669E329" w14:textId="6DD1BAF3" w:rsidR="00012AF6" w:rsidRPr="008B5A6F" w:rsidRDefault="00012AF6" w:rsidP="00556D05">
      <w:pPr>
        <w:pStyle w:val="Caption"/>
        <w:keepNext/>
        <w:rPr>
          <w:vertAlign w:val="superscript"/>
        </w:rPr>
      </w:pPr>
      <w:bookmarkStart w:id="6" w:name="_Ref12026636"/>
      <w:r w:rsidRPr="008B5A6F">
        <w:t xml:space="preserve">Table </w:t>
      </w:r>
      <w:bookmarkEnd w:id="6"/>
      <w:r w:rsidR="00887BBA" w:rsidRPr="008B5A6F">
        <w:t>S3</w:t>
      </w:r>
      <w:r w:rsidRPr="008B5A6F">
        <w:t xml:space="preserve">: Hazard ratio for treatment effect on </w:t>
      </w:r>
      <w:proofErr w:type="spellStart"/>
      <w:r w:rsidRPr="008B5A6F">
        <w:t>mortality</w:t>
      </w:r>
      <w:r w:rsidR="007102E3" w:rsidRPr="008B5A6F">
        <w:rPr>
          <w:vertAlign w:val="superscript"/>
        </w:rPr>
        <w:t>a</w:t>
      </w:r>
      <w:proofErr w:type="spellEnd"/>
    </w:p>
    <w:p w14:paraId="16DE5929" w14:textId="77777777" w:rsidR="00BB4616" w:rsidRPr="008B5A6F" w:rsidRDefault="00BB4616" w:rsidP="00556D05">
      <w:pPr>
        <w:keepNext/>
        <w:rPr>
          <w:lang w:eastAsia="en-US"/>
        </w:rPr>
      </w:pPr>
    </w:p>
    <w:tbl>
      <w:tblPr>
        <w:tblStyle w:val="TableGrid"/>
        <w:tblW w:w="5000" w:type="pct"/>
        <w:tblLook w:val="04A0" w:firstRow="1" w:lastRow="0" w:firstColumn="1" w:lastColumn="0" w:noHBand="0" w:noVBand="1"/>
      </w:tblPr>
      <w:tblGrid>
        <w:gridCol w:w="4449"/>
        <w:gridCol w:w="4079"/>
        <w:gridCol w:w="2694"/>
        <w:gridCol w:w="1728"/>
      </w:tblGrid>
      <w:tr w:rsidR="006D7050" w:rsidRPr="008B5A6F" w14:paraId="31A8CDDD" w14:textId="77777777" w:rsidTr="006D7050">
        <w:trPr>
          <w:tblHeader/>
        </w:trPr>
        <w:tc>
          <w:tcPr>
            <w:tcW w:w="1718" w:type="pct"/>
            <w:shd w:val="clear" w:color="auto" w:fill="D9D9D9" w:themeFill="background1" w:themeFillShade="D9"/>
          </w:tcPr>
          <w:p w14:paraId="073C9761" w14:textId="77777777" w:rsidR="00012AF6" w:rsidRPr="008B5A6F" w:rsidRDefault="00012AF6" w:rsidP="00026AF6">
            <w:pPr>
              <w:jc w:val="center"/>
              <w:rPr>
                <w:b/>
                <w:bCs/>
              </w:rPr>
            </w:pPr>
            <w:r w:rsidRPr="008B5A6F">
              <w:rPr>
                <w:b/>
                <w:bCs/>
              </w:rPr>
              <w:t>Treatment comparison</w:t>
            </w:r>
          </w:p>
        </w:tc>
        <w:tc>
          <w:tcPr>
            <w:tcW w:w="1575" w:type="pct"/>
            <w:shd w:val="clear" w:color="auto" w:fill="D9D9D9" w:themeFill="background1" w:themeFillShade="D9"/>
          </w:tcPr>
          <w:p w14:paraId="3A8824E7" w14:textId="77777777" w:rsidR="00012AF6" w:rsidRPr="008B5A6F" w:rsidRDefault="00012AF6" w:rsidP="00026AF6">
            <w:pPr>
              <w:jc w:val="center"/>
              <w:rPr>
                <w:b/>
                <w:bCs/>
              </w:rPr>
            </w:pPr>
            <w:r w:rsidRPr="008B5A6F">
              <w:rPr>
                <w:b/>
                <w:bCs/>
              </w:rPr>
              <w:t>Hazard ratio for mortality in surgery group</w:t>
            </w:r>
          </w:p>
        </w:tc>
        <w:tc>
          <w:tcPr>
            <w:tcW w:w="1040" w:type="pct"/>
            <w:shd w:val="clear" w:color="auto" w:fill="D9D9D9" w:themeFill="background1" w:themeFillShade="D9"/>
          </w:tcPr>
          <w:p w14:paraId="13FC8265" w14:textId="77777777" w:rsidR="00012AF6" w:rsidRPr="008B5A6F" w:rsidRDefault="00012AF6" w:rsidP="00026AF6">
            <w:pPr>
              <w:jc w:val="center"/>
              <w:rPr>
                <w:b/>
                <w:bCs/>
              </w:rPr>
            </w:pPr>
            <w:r w:rsidRPr="008B5A6F">
              <w:rPr>
                <w:b/>
                <w:bCs/>
              </w:rPr>
              <w:t>95% CI</w:t>
            </w:r>
          </w:p>
        </w:tc>
        <w:tc>
          <w:tcPr>
            <w:tcW w:w="667" w:type="pct"/>
            <w:shd w:val="clear" w:color="auto" w:fill="D9D9D9" w:themeFill="background1" w:themeFillShade="D9"/>
          </w:tcPr>
          <w:p w14:paraId="59231350" w14:textId="77777777" w:rsidR="00012AF6" w:rsidRPr="008B5A6F" w:rsidRDefault="00012AF6" w:rsidP="00026AF6">
            <w:pPr>
              <w:jc w:val="center"/>
              <w:rPr>
                <w:b/>
                <w:bCs/>
              </w:rPr>
            </w:pPr>
            <w:r w:rsidRPr="008B5A6F">
              <w:rPr>
                <w:b/>
                <w:bCs/>
              </w:rPr>
              <w:t>p-value</w:t>
            </w:r>
          </w:p>
        </w:tc>
      </w:tr>
      <w:tr w:rsidR="006D7050" w:rsidRPr="008B5A6F" w14:paraId="392112EF" w14:textId="77777777" w:rsidTr="006D7050">
        <w:tc>
          <w:tcPr>
            <w:tcW w:w="1718" w:type="pct"/>
          </w:tcPr>
          <w:p w14:paraId="33EE5D0B" w14:textId="7A6C7449" w:rsidR="00012AF6" w:rsidRPr="008B5A6F" w:rsidRDefault="00012AF6" w:rsidP="00026AF6">
            <w:r w:rsidRPr="008B5A6F">
              <w:t>BKP vs. CMM</w:t>
            </w:r>
            <w:r w:rsidR="006D7050" w:rsidRPr="008B5A6F">
              <w:t xml:space="preserve">, </w:t>
            </w:r>
            <w:r w:rsidRPr="008B5A6F">
              <w:t>inpatient</w:t>
            </w:r>
          </w:p>
        </w:tc>
        <w:tc>
          <w:tcPr>
            <w:tcW w:w="1575" w:type="pct"/>
          </w:tcPr>
          <w:p w14:paraId="5A744CF4" w14:textId="77777777" w:rsidR="00012AF6" w:rsidRPr="008B5A6F" w:rsidRDefault="00012AF6" w:rsidP="00A820E9">
            <w:pPr>
              <w:tabs>
                <w:tab w:val="decimal" w:pos="1066"/>
              </w:tabs>
            </w:pPr>
            <w:r w:rsidRPr="008B5A6F">
              <w:t>0.70</w:t>
            </w:r>
          </w:p>
        </w:tc>
        <w:tc>
          <w:tcPr>
            <w:tcW w:w="1040" w:type="pct"/>
          </w:tcPr>
          <w:p w14:paraId="3AB9244D" w14:textId="77777777" w:rsidR="00012AF6" w:rsidRPr="008B5A6F" w:rsidRDefault="00012AF6" w:rsidP="00026AF6">
            <w:pPr>
              <w:jc w:val="center"/>
            </w:pPr>
            <w:r w:rsidRPr="008B5A6F">
              <w:t>0.64 – 0.78</w:t>
            </w:r>
          </w:p>
        </w:tc>
        <w:tc>
          <w:tcPr>
            <w:tcW w:w="667" w:type="pct"/>
          </w:tcPr>
          <w:p w14:paraId="6BB27AE2" w14:textId="77777777" w:rsidR="00012AF6" w:rsidRPr="008B5A6F" w:rsidRDefault="00012AF6" w:rsidP="00026AF6">
            <w:pPr>
              <w:jc w:val="center"/>
            </w:pPr>
            <w:r w:rsidRPr="008B5A6F">
              <w:t>&lt;0.0001</w:t>
            </w:r>
          </w:p>
        </w:tc>
      </w:tr>
      <w:tr w:rsidR="006D7050" w:rsidRPr="008B5A6F" w14:paraId="6D9D5942" w14:textId="77777777" w:rsidTr="006D7050">
        <w:tc>
          <w:tcPr>
            <w:tcW w:w="1718" w:type="pct"/>
          </w:tcPr>
          <w:p w14:paraId="44E024C7" w14:textId="657C2A48" w:rsidR="00012AF6" w:rsidRPr="008B5A6F" w:rsidRDefault="00012AF6" w:rsidP="00026AF6">
            <w:r w:rsidRPr="008B5A6F">
              <w:t>BKP vs. CMM</w:t>
            </w:r>
            <w:r w:rsidR="006D7050" w:rsidRPr="008B5A6F">
              <w:t xml:space="preserve">, </w:t>
            </w:r>
            <w:r w:rsidRPr="008B5A6F">
              <w:t>outpatient</w:t>
            </w:r>
          </w:p>
        </w:tc>
        <w:tc>
          <w:tcPr>
            <w:tcW w:w="1575" w:type="pct"/>
          </w:tcPr>
          <w:p w14:paraId="65EFCAD8" w14:textId="77777777" w:rsidR="00012AF6" w:rsidRPr="008B5A6F" w:rsidRDefault="00012AF6" w:rsidP="00A820E9">
            <w:pPr>
              <w:tabs>
                <w:tab w:val="decimal" w:pos="1066"/>
              </w:tabs>
            </w:pPr>
            <w:r w:rsidRPr="008B5A6F">
              <w:t>0.72</w:t>
            </w:r>
          </w:p>
        </w:tc>
        <w:tc>
          <w:tcPr>
            <w:tcW w:w="1040" w:type="pct"/>
          </w:tcPr>
          <w:p w14:paraId="3B45B788" w14:textId="77777777" w:rsidR="00012AF6" w:rsidRPr="008B5A6F" w:rsidRDefault="00012AF6" w:rsidP="00026AF6">
            <w:pPr>
              <w:jc w:val="center"/>
            </w:pPr>
            <w:r w:rsidRPr="008B5A6F">
              <w:t>0.65 – 0.80</w:t>
            </w:r>
          </w:p>
        </w:tc>
        <w:tc>
          <w:tcPr>
            <w:tcW w:w="667" w:type="pct"/>
          </w:tcPr>
          <w:p w14:paraId="7C9EA7EE" w14:textId="77777777" w:rsidR="00012AF6" w:rsidRPr="008B5A6F" w:rsidRDefault="00012AF6" w:rsidP="00026AF6">
            <w:pPr>
              <w:jc w:val="center"/>
            </w:pPr>
            <w:r w:rsidRPr="008B5A6F">
              <w:t>&lt;0.0001</w:t>
            </w:r>
          </w:p>
        </w:tc>
      </w:tr>
      <w:tr w:rsidR="006D7050" w:rsidRPr="008B5A6F" w14:paraId="63988E35" w14:textId="77777777" w:rsidTr="006D7050">
        <w:tc>
          <w:tcPr>
            <w:tcW w:w="1718" w:type="pct"/>
          </w:tcPr>
          <w:p w14:paraId="4876264C" w14:textId="6CB55B8E" w:rsidR="00012AF6" w:rsidRPr="008B5A6F" w:rsidRDefault="00012AF6" w:rsidP="00026AF6">
            <w:r w:rsidRPr="008B5A6F">
              <w:t>VP vs. CMM</w:t>
            </w:r>
            <w:r w:rsidR="006D7050" w:rsidRPr="008B5A6F">
              <w:t xml:space="preserve">, </w:t>
            </w:r>
            <w:r w:rsidRPr="008B5A6F">
              <w:t>inpatient</w:t>
            </w:r>
          </w:p>
        </w:tc>
        <w:tc>
          <w:tcPr>
            <w:tcW w:w="1575" w:type="pct"/>
          </w:tcPr>
          <w:p w14:paraId="77A80C0B" w14:textId="77777777" w:rsidR="00012AF6" w:rsidRPr="008B5A6F" w:rsidRDefault="00012AF6" w:rsidP="00A820E9">
            <w:pPr>
              <w:tabs>
                <w:tab w:val="decimal" w:pos="1066"/>
              </w:tabs>
            </w:pPr>
            <w:r w:rsidRPr="008B5A6F">
              <w:t>0.64</w:t>
            </w:r>
          </w:p>
        </w:tc>
        <w:tc>
          <w:tcPr>
            <w:tcW w:w="1040" w:type="pct"/>
          </w:tcPr>
          <w:p w14:paraId="04E30B6B" w14:textId="77777777" w:rsidR="00012AF6" w:rsidRPr="008B5A6F" w:rsidRDefault="00012AF6" w:rsidP="00026AF6">
            <w:pPr>
              <w:jc w:val="center"/>
            </w:pPr>
            <w:r w:rsidRPr="008B5A6F">
              <w:t>0.54 – 0.77</w:t>
            </w:r>
          </w:p>
        </w:tc>
        <w:tc>
          <w:tcPr>
            <w:tcW w:w="667" w:type="pct"/>
          </w:tcPr>
          <w:p w14:paraId="1539C072" w14:textId="77777777" w:rsidR="00012AF6" w:rsidRPr="008B5A6F" w:rsidRDefault="00012AF6" w:rsidP="00026AF6">
            <w:pPr>
              <w:jc w:val="center"/>
            </w:pPr>
            <w:r w:rsidRPr="008B5A6F">
              <w:t>&lt;0.0001</w:t>
            </w:r>
          </w:p>
        </w:tc>
      </w:tr>
      <w:tr w:rsidR="006D7050" w:rsidRPr="008B5A6F" w14:paraId="196EAE71" w14:textId="77777777" w:rsidTr="006D7050">
        <w:tc>
          <w:tcPr>
            <w:tcW w:w="1718" w:type="pct"/>
          </w:tcPr>
          <w:p w14:paraId="6E947B51" w14:textId="7D2BACD0" w:rsidR="00012AF6" w:rsidRPr="008B5A6F" w:rsidRDefault="00012AF6" w:rsidP="00026AF6">
            <w:r w:rsidRPr="008B5A6F">
              <w:t>VP vs. CMM</w:t>
            </w:r>
            <w:r w:rsidR="006D7050" w:rsidRPr="008B5A6F">
              <w:t xml:space="preserve">, </w:t>
            </w:r>
            <w:r w:rsidRPr="008B5A6F">
              <w:t>outpatient</w:t>
            </w:r>
          </w:p>
        </w:tc>
        <w:tc>
          <w:tcPr>
            <w:tcW w:w="1575" w:type="pct"/>
          </w:tcPr>
          <w:p w14:paraId="514BBA20" w14:textId="77777777" w:rsidR="00012AF6" w:rsidRPr="008B5A6F" w:rsidRDefault="00012AF6" w:rsidP="00A820E9">
            <w:pPr>
              <w:tabs>
                <w:tab w:val="decimal" w:pos="1066"/>
              </w:tabs>
            </w:pPr>
            <w:r w:rsidRPr="008B5A6F">
              <w:t>0.76</w:t>
            </w:r>
          </w:p>
        </w:tc>
        <w:tc>
          <w:tcPr>
            <w:tcW w:w="1040" w:type="pct"/>
          </w:tcPr>
          <w:p w14:paraId="61304673" w14:textId="77777777" w:rsidR="00012AF6" w:rsidRPr="008B5A6F" w:rsidRDefault="00012AF6" w:rsidP="00026AF6">
            <w:pPr>
              <w:jc w:val="center"/>
            </w:pPr>
            <w:r w:rsidRPr="008B5A6F">
              <w:t>0.62 – 0.92</w:t>
            </w:r>
          </w:p>
        </w:tc>
        <w:tc>
          <w:tcPr>
            <w:tcW w:w="667" w:type="pct"/>
          </w:tcPr>
          <w:p w14:paraId="140B880A" w14:textId="77777777" w:rsidR="00012AF6" w:rsidRPr="008B5A6F" w:rsidRDefault="00012AF6" w:rsidP="00026AF6">
            <w:pPr>
              <w:jc w:val="center"/>
            </w:pPr>
            <w:r w:rsidRPr="008B5A6F">
              <w:t>0.0050</w:t>
            </w:r>
          </w:p>
        </w:tc>
      </w:tr>
    </w:tbl>
    <w:p w14:paraId="4626F17A" w14:textId="21FDEBB3" w:rsidR="00012AF6" w:rsidRPr="008B5A6F" w:rsidRDefault="007102E3" w:rsidP="00012AF6">
      <w:proofErr w:type="spellStart"/>
      <w:r w:rsidRPr="008B5A6F">
        <w:rPr>
          <w:vertAlign w:val="superscript"/>
        </w:rPr>
        <w:t>a</w:t>
      </w:r>
      <w:r w:rsidR="00012AF6" w:rsidRPr="008B5A6F">
        <w:t>Lognormal</w:t>
      </w:r>
      <w:proofErr w:type="spellEnd"/>
      <w:r w:rsidR="00012AF6" w:rsidRPr="008B5A6F">
        <w:t xml:space="preserve"> distributions used to represent uncertainty</w:t>
      </w:r>
    </w:p>
    <w:p w14:paraId="5F0AB9A6" w14:textId="77777777" w:rsidR="00012AF6" w:rsidRPr="008B5A6F" w:rsidRDefault="00012AF6" w:rsidP="00012AF6"/>
    <w:p w14:paraId="3980F776" w14:textId="77777777" w:rsidR="00012AF6" w:rsidRPr="008B5A6F" w:rsidRDefault="00012AF6" w:rsidP="00012AF6"/>
    <w:p w14:paraId="23A241C3" w14:textId="2A8EFFAF" w:rsidR="00012AF6" w:rsidRPr="008B5A6F" w:rsidRDefault="00012AF6" w:rsidP="00556D05">
      <w:pPr>
        <w:pStyle w:val="Caption"/>
        <w:keepNext/>
        <w:rPr>
          <w:vertAlign w:val="superscript"/>
        </w:rPr>
      </w:pPr>
      <w:bookmarkStart w:id="7" w:name="_Ref12026868"/>
      <w:r w:rsidRPr="008B5A6F">
        <w:t xml:space="preserve">Table </w:t>
      </w:r>
      <w:bookmarkEnd w:id="7"/>
      <w:r w:rsidR="00887BBA" w:rsidRPr="008B5A6F">
        <w:t>S4</w:t>
      </w:r>
      <w:r w:rsidRPr="008B5A6F">
        <w:t xml:space="preserve">: </w:t>
      </w:r>
      <w:r w:rsidR="004E5B09" w:rsidRPr="008B5A6F">
        <w:t>Initial p</w:t>
      </w:r>
      <w:r w:rsidRPr="008B5A6F">
        <w:t>rocedur</w:t>
      </w:r>
      <w:r w:rsidR="004E5B09" w:rsidRPr="008B5A6F">
        <w:t xml:space="preserve">e </w:t>
      </w:r>
      <w:r w:rsidRPr="008B5A6F">
        <w:t xml:space="preserve">cost </w:t>
      </w:r>
      <w:r w:rsidR="004E5B09" w:rsidRPr="008B5A6F">
        <w:t xml:space="preserve">(facility + physician) </w:t>
      </w:r>
      <w:r w:rsidRPr="008B5A6F">
        <w:t>by intervention and setting</w:t>
      </w:r>
      <w:r w:rsidR="00281F61" w:rsidRPr="008B5A6F">
        <w:t xml:space="preserve"> (USD)</w:t>
      </w:r>
      <w:r w:rsidR="007102E3" w:rsidRPr="008B5A6F">
        <w:rPr>
          <w:vertAlign w:val="superscript"/>
        </w:rPr>
        <w:t>a</w:t>
      </w:r>
    </w:p>
    <w:p w14:paraId="400A4A29" w14:textId="77777777" w:rsidR="00BB4616" w:rsidRPr="008B5A6F" w:rsidRDefault="00BB4616" w:rsidP="00556D05">
      <w:pPr>
        <w:keepNext/>
        <w:rPr>
          <w:lang w:eastAsia="en-US"/>
        </w:rPr>
      </w:pPr>
    </w:p>
    <w:tbl>
      <w:tblPr>
        <w:tblStyle w:val="TableGrid"/>
        <w:tblW w:w="5000" w:type="pct"/>
        <w:tblLook w:val="04A0" w:firstRow="1" w:lastRow="0" w:firstColumn="1" w:lastColumn="0" w:noHBand="0" w:noVBand="1"/>
      </w:tblPr>
      <w:tblGrid>
        <w:gridCol w:w="3831"/>
        <w:gridCol w:w="4561"/>
        <w:gridCol w:w="4558"/>
      </w:tblGrid>
      <w:tr w:rsidR="00012AF6" w:rsidRPr="008B5A6F" w14:paraId="1DD58907" w14:textId="77777777" w:rsidTr="00026AF6">
        <w:trPr>
          <w:tblHeader/>
        </w:trPr>
        <w:tc>
          <w:tcPr>
            <w:tcW w:w="1479" w:type="pct"/>
            <w:shd w:val="clear" w:color="auto" w:fill="D9D9D9" w:themeFill="background1" w:themeFillShade="D9"/>
          </w:tcPr>
          <w:p w14:paraId="22C18BCA" w14:textId="77777777" w:rsidR="00012AF6" w:rsidRPr="008B5A6F" w:rsidRDefault="00012AF6" w:rsidP="00026AF6">
            <w:pPr>
              <w:rPr>
                <w:b/>
                <w:bCs/>
              </w:rPr>
            </w:pPr>
            <w:r w:rsidRPr="008B5A6F">
              <w:rPr>
                <w:b/>
                <w:bCs/>
              </w:rPr>
              <w:t>Intervention &amp; setting</w:t>
            </w:r>
          </w:p>
        </w:tc>
        <w:tc>
          <w:tcPr>
            <w:tcW w:w="1761" w:type="pct"/>
            <w:shd w:val="clear" w:color="auto" w:fill="D9D9D9" w:themeFill="background1" w:themeFillShade="D9"/>
          </w:tcPr>
          <w:p w14:paraId="761C95D4" w14:textId="65B2B723" w:rsidR="00012AF6" w:rsidRPr="008B5A6F" w:rsidRDefault="00012AF6" w:rsidP="00026AF6">
            <w:pPr>
              <w:jc w:val="center"/>
              <w:rPr>
                <w:b/>
                <w:bCs/>
              </w:rPr>
            </w:pPr>
            <w:r w:rsidRPr="008B5A6F">
              <w:rPr>
                <w:b/>
                <w:bCs/>
              </w:rPr>
              <w:t>Mean cost per patient</w:t>
            </w:r>
          </w:p>
        </w:tc>
        <w:tc>
          <w:tcPr>
            <w:tcW w:w="1761" w:type="pct"/>
            <w:shd w:val="clear" w:color="auto" w:fill="D9D9D9" w:themeFill="background1" w:themeFillShade="D9"/>
          </w:tcPr>
          <w:p w14:paraId="41ACD0DD" w14:textId="7F02AE2B" w:rsidR="00012AF6" w:rsidRPr="008B5A6F" w:rsidRDefault="00012AF6" w:rsidP="00026AF6">
            <w:pPr>
              <w:jc w:val="center"/>
              <w:rPr>
                <w:b/>
                <w:bCs/>
              </w:rPr>
            </w:pPr>
            <w:r w:rsidRPr="008B5A6F">
              <w:rPr>
                <w:b/>
                <w:bCs/>
              </w:rPr>
              <w:t>Standard Deviatio</w:t>
            </w:r>
            <w:r w:rsidR="00281F61" w:rsidRPr="008B5A6F">
              <w:rPr>
                <w:b/>
                <w:bCs/>
              </w:rPr>
              <w:t>n</w:t>
            </w:r>
          </w:p>
        </w:tc>
      </w:tr>
      <w:tr w:rsidR="00012AF6" w:rsidRPr="008B5A6F" w14:paraId="48F76940" w14:textId="77777777" w:rsidTr="00026AF6">
        <w:tc>
          <w:tcPr>
            <w:tcW w:w="1479" w:type="pct"/>
          </w:tcPr>
          <w:p w14:paraId="23F683BF" w14:textId="3580EEC9" w:rsidR="00012AF6" w:rsidRPr="008B5A6F" w:rsidRDefault="00012AF6" w:rsidP="00026AF6">
            <w:r w:rsidRPr="008B5A6F">
              <w:t>BKP</w:t>
            </w:r>
            <w:r w:rsidR="00532BCB" w:rsidRPr="008B5A6F">
              <w:t xml:space="preserve">, </w:t>
            </w:r>
            <w:r w:rsidRPr="008B5A6F">
              <w:t>inpatient</w:t>
            </w:r>
          </w:p>
        </w:tc>
        <w:tc>
          <w:tcPr>
            <w:tcW w:w="1761" w:type="pct"/>
          </w:tcPr>
          <w:p w14:paraId="432904B0" w14:textId="77777777" w:rsidR="00012AF6" w:rsidRPr="008B5A6F" w:rsidRDefault="00012AF6" w:rsidP="002F6C78">
            <w:pPr>
              <w:tabs>
                <w:tab w:val="decimal" w:pos="1561"/>
              </w:tabs>
            </w:pPr>
            <w:r w:rsidRPr="008B5A6F">
              <w:t>15,696</w:t>
            </w:r>
          </w:p>
        </w:tc>
        <w:tc>
          <w:tcPr>
            <w:tcW w:w="1761" w:type="pct"/>
          </w:tcPr>
          <w:p w14:paraId="17A5A6A9" w14:textId="77777777" w:rsidR="00012AF6" w:rsidRPr="008B5A6F" w:rsidRDefault="00012AF6" w:rsidP="002F6C78">
            <w:pPr>
              <w:tabs>
                <w:tab w:val="decimal" w:pos="1681"/>
              </w:tabs>
            </w:pPr>
            <w:r w:rsidRPr="008B5A6F">
              <w:t>14,037</w:t>
            </w:r>
          </w:p>
        </w:tc>
      </w:tr>
      <w:tr w:rsidR="00012AF6" w:rsidRPr="008B5A6F" w14:paraId="33AB2620" w14:textId="77777777" w:rsidTr="00026AF6">
        <w:tc>
          <w:tcPr>
            <w:tcW w:w="1479" w:type="pct"/>
          </w:tcPr>
          <w:p w14:paraId="568D9D82" w14:textId="2E4D6CFC" w:rsidR="00012AF6" w:rsidRPr="008B5A6F" w:rsidRDefault="00012AF6" w:rsidP="00026AF6">
            <w:r w:rsidRPr="008B5A6F">
              <w:lastRenderedPageBreak/>
              <w:t>BKP</w:t>
            </w:r>
            <w:r w:rsidR="00532BCB" w:rsidRPr="008B5A6F">
              <w:t xml:space="preserve">, </w:t>
            </w:r>
            <w:r w:rsidRPr="008B5A6F">
              <w:t>outpatient</w:t>
            </w:r>
          </w:p>
        </w:tc>
        <w:tc>
          <w:tcPr>
            <w:tcW w:w="1761" w:type="pct"/>
          </w:tcPr>
          <w:p w14:paraId="11E0553A" w14:textId="77777777" w:rsidR="00012AF6" w:rsidRPr="008B5A6F" w:rsidRDefault="00012AF6" w:rsidP="002F6C78">
            <w:pPr>
              <w:tabs>
                <w:tab w:val="decimal" w:pos="1561"/>
              </w:tabs>
            </w:pPr>
            <w:r w:rsidRPr="008B5A6F">
              <w:t>5,586</w:t>
            </w:r>
          </w:p>
        </w:tc>
        <w:tc>
          <w:tcPr>
            <w:tcW w:w="1761" w:type="pct"/>
          </w:tcPr>
          <w:p w14:paraId="6632531B" w14:textId="77777777" w:rsidR="00012AF6" w:rsidRPr="008B5A6F" w:rsidRDefault="00012AF6" w:rsidP="002F6C78">
            <w:pPr>
              <w:tabs>
                <w:tab w:val="decimal" w:pos="1681"/>
              </w:tabs>
            </w:pPr>
            <w:r w:rsidRPr="008B5A6F">
              <w:t>1,514</w:t>
            </w:r>
          </w:p>
        </w:tc>
      </w:tr>
      <w:tr w:rsidR="00012AF6" w:rsidRPr="008B5A6F" w14:paraId="666E75AE" w14:textId="77777777" w:rsidTr="00026AF6">
        <w:tc>
          <w:tcPr>
            <w:tcW w:w="1479" w:type="pct"/>
          </w:tcPr>
          <w:p w14:paraId="47E26201" w14:textId="6D80FDC0" w:rsidR="00012AF6" w:rsidRPr="008B5A6F" w:rsidRDefault="00012AF6" w:rsidP="00026AF6">
            <w:r w:rsidRPr="008B5A6F">
              <w:t>VP</w:t>
            </w:r>
            <w:r w:rsidR="00532BCB" w:rsidRPr="008B5A6F">
              <w:t xml:space="preserve">, </w:t>
            </w:r>
            <w:r w:rsidRPr="008B5A6F">
              <w:t>inpatient</w:t>
            </w:r>
          </w:p>
        </w:tc>
        <w:tc>
          <w:tcPr>
            <w:tcW w:w="1761" w:type="pct"/>
          </w:tcPr>
          <w:p w14:paraId="52D6AC09" w14:textId="77777777" w:rsidR="00012AF6" w:rsidRPr="008B5A6F" w:rsidRDefault="00012AF6" w:rsidP="002F6C78">
            <w:pPr>
              <w:tabs>
                <w:tab w:val="decimal" w:pos="1561"/>
              </w:tabs>
            </w:pPr>
            <w:r w:rsidRPr="008B5A6F">
              <w:t>16,162</w:t>
            </w:r>
          </w:p>
        </w:tc>
        <w:tc>
          <w:tcPr>
            <w:tcW w:w="1761" w:type="pct"/>
          </w:tcPr>
          <w:p w14:paraId="1092AFC9" w14:textId="77777777" w:rsidR="00012AF6" w:rsidRPr="008B5A6F" w:rsidRDefault="00012AF6" w:rsidP="002F6C78">
            <w:pPr>
              <w:tabs>
                <w:tab w:val="decimal" w:pos="1681"/>
              </w:tabs>
            </w:pPr>
            <w:r w:rsidRPr="008B5A6F">
              <w:t>15,252</w:t>
            </w:r>
          </w:p>
        </w:tc>
      </w:tr>
      <w:tr w:rsidR="00012AF6" w:rsidRPr="008B5A6F" w14:paraId="1A60FC16" w14:textId="77777777" w:rsidTr="00026AF6">
        <w:tc>
          <w:tcPr>
            <w:tcW w:w="1479" w:type="pct"/>
          </w:tcPr>
          <w:p w14:paraId="36A56EE0" w14:textId="47A5D4B4" w:rsidR="00012AF6" w:rsidRPr="008B5A6F" w:rsidRDefault="00012AF6" w:rsidP="00026AF6">
            <w:r w:rsidRPr="008B5A6F">
              <w:t>VP</w:t>
            </w:r>
            <w:r w:rsidR="00532BCB" w:rsidRPr="008B5A6F">
              <w:t xml:space="preserve">, </w:t>
            </w:r>
            <w:r w:rsidRPr="008B5A6F">
              <w:t>outpatient</w:t>
            </w:r>
          </w:p>
        </w:tc>
        <w:tc>
          <w:tcPr>
            <w:tcW w:w="1761" w:type="pct"/>
          </w:tcPr>
          <w:p w14:paraId="039B58FA" w14:textId="77777777" w:rsidR="00012AF6" w:rsidRPr="008B5A6F" w:rsidRDefault="00012AF6" w:rsidP="002F6C78">
            <w:pPr>
              <w:tabs>
                <w:tab w:val="decimal" w:pos="1561"/>
              </w:tabs>
            </w:pPr>
            <w:r w:rsidRPr="008B5A6F">
              <w:t>2,304</w:t>
            </w:r>
          </w:p>
        </w:tc>
        <w:tc>
          <w:tcPr>
            <w:tcW w:w="1761" w:type="pct"/>
          </w:tcPr>
          <w:p w14:paraId="79B11AE0" w14:textId="77777777" w:rsidR="00012AF6" w:rsidRPr="008B5A6F" w:rsidRDefault="00012AF6" w:rsidP="002F6C78">
            <w:pPr>
              <w:tabs>
                <w:tab w:val="decimal" w:pos="1681"/>
              </w:tabs>
            </w:pPr>
            <w:r w:rsidRPr="008B5A6F">
              <w:t>803</w:t>
            </w:r>
          </w:p>
        </w:tc>
      </w:tr>
    </w:tbl>
    <w:p w14:paraId="15B3A373" w14:textId="6634F3BB" w:rsidR="00012AF6" w:rsidRPr="008B5A6F" w:rsidRDefault="007102E3" w:rsidP="00012AF6">
      <w:proofErr w:type="spellStart"/>
      <w:r w:rsidRPr="008B5A6F">
        <w:rPr>
          <w:vertAlign w:val="superscript"/>
        </w:rPr>
        <w:t>a</w:t>
      </w:r>
      <w:r w:rsidR="00012AF6" w:rsidRPr="008B5A6F">
        <w:t>Gamma</w:t>
      </w:r>
      <w:proofErr w:type="spellEnd"/>
      <w:r w:rsidR="00012AF6" w:rsidRPr="008B5A6F">
        <w:t xml:space="preserve"> distributions used to represent uncertainty</w:t>
      </w:r>
    </w:p>
    <w:p w14:paraId="18772C78" w14:textId="1EA57CE1" w:rsidR="00B91E11" w:rsidRPr="008B5A6F" w:rsidRDefault="00B91E11" w:rsidP="00012AF6">
      <w:pPr>
        <w:rPr>
          <w:b/>
        </w:rPr>
      </w:pPr>
      <w:r w:rsidRPr="008B5A6F">
        <w:t>Values based on Propensity-Score matched cohorts in an analysis of CMS claims data.</w:t>
      </w:r>
    </w:p>
    <w:p w14:paraId="279222E2" w14:textId="77777777" w:rsidR="00012AF6" w:rsidRPr="008B5A6F" w:rsidRDefault="00012AF6" w:rsidP="00012AF6"/>
    <w:p w14:paraId="2C51031B" w14:textId="77777777" w:rsidR="00012AF6" w:rsidRPr="008B5A6F" w:rsidRDefault="00012AF6" w:rsidP="00012AF6"/>
    <w:p w14:paraId="3AF0F5D4" w14:textId="68438AC3" w:rsidR="00012AF6" w:rsidRPr="008B5A6F" w:rsidRDefault="00012AF6" w:rsidP="00556D05">
      <w:pPr>
        <w:pStyle w:val="Caption"/>
        <w:keepNext/>
        <w:rPr>
          <w:vertAlign w:val="superscript"/>
        </w:rPr>
      </w:pPr>
      <w:bookmarkStart w:id="8" w:name="_Ref12027669"/>
      <w:r w:rsidRPr="008B5A6F">
        <w:t xml:space="preserve">Table </w:t>
      </w:r>
      <w:bookmarkEnd w:id="8"/>
      <w:r w:rsidR="00887BBA" w:rsidRPr="008B5A6F">
        <w:t>S5</w:t>
      </w:r>
      <w:r w:rsidRPr="008B5A6F">
        <w:t xml:space="preserve">: </w:t>
      </w:r>
      <w:r w:rsidR="004532E0" w:rsidRPr="008B5A6F">
        <w:t>Two-year p</w:t>
      </w:r>
      <w:r w:rsidRPr="008B5A6F">
        <w:t>ost-acute care costs per patient</w:t>
      </w:r>
      <w:r w:rsidR="004532E0" w:rsidRPr="008B5A6F">
        <w:t xml:space="preserve"> (Mean </w:t>
      </w:r>
      <w:r w:rsidR="004532E0" w:rsidRPr="008B5A6F">
        <w:rPr>
          <w:rFonts w:cs="Arial"/>
        </w:rPr>
        <w:t>±</w:t>
      </w:r>
      <w:r w:rsidR="004532E0" w:rsidRPr="008B5A6F">
        <w:t xml:space="preserve"> SD)</w:t>
      </w:r>
      <w:r w:rsidRPr="008B5A6F">
        <w:t xml:space="preserve">, and </w:t>
      </w:r>
      <w:r w:rsidR="004532E0" w:rsidRPr="008B5A6F">
        <w:t xml:space="preserve">the </w:t>
      </w:r>
      <w:r w:rsidRPr="008B5A6F">
        <w:t xml:space="preserve">proportion </w:t>
      </w:r>
      <w:r w:rsidR="004532E0" w:rsidRPr="008B5A6F">
        <w:t xml:space="preserve">(%) </w:t>
      </w:r>
      <w:r w:rsidRPr="008B5A6F">
        <w:t xml:space="preserve">with any utilization </w:t>
      </w:r>
      <w:r w:rsidR="004532E0" w:rsidRPr="008B5A6F">
        <w:t xml:space="preserve">by care </w:t>
      </w:r>
      <w:proofErr w:type="spellStart"/>
      <w:r w:rsidR="004532E0" w:rsidRPr="008B5A6F">
        <w:t>setting</w:t>
      </w:r>
      <w:r w:rsidR="00436772" w:rsidRPr="008B5A6F">
        <w:rPr>
          <w:vertAlign w:val="superscript"/>
        </w:rPr>
        <w:t>a</w:t>
      </w:r>
      <w:proofErr w:type="spellEnd"/>
    </w:p>
    <w:p w14:paraId="566001A9" w14:textId="77777777" w:rsidR="00BB4616" w:rsidRPr="008B5A6F" w:rsidRDefault="00BB4616" w:rsidP="00556D05">
      <w:pPr>
        <w:keepNext/>
        <w:rPr>
          <w:lang w:eastAsia="en-US"/>
        </w:rPr>
      </w:pPr>
    </w:p>
    <w:tbl>
      <w:tblPr>
        <w:tblStyle w:val="TableGrid"/>
        <w:tblW w:w="0" w:type="auto"/>
        <w:tblLayout w:type="fixed"/>
        <w:tblLook w:val="04A0" w:firstRow="1" w:lastRow="0" w:firstColumn="1" w:lastColumn="0" w:noHBand="0" w:noVBand="1"/>
      </w:tblPr>
      <w:tblGrid>
        <w:gridCol w:w="1525"/>
        <w:gridCol w:w="1260"/>
        <w:gridCol w:w="1097"/>
        <w:gridCol w:w="1243"/>
        <w:gridCol w:w="1170"/>
        <w:gridCol w:w="1530"/>
        <w:gridCol w:w="805"/>
      </w:tblGrid>
      <w:tr w:rsidR="00FF4415" w:rsidRPr="008B5A6F" w14:paraId="1B760939" w14:textId="77777777" w:rsidTr="00E8316F">
        <w:trPr>
          <w:tblHeader/>
        </w:trPr>
        <w:tc>
          <w:tcPr>
            <w:tcW w:w="1525" w:type="dxa"/>
            <w:tcBorders>
              <w:bottom w:val="single" w:sz="4" w:space="0" w:color="auto"/>
            </w:tcBorders>
            <w:shd w:val="clear" w:color="auto" w:fill="D9D9D9" w:themeFill="background1" w:themeFillShade="D9"/>
          </w:tcPr>
          <w:p w14:paraId="4913A9BF" w14:textId="7DCAD0E6" w:rsidR="00012AF6" w:rsidRPr="008B5A6F" w:rsidRDefault="00012AF6" w:rsidP="00026AF6">
            <w:pPr>
              <w:jc w:val="center"/>
              <w:rPr>
                <w:b/>
                <w:bCs/>
                <w:sz w:val="20"/>
                <w:szCs w:val="20"/>
              </w:rPr>
            </w:pPr>
            <w:r w:rsidRPr="008B5A6F">
              <w:rPr>
                <w:b/>
                <w:bCs/>
                <w:sz w:val="20"/>
                <w:szCs w:val="20"/>
              </w:rPr>
              <w:t>Treatment comparison and setting</w:t>
            </w:r>
          </w:p>
        </w:tc>
        <w:tc>
          <w:tcPr>
            <w:tcW w:w="1260" w:type="dxa"/>
            <w:tcBorders>
              <w:bottom w:val="single" w:sz="4" w:space="0" w:color="auto"/>
            </w:tcBorders>
            <w:shd w:val="clear" w:color="auto" w:fill="D9D9D9" w:themeFill="background1" w:themeFillShade="D9"/>
          </w:tcPr>
          <w:p w14:paraId="1263D52A" w14:textId="77777777" w:rsidR="00012AF6" w:rsidRPr="008B5A6F" w:rsidRDefault="00012AF6" w:rsidP="00026AF6">
            <w:pPr>
              <w:jc w:val="center"/>
              <w:rPr>
                <w:b/>
                <w:bCs/>
                <w:sz w:val="20"/>
                <w:szCs w:val="20"/>
              </w:rPr>
            </w:pPr>
            <w:r w:rsidRPr="008B5A6F">
              <w:rPr>
                <w:b/>
                <w:bCs/>
                <w:sz w:val="20"/>
                <w:szCs w:val="20"/>
              </w:rPr>
              <w:t>Treatment group</w:t>
            </w:r>
          </w:p>
        </w:tc>
        <w:tc>
          <w:tcPr>
            <w:tcW w:w="1097" w:type="dxa"/>
            <w:tcBorders>
              <w:bottom w:val="single" w:sz="4" w:space="0" w:color="auto"/>
            </w:tcBorders>
            <w:shd w:val="clear" w:color="auto" w:fill="D9D9D9" w:themeFill="background1" w:themeFillShade="D9"/>
          </w:tcPr>
          <w:p w14:paraId="1AF55865" w14:textId="3853FCB4" w:rsidR="00012AF6" w:rsidRPr="008B5A6F" w:rsidRDefault="00012AF6" w:rsidP="00026AF6">
            <w:pPr>
              <w:jc w:val="center"/>
              <w:rPr>
                <w:b/>
                <w:bCs/>
                <w:sz w:val="20"/>
                <w:szCs w:val="20"/>
              </w:rPr>
            </w:pPr>
            <w:r w:rsidRPr="008B5A6F">
              <w:rPr>
                <w:b/>
                <w:bCs/>
                <w:sz w:val="20"/>
                <w:szCs w:val="20"/>
              </w:rPr>
              <w:t>Home health</w:t>
            </w:r>
          </w:p>
        </w:tc>
        <w:tc>
          <w:tcPr>
            <w:tcW w:w="1243" w:type="dxa"/>
            <w:tcBorders>
              <w:bottom w:val="single" w:sz="4" w:space="0" w:color="auto"/>
            </w:tcBorders>
            <w:shd w:val="clear" w:color="auto" w:fill="D9D9D9" w:themeFill="background1" w:themeFillShade="D9"/>
          </w:tcPr>
          <w:p w14:paraId="514CCDA4" w14:textId="6C0B9C52" w:rsidR="00012AF6" w:rsidRPr="008B5A6F" w:rsidRDefault="00012AF6" w:rsidP="00026AF6">
            <w:pPr>
              <w:jc w:val="center"/>
              <w:rPr>
                <w:b/>
                <w:bCs/>
                <w:sz w:val="20"/>
                <w:szCs w:val="20"/>
              </w:rPr>
            </w:pPr>
            <w:r w:rsidRPr="008B5A6F">
              <w:rPr>
                <w:b/>
                <w:bCs/>
                <w:sz w:val="20"/>
                <w:szCs w:val="20"/>
              </w:rPr>
              <w:t>Skilled nursing facility</w:t>
            </w:r>
          </w:p>
        </w:tc>
        <w:tc>
          <w:tcPr>
            <w:tcW w:w="1170" w:type="dxa"/>
            <w:tcBorders>
              <w:bottom w:val="single" w:sz="4" w:space="0" w:color="auto"/>
            </w:tcBorders>
            <w:shd w:val="clear" w:color="auto" w:fill="D9D9D9" w:themeFill="background1" w:themeFillShade="D9"/>
          </w:tcPr>
          <w:p w14:paraId="0A79FA34" w14:textId="77001DEC" w:rsidR="00012AF6" w:rsidRPr="008B5A6F" w:rsidRDefault="00012AF6" w:rsidP="00026AF6">
            <w:pPr>
              <w:jc w:val="center"/>
              <w:rPr>
                <w:b/>
                <w:bCs/>
                <w:sz w:val="20"/>
                <w:szCs w:val="20"/>
              </w:rPr>
            </w:pPr>
            <w:r w:rsidRPr="008B5A6F">
              <w:rPr>
                <w:b/>
                <w:bCs/>
                <w:sz w:val="20"/>
                <w:szCs w:val="20"/>
              </w:rPr>
              <w:t>Hospice</w:t>
            </w:r>
          </w:p>
        </w:tc>
        <w:tc>
          <w:tcPr>
            <w:tcW w:w="1530" w:type="dxa"/>
            <w:tcBorders>
              <w:bottom w:val="single" w:sz="4" w:space="0" w:color="auto"/>
            </w:tcBorders>
            <w:shd w:val="clear" w:color="auto" w:fill="D9D9D9" w:themeFill="background1" w:themeFillShade="D9"/>
          </w:tcPr>
          <w:p w14:paraId="04804668" w14:textId="37F21612" w:rsidR="00012AF6" w:rsidRPr="008B5A6F" w:rsidRDefault="00012AF6" w:rsidP="00026AF6">
            <w:pPr>
              <w:jc w:val="center"/>
              <w:rPr>
                <w:b/>
                <w:bCs/>
                <w:sz w:val="20"/>
                <w:szCs w:val="20"/>
              </w:rPr>
            </w:pPr>
            <w:r w:rsidRPr="008B5A6F">
              <w:rPr>
                <w:b/>
                <w:bCs/>
                <w:sz w:val="20"/>
                <w:szCs w:val="20"/>
              </w:rPr>
              <w:t>Inpatient rehabilitation</w:t>
            </w:r>
          </w:p>
        </w:tc>
        <w:tc>
          <w:tcPr>
            <w:tcW w:w="805" w:type="dxa"/>
            <w:tcBorders>
              <w:bottom w:val="single" w:sz="4" w:space="0" w:color="auto"/>
            </w:tcBorders>
            <w:shd w:val="clear" w:color="auto" w:fill="D9D9D9" w:themeFill="background1" w:themeFillShade="D9"/>
          </w:tcPr>
          <w:p w14:paraId="4819A905" w14:textId="1924AE4A" w:rsidR="00012AF6" w:rsidRPr="008B5A6F" w:rsidRDefault="00012AF6" w:rsidP="00026AF6">
            <w:pPr>
              <w:jc w:val="center"/>
              <w:rPr>
                <w:b/>
                <w:bCs/>
                <w:sz w:val="20"/>
                <w:szCs w:val="20"/>
                <w:vertAlign w:val="superscript"/>
              </w:rPr>
            </w:pPr>
            <w:proofErr w:type="spellStart"/>
            <w:r w:rsidRPr="008B5A6F">
              <w:rPr>
                <w:b/>
                <w:bCs/>
                <w:sz w:val="20"/>
                <w:szCs w:val="20"/>
              </w:rPr>
              <w:t>Total</w:t>
            </w:r>
            <w:r w:rsidR="00436772" w:rsidRPr="008B5A6F">
              <w:rPr>
                <w:b/>
                <w:bCs/>
                <w:sz w:val="20"/>
                <w:szCs w:val="20"/>
                <w:vertAlign w:val="superscript"/>
              </w:rPr>
              <w:t>b</w:t>
            </w:r>
            <w:proofErr w:type="spellEnd"/>
          </w:p>
        </w:tc>
      </w:tr>
      <w:tr w:rsidR="00FF4415" w:rsidRPr="008B5A6F" w14:paraId="0DB03D94" w14:textId="77777777" w:rsidTr="00E8316F">
        <w:trPr>
          <w:trHeight w:val="270"/>
        </w:trPr>
        <w:tc>
          <w:tcPr>
            <w:tcW w:w="1525" w:type="dxa"/>
            <w:vMerge w:val="restart"/>
            <w:tcBorders>
              <w:top w:val="single" w:sz="4" w:space="0" w:color="auto"/>
              <w:left w:val="single" w:sz="4" w:space="0" w:color="auto"/>
              <w:bottom w:val="single" w:sz="4" w:space="0" w:color="auto"/>
              <w:right w:val="single" w:sz="4" w:space="0" w:color="auto"/>
            </w:tcBorders>
          </w:tcPr>
          <w:p w14:paraId="1A4C9279" w14:textId="09FFA6F0" w:rsidR="00012AF6" w:rsidRPr="008B5A6F" w:rsidRDefault="00012AF6" w:rsidP="00026AF6">
            <w:pPr>
              <w:rPr>
                <w:sz w:val="18"/>
                <w:szCs w:val="18"/>
              </w:rPr>
            </w:pPr>
            <w:r w:rsidRPr="008B5A6F">
              <w:rPr>
                <w:sz w:val="18"/>
                <w:szCs w:val="18"/>
              </w:rPr>
              <w:t>BKP vs. CMM</w:t>
            </w:r>
            <w:r w:rsidR="00ED781C" w:rsidRPr="008B5A6F">
              <w:rPr>
                <w:sz w:val="18"/>
                <w:szCs w:val="18"/>
              </w:rPr>
              <w:t xml:space="preserve">, </w:t>
            </w:r>
            <w:r w:rsidRPr="008B5A6F">
              <w:rPr>
                <w:sz w:val="18"/>
                <w:szCs w:val="18"/>
              </w:rPr>
              <w:t>inpatient</w:t>
            </w:r>
          </w:p>
        </w:tc>
        <w:tc>
          <w:tcPr>
            <w:tcW w:w="1260" w:type="dxa"/>
            <w:tcBorders>
              <w:top w:val="single" w:sz="4" w:space="0" w:color="auto"/>
              <w:left w:val="single" w:sz="4" w:space="0" w:color="auto"/>
              <w:bottom w:val="single" w:sz="4" w:space="0" w:color="auto"/>
              <w:right w:val="single" w:sz="4" w:space="0" w:color="auto"/>
            </w:tcBorders>
          </w:tcPr>
          <w:p w14:paraId="069BD95E" w14:textId="77777777" w:rsidR="00012AF6" w:rsidRPr="008B5A6F" w:rsidRDefault="00012AF6" w:rsidP="00026AF6">
            <w:pPr>
              <w:jc w:val="center"/>
              <w:rPr>
                <w:sz w:val="18"/>
                <w:szCs w:val="18"/>
              </w:rPr>
            </w:pPr>
            <w:r w:rsidRPr="008B5A6F">
              <w:rPr>
                <w:sz w:val="18"/>
                <w:szCs w:val="18"/>
              </w:rPr>
              <w:t>BKP</w:t>
            </w:r>
          </w:p>
        </w:tc>
        <w:tc>
          <w:tcPr>
            <w:tcW w:w="1097" w:type="dxa"/>
            <w:tcBorders>
              <w:top w:val="single" w:sz="4" w:space="0" w:color="auto"/>
              <w:left w:val="single" w:sz="4" w:space="0" w:color="auto"/>
              <w:bottom w:val="single" w:sz="4" w:space="0" w:color="auto"/>
              <w:right w:val="single" w:sz="4" w:space="0" w:color="auto"/>
            </w:tcBorders>
          </w:tcPr>
          <w:p w14:paraId="23EEA179" w14:textId="6D6205FA" w:rsidR="00012AF6" w:rsidRPr="008B5A6F" w:rsidRDefault="00012AF6" w:rsidP="00026AF6">
            <w:pPr>
              <w:jc w:val="center"/>
              <w:rPr>
                <w:sz w:val="18"/>
                <w:szCs w:val="18"/>
              </w:rPr>
            </w:pPr>
            <w:r w:rsidRPr="008B5A6F">
              <w:rPr>
                <w:sz w:val="18"/>
                <w:szCs w:val="18"/>
              </w:rPr>
              <w:t>8,467</w:t>
            </w:r>
            <w:r w:rsidR="00436772" w:rsidRPr="008B5A6F">
              <w:rPr>
                <w:sz w:val="18"/>
                <w:szCs w:val="18"/>
              </w:rPr>
              <w:t xml:space="preserve"> ± </w:t>
            </w:r>
            <w:r w:rsidRPr="008B5A6F">
              <w:rPr>
                <w:sz w:val="18"/>
                <w:szCs w:val="18"/>
              </w:rPr>
              <w:t>7,728 (70.8)</w:t>
            </w:r>
          </w:p>
        </w:tc>
        <w:tc>
          <w:tcPr>
            <w:tcW w:w="1243" w:type="dxa"/>
            <w:tcBorders>
              <w:top w:val="single" w:sz="4" w:space="0" w:color="auto"/>
              <w:left w:val="single" w:sz="4" w:space="0" w:color="auto"/>
              <w:bottom w:val="single" w:sz="4" w:space="0" w:color="auto"/>
              <w:right w:val="single" w:sz="4" w:space="0" w:color="auto"/>
            </w:tcBorders>
          </w:tcPr>
          <w:p w14:paraId="14B56CE3" w14:textId="38003772" w:rsidR="00012AF6" w:rsidRPr="008B5A6F" w:rsidRDefault="00012AF6" w:rsidP="00026AF6">
            <w:pPr>
              <w:jc w:val="center"/>
              <w:rPr>
                <w:sz w:val="18"/>
                <w:szCs w:val="18"/>
              </w:rPr>
            </w:pPr>
            <w:r w:rsidRPr="008B5A6F">
              <w:rPr>
                <w:sz w:val="18"/>
                <w:szCs w:val="18"/>
              </w:rPr>
              <w:t>24,651</w:t>
            </w:r>
            <w:r w:rsidR="00FF4415" w:rsidRPr="008B5A6F">
              <w:rPr>
                <w:sz w:val="18"/>
                <w:szCs w:val="18"/>
              </w:rPr>
              <w:t xml:space="preserve"> ± </w:t>
            </w:r>
            <w:r w:rsidRPr="008B5A6F">
              <w:rPr>
                <w:sz w:val="18"/>
                <w:szCs w:val="18"/>
              </w:rPr>
              <w:t>18,627 (66.4)</w:t>
            </w:r>
          </w:p>
        </w:tc>
        <w:tc>
          <w:tcPr>
            <w:tcW w:w="1170" w:type="dxa"/>
            <w:tcBorders>
              <w:top w:val="single" w:sz="4" w:space="0" w:color="auto"/>
              <w:left w:val="single" w:sz="4" w:space="0" w:color="auto"/>
              <w:bottom w:val="single" w:sz="4" w:space="0" w:color="auto"/>
              <w:right w:val="single" w:sz="4" w:space="0" w:color="auto"/>
            </w:tcBorders>
          </w:tcPr>
          <w:p w14:paraId="0F1EF059" w14:textId="7B5BEBAC" w:rsidR="00012AF6" w:rsidRPr="008B5A6F" w:rsidRDefault="00012AF6" w:rsidP="00026AF6">
            <w:pPr>
              <w:jc w:val="center"/>
              <w:rPr>
                <w:sz w:val="18"/>
                <w:szCs w:val="18"/>
              </w:rPr>
            </w:pPr>
            <w:r w:rsidRPr="008B5A6F">
              <w:rPr>
                <w:sz w:val="18"/>
                <w:szCs w:val="18"/>
              </w:rPr>
              <w:t>12,996</w:t>
            </w:r>
            <w:r w:rsidR="00FF4415" w:rsidRPr="008B5A6F">
              <w:rPr>
                <w:sz w:val="18"/>
                <w:szCs w:val="18"/>
              </w:rPr>
              <w:t xml:space="preserve"> ± </w:t>
            </w:r>
            <w:r w:rsidRPr="008B5A6F">
              <w:rPr>
                <w:sz w:val="18"/>
                <w:szCs w:val="18"/>
              </w:rPr>
              <w:t xml:space="preserve"> 19,441 (19.1)</w:t>
            </w:r>
          </w:p>
        </w:tc>
        <w:tc>
          <w:tcPr>
            <w:tcW w:w="1530" w:type="dxa"/>
            <w:tcBorders>
              <w:top w:val="single" w:sz="4" w:space="0" w:color="auto"/>
              <w:left w:val="single" w:sz="4" w:space="0" w:color="auto"/>
              <w:bottom w:val="single" w:sz="4" w:space="0" w:color="auto"/>
              <w:right w:val="single" w:sz="4" w:space="0" w:color="auto"/>
            </w:tcBorders>
          </w:tcPr>
          <w:p w14:paraId="30F73C6E" w14:textId="3566FACD" w:rsidR="00012AF6" w:rsidRPr="008B5A6F" w:rsidRDefault="00012AF6" w:rsidP="00026AF6">
            <w:pPr>
              <w:jc w:val="center"/>
              <w:rPr>
                <w:sz w:val="18"/>
                <w:szCs w:val="18"/>
              </w:rPr>
            </w:pPr>
            <w:r w:rsidRPr="008B5A6F">
              <w:rPr>
                <w:sz w:val="18"/>
                <w:szCs w:val="18"/>
              </w:rPr>
              <w:t>23,908</w:t>
            </w:r>
            <w:r w:rsidR="00FF4415" w:rsidRPr="008B5A6F">
              <w:rPr>
                <w:sz w:val="18"/>
                <w:szCs w:val="18"/>
              </w:rPr>
              <w:t xml:space="preserve"> ± </w:t>
            </w:r>
            <w:r w:rsidRPr="008B5A6F">
              <w:rPr>
                <w:sz w:val="18"/>
                <w:szCs w:val="18"/>
              </w:rPr>
              <w:t xml:space="preserve"> 14,978 </w:t>
            </w:r>
            <w:r w:rsidR="00FF4415" w:rsidRPr="008B5A6F">
              <w:rPr>
                <w:sz w:val="18"/>
                <w:szCs w:val="18"/>
              </w:rPr>
              <w:br/>
            </w:r>
            <w:r w:rsidRPr="008B5A6F">
              <w:rPr>
                <w:sz w:val="18"/>
                <w:szCs w:val="18"/>
              </w:rPr>
              <w:t>(16.1)</w:t>
            </w:r>
          </w:p>
        </w:tc>
        <w:tc>
          <w:tcPr>
            <w:tcW w:w="805" w:type="dxa"/>
            <w:tcBorders>
              <w:top w:val="single" w:sz="4" w:space="0" w:color="auto"/>
              <w:left w:val="single" w:sz="4" w:space="0" w:color="auto"/>
              <w:bottom w:val="single" w:sz="4" w:space="0" w:color="auto"/>
              <w:right w:val="single" w:sz="4" w:space="0" w:color="auto"/>
            </w:tcBorders>
          </w:tcPr>
          <w:p w14:paraId="17D62759" w14:textId="77777777" w:rsidR="00012AF6" w:rsidRPr="008B5A6F" w:rsidRDefault="00012AF6" w:rsidP="00026AF6">
            <w:pPr>
              <w:jc w:val="center"/>
              <w:rPr>
                <w:sz w:val="18"/>
                <w:szCs w:val="18"/>
              </w:rPr>
            </w:pPr>
            <w:r w:rsidRPr="008B5A6F">
              <w:rPr>
                <w:sz w:val="18"/>
                <w:szCs w:val="18"/>
              </w:rPr>
              <w:t>28,694</w:t>
            </w:r>
          </w:p>
        </w:tc>
      </w:tr>
      <w:tr w:rsidR="00FF4415" w:rsidRPr="008B5A6F" w14:paraId="7AABD3B3" w14:textId="77777777" w:rsidTr="00E8316F">
        <w:trPr>
          <w:trHeight w:val="270"/>
        </w:trPr>
        <w:tc>
          <w:tcPr>
            <w:tcW w:w="1525" w:type="dxa"/>
            <w:vMerge/>
            <w:tcBorders>
              <w:top w:val="nil"/>
              <w:left w:val="single" w:sz="4" w:space="0" w:color="auto"/>
              <w:bottom w:val="single" w:sz="4" w:space="0" w:color="auto"/>
              <w:right w:val="single" w:sz="4" w:space="0" w:color="auto"/>
            </w:tcBorders>
          </w:tcPr>
          <w:p w14:paraId="3D370BBE" w14:textId="77777777" w:rsidR="00012AF6" w:rsidRPr="008B5A6F" w:rsidRDefault="00012AF6" w:rsidP="00026AF6">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3CA3B9D" w14:textId="77777777" w:rsidR="00012AF6" w:rsidRPr="008B5A6F" w:rsidRDefault="00012AF6" w:rsidP="00026AF6">
            <w:pPr>
              <w:jc w:val="center"/>
              <w:rPr>
                <w:sz w:val="18"/>
                <w:szCs w:val="18"/>
              </w:rPr>
            </w:pPr>
            <w:r w:rsidRPr="008B5A6F">
              <w:rPr>
                <w:sz w:val="18"/>
                <w:szCs w:val="18"/>
              </w:rPr>
              <w:t>CMM</w:t>
            </w:r>
          </w:p>
        </w:tc>
        <w:tc>
          <w:tcPr>
            <w:tcW w:w="1097" w:type="dxa"/>
            <w:tcBorders>
              <w:top w:val="single" w:sz="4" w:space="0" w:color="auto"/>
              <w:left w:val="single" w:sz="4" w:space="0" w:color="auto"/>
              <w:bottom w:val="single" w:sz="4" w:space="0" w:color="auto"/>
              <w:right w:val="single" w:sz="4" w:space="0" w:color="auto"/>
            </w:tcBorders>
          </w:tcPr>
          <w:p w14:paraId="005DA35F" w14:textId="47AA52E8" w:rsidR="00012AF6" w:rsidRPr="008B5A6F" w:rsidRDefault="00012AF6" w:rsidP="00026AF6">
            <w:pPr>
              <w:jc w:val="center"/>
              <w:rPr>
                <w:sz w:val="18"/>
                <w:szCs w:val="18"/>
              </w:rPr>
            </w:pPr>
            <w:r w:rsidRPr="008B5A6F">
              <w:rPr>
                <w:sz w:val="18"/>
                <w:szCs w:val="18"/>
              </w:rPr>
              <w:t>7,883: 7,106 (59.2)</w:t>
            </w:r>
          </w:p>
        </w:tc>
        <w:tc>
          <w:tcPr>
            <w:tcW w:w="1243" w:type="dxa"/>
            <w:tcBorders>
              <w:top w:val="single" w:sz="4" w:space="0" w:color="auto"/>
              <w:left w:val="single" w:sz="4" w:space="0" w:color="auto"/>
              <w:bottom w:val="single" w:sz="4" w:space="0" w:color="auto"/>
              <w:right w:val="single" w:sz="4" w:space="0" w:color="auto"/>
            </w:tcBorders>
          </w:tcPr>
          <w:p w14:paraId="235122DE" w14:textId="6C3B6A97" w:rsidR="00012AF6" w:rsidRPr="008B5A6F" w:rsidRDefault="00012AF6" w:rsidP="00026AF6">
            <w:pPr>
              <w:jc w:val="center"/>
              <w:rPr>
                <w:sz w:val="18"/>
                <w:szCs w:val="18"/>
              </w:rPr>
            </w:pPr>
            <w:r w:rsidRPr="008B5A6F">
              <w:rPr>
                <w:sz w:val="18"/>
                <w:szCs w:val="18"/>
              </w:rPr>
              <w:t>24,217</w:t>
            </w:r>
            <w:r w:rsidR="00FF4415" w:rsidRPr="008B5A6F">
              <w:rPr>
                <w:sz w:val="18"/>
                <w:szCs w:val="18"/>
              </w:rPr>
              <w:t xml:space="preserve"> ± </w:t>
            </w:r>
            <w:r w:rsidRPr="008B5A6F">
              <w:rPr>
                <w:sz w:val="18"/>
                <w:szCs w:val="18"/>
              </w:rPr>
              <w:t xml:space="preserve"> 17,753 (58.3)</w:t>
            </w:r>
          </w:p>
        </w:tc>
        <w:tc>
          <w:tcPr>
            <w:tcW w:w="1170" w:type="dxa"/>
            <w:tcBorders>
              <w:top w:val="single" w:sz="4" w:space="0" w:color="auto"/>
              <w:left w:val="single" w:sz="4" w:space="0" w:color="auto"/>
              <w:bottom w:val="single" w:sz="4" w:space="0" w:color="auto"/>
              <w:right w:val="single" w:sz="4" w:space="0" w:color="auto"/>
            </w:tcBorders>
          </w:tcPr>
          <w:p w14:paraId="7AB370B1" w14:textId="3E751AAB" w:rsidR="00012AF6" w:rsidRPr="008B5A6F" w:rsidRDefault="00012AF6" w:rsidP="00026AF6">
            <w:pPr>
              <w:jc w:val="center"/>
              <w:rPr>
                <w:sz w:val="18"/>
                <w:szCs w:val="18"/>
              </w:rPr>
            </w:pPr>
            <w:r w:rsidRPr="008B5A6F">
              <w:rPr>
                <w:sz w:val="18"/>
                <w:szCs w:val="18"/>
              </w:rPr>
              <w:t>13,533</w:t>
            </w:r>
            <w:r w:rsidR="00FF4415" w:rsidRPr="008B5A6F">
              <w:rPr>
                <w:sz w:val="18"/>
                <w:szCs w:val="18"/>
              </w:rPr>
              <w:t xml:space="preserve"> ± </w:t>
            </w:r>
            <w:r w:rsidRPr="008B5A6F">
              <w:rPr>
                <w:sz w:val="18"/>
                <w:szCs w:val="18"/>
              </w:rPr>
              <w:t xml:space="preserve"> 22,067 (24.0)</w:t>
            </w:r>
          </w:p>
        </w:tc>
        <w:tc>
          <w:tcPr>
            <w:tcW w:w="1530" w:type="dxa"/>
            <w:tcBorders>
              <w:top w:val="single" w:sz="4" w:space="0" w:color="auto"/>
              <w:left w:val="single" w:sz="4" w:space="0" w:color="auto"/>
              <w:bottom w:val="single" w:sz="4" w:space="0" w:color="auto"/>
              <w:right w:val="single" w:sz="4" w:space="0" w:color="auto"/>
            </w:tcBorders>
          </w:tcPr>
          <w:p w14:paraId="50F740EB" w14:textId="4AB05075" w:rsidR="00012AF6" w:rsidRPr="008B5A6F" w:rsidRDefault="00012AF6" w:rsidP="00026AF6">
            <w:pPr>
              <w:jc w:val="center"/>
              <w:rPr>
                <w:sz w:val="18"/>
                <w:szCs w:val="18"/>
              </w:rPr>
            </w:pPr>
            <w:r w:rsidRPr="008B5A6F">
              <w:rPr>
                <w:sz w:val="18"/>
                <w:szCs w:val="18"/>
              </w:rPr>
              <w:t>22,647</w:t>
            </w:r>
            <w:r w:rsidR="00FF4415" w:rsidRPr="008B5A6F">
              <w:rPr>
                <w:sz w:val="18"/>
                <w:szCs w:val="18"/>
              </w:rPr>
              <w:t xml:space="preserve"> ± </w:t>
            </w:r>
            <w:r w:rsidRPr="008B5A6F">
              <w:rPr>
                <w:sz w:val="18"/>
                <w:szCs w:val="18"/>
              </w:rPr>
              <w:t xml:space="preserve"> 11,388 </w:t>
            </w:r>
            <w:r w:rsidR="00FF4415" w:rsidRPr="008B5A6F">
              <w:rPr>
                <w:sz w:val="18"/>
                <w:szCs w:val="18"/>
              </w:rPr>
              <w:br/>
            </w:r>
            <w:r w:rsidRPr="008B5A6F">
              <w:rPr>
                <w:sz w:val="18"/>
                <w:szCs w:val="18"/>
              </w:rPr>
              <w:t>(8.9)</w:t>
            </w:r>
          </w:p>
        </w:tc>
        <w:tc>
          <w:tcPr>
            <w:tcW w:w="805" w:type="dxa"/>
            <w:tcBorders>
              <w:top w:val="single" w:sz="4" w:space="0" w:color="auto"/>
              <w:left w:val="single" w:sz="4" w:space="0" w:color="auto"/>
              <w:bottom w:val="single" w:sz="4" w:space="0" w:color="auto"/>
              <w:right w:val="single" w:sz="4" w:space="0" w:color="auto"/>
            </w:tcBorders>
          </w:tcPr>
          <w:p w14:paraId="388252B6" w14:textId="77777777" w:rsidR="00012AF6" w:rsidRPr="008B5A6F" w:rsidRDefault="00012AF6" w:rsidP="00026AF6">
            <w:pPr>
              <w:jc w:val="center"/>
              <w:rPr>
                <w:sz w:val="18"/>
                <w:szCs w:val="18"/>
              </w:rPr>
            </w:pPr>
            <w:r w:rsidRPr="008B5A6F">
              <w:rPr>
                <w:sz w:val="18"/>
                <w:szCs w:val="18"/>
              </w:rPr>
              <w:t>24,049</w:t>
            </w:r>
          </w:p>
        </w:tc>
      </w:tr>
      <w:tr w:rsidR="00FF4415" w:rsidRPr="008B5A6F" w14:paraId="5A0DA593" w14:textId="77777777" w:rsidTr="00E8316F">
        <w:trPr>
          <w:trHeight w:val="270"/>
        </w:trPr>
        <w:tc>
          <w:tcPr>
            <w:tcW w:w="1525" w:type="dxa"/>
            <w:vMerge w:val="restart"/>
            <w:tcBorders>
              <w:top w:val="single" w:sz="4" w:space="0" w:color="auto"/>
              <w:left w:val="single" w:sz="4" w:space="0" w:color="auto"/>
              <w:bottom w:val="single" w:sz="4" w:space="0" w:color="auto"/>
              <w:right w:val="single" w:sz="4" w:space="0" w:color="auto"/>
            </w:tcBorders>
          </w:tcPr>
          <w:p w14:paraId="2CE57416" w14:textId="7513B3BE" w:rsidR="00012AF6" w:rsidRPr="008B5A6F" w:rsidRDefault="00012AF6" w:rsidP="00026AF6">
            <w:pPr>
              <w:rPr>
                <w:sz w:val="18"/>
                <w:szCs w:val="18"/>
              </w:rPr>
            </w:pPr>
            <w:r w:rsidRPr="008B5A6F">
              <w:rPr>
                <w:sz w:val="18"/>
                <w:szCs w:val="18"/>
              </w:rPr>
              <w:t>BKP vs. CMM</w:t>
            </w:r>
            <w:r w:rsidR="00ED781C" w:rsidRPr="008B5A6F">
              <w:rPr>
                <w:sz w:val="18"/>
                <w:szCs w:val="18"/>
              </w:rPr>
              <w:t xml:space="preserve">, </w:t>
            </w:r>
            <w:r w:rsidRPr="008B5A6F">
              <w:rPr>
                <w:sz w:val="18"/>
                <w:szCs w:val="18"/>
              </w:rPr>
              <w:t>outpatient</w:t>
            </w:r>
          </w:p>
        </w:tc>
        <w:tc>
          <w:tcPr>
            <w:tcW w:w="1260" w:type="dxa"/>
            <w:tcBorders>
              <w:top w:val="single" w:sz="4" w:space="0" w:color="auto"/>
              <w:left w:val="single" w:sz="4" w:space="0" w:color="auto"/>
              <w:bottom w:val="single" w:sz="4" w:space="0" w:color="auto"/>
              <w:right w:val="single" w:sz="4" w:space="0" w:color="auto"/>
            </w:tcBorders>
          </w:tcPr>
          <w:p w14:paraId="79A345C8" w14:textId="77777777" w:rsidR="00012AF6" w:rsidRPr="008B5A6F" w:rsidRDefault="00012AF6" w:rsidP="00026AF6">
            <w:pPr>
              <w:jc w:val="center"/>
              <w:rPr>
                <w:sz w:val="18"/>
                <w:szCs w:val="18"/>
              </w:rPr>
            </w:pPr>
            <w:r w:rsidRPr="008B5A6F">
              <w:rPr>
                <w:sz w:val="18"/>
                <w:szCs w:val="18"/>
              </w:rPr>
              <w:t>BKP</w:t>
            </w:r>
          </w:p>
        </w:tc>
        <w:tc>
          <w:tcPr>
            <w:tcW w:w="1097" w:type="dxa"/>
            <w:tcBorders>
              <w:top w:val="single" w:sz="4" w:space="0" w:color="auto"/>
              <w:left w:val="single" w:sz="4" w:space="0" w:color="auto"/>
              <w:bottom w:val="single" w:sz="4" w:space="0" w:color="auto"/>
              <w:right w:val="single" w:sz="4" w:space="0" w:color="auto"/>
            </w:tcBorders>
          </w:tcPr>
          <w:p w14:paraId="07B9090A" w14:textId="0F14B2C5" w:rsidR="00012AF6" w:rsidRPr="008B5A6F" w:rsidRDefault="00012AF6" w:rsidP="00026AF6">
            <w:pPr>
              <w:jc w:val="center"/>
              <w:rPr>
                <w:sz w:val="18"/>
                <w:szCs w:val="18"/>
              </w:rPr>
            </w:pPr>
            <w:r w:rsidRPr="008B5A6F">
              <w:rPr>
                <w:sz w:val="18"/>
                <w:szCs w:val="18"/>
              </w:rPr>
              <w:t>7,485</w:t>
            </w:r>
            <w:r w:rsidR="00FF4415" w:rsidRPr="008B5A6F">
              <w:rPr>
                <w:sz w:val="18"/>
                <w:szCs w:val="18"/>
              </w:rPr>
              <w:t xml:space="preserve"> ± </w:t>
            </w:r>
            <w:r w:rsidRPr="008B5A6F">
              <w:rPr>
                <w:sz w:val="18"/>
                <w:szCs w:val="18"/>
              </w:rPr>
              <w:t xml:space="preserve"> 5,519 (42.7)</w:t>
            </w:r>
          </w:p>
        </w:tc>
        <w:tc>
          <w:tcPr>
            <w:tcW w:w="1243" w:type="dxa"/>
            <w:tcBorders>
              <w:top w:val="single" w:sz="4" w:space="0" w:color="auto"/>
              <w:left w:val="single" w:sz="4" w:space="0" w:color="auto"/>
              <w:bottom w:val="single" w:sz="4" w:space="0" w:color="auto"/>
              <w:right w:val="single" w:sz="4" w:space="0" w:color="auto"/>
            </w:tcBorders>
          </w:tcPr>
          <w:p w14:paraId="609C7004" w14:textId="281AF613" w:rsidR="00012AF6" w:rsidRPr="008B5A6F" w:rsidRDefault="00012AF6" w:rsidP="00026AF6">
            <w:pPr>
              <w:jc w:val="center"/>
              <w:rPr>
                <w:sz w:val="18"/>
                <w:szCs w:val="18"/>
              </w:rPr>
            </w:pPr>
            <w:r w:rsidRPr="008B5A6F">
              <w:rPr>
                <w:sz w:val="18"/>
                <w:szCs w:val="18"/>
              </w:rPr>
              <w:t>20,035</w:t>
            </w:r>
            <w:r w:rsidR="00FF4415" w:rsidRPr="008B5A6F">
              <w:rPr>
                <w:sz w:val="18"/>
                <w:szCs w:val="18"/>
              </w:rPr>
              <w:t xml:space="preserve"> ± </w:t>
            </w:r>
            <w:r w:rsidRPr="008B5A6F">
              <w:rPr>
                <w:sz w:val="18"/>
                <w:szCs w:val="18"/>
              </w:rPr>
              <w:t xml:space="preserve"> 14,967 (23.9)</w:t>
            </w:r>
          </w:p>
        </w:tc>
        <w:tc>
          <w:tcPr>
            <w:tcW w:w="1170" w:type="dxa"/>
            <w:tcBorders>
              <w:top w:val="single" w:sz="4" w:space="0" w:color="auto"/>
              <w:left w:val="single" w:sz="4" w:space="0" w:color="auto"/>
              <w:bottom w:val="single" w:sz="4" w:space="0" w:color="auto"/>
              <w:right w:val="single" w:sz="4" w:space="0" w:color="auto"/>
            </w:tcBorders>
          </w:tcPr>
          <w:p w14:paraId="6C8229CF" w14:textId="2D5F0DD2" w:rsidR="00012AF6" w:rsidRPr="008B5A6F" w:rsidRDefault="00012AF6" w:rsidP="00026AF6">
            <w:pPr>
              <w:jc w:val="center"/>
              <w:rPr>
                <w:sz w:val="18"/>
                <w:szCs w:val="18"/>
              </w:rPr>
            </w:pPr>
            <w:r w:rsidRPr="008B5A6F">
              <w:rPr>
                <w:sz w:val="18"/>
                <w:szCs w:val="18"/>
              </w:rPr>
              <w:t>14,343, 19,780 (8.5)</w:t>
            </w:r>
          </w:p>
        </w:tc>
        <w:tc>
          <w:tcPr>
            <w:tcW w:w="1530" w:type="dxa"/>
            <w:tcBorders>
              <w:top w:val="single" w:sz="4" w:space="0" w:color="auto"/>
              <w:left w:val="single" w:sz="4" w:space="0" w:color="auto"/>
              <w:bottom w:val="single" w:sz="4" w:space="0" w:color="auto"/>
              <w:right w:val="single" w:sz="4" w:space="0" w:color="auto"/>
            </w:tcBorders>
          </w:tcPr>
          <w:p w14:paraId="588ADAAA" w14:textId="690B6501" w:rsidR="00012AF6" w:rsidRPr="008B5A6F" w:rsidRDefault="00012AF6" w:rsidP="00026AF6">
            <w:pPr>
              <w:jc w:val="center"/>
              <w:rPr>
                <w:sz w:val="18"/>
                <w:szCs w:val="18"/>
              </w:rPr>
            </w:pPr>
            <w:r w:rsidRPr="008B5A6F">
              <w:rPr>
                <w:sz w:val="18"/>
                <w:szCs w:val="18"/>
              </w:rPr>
              <w:t>22,170</w:t>
            </w:r>
            <w:r w:rsidR="00FF4415" w:rsidRPr="008B5A6F">
              <w:rPr>
                <w:sz w:val="18"/>
                <w:szCs w:val="18"/>
              </w:rPr>
              <w:t xml:space="preserve"> ± </w:t>
            </w:r>
            <w:r w:rsidRPr="008B5A6F">
              <w:rPr>
                <w:sz w:val="18"/>
                <w:szCs w:val="18"/>
              </w:rPr>
              <w:t xml:space="preserve"> 11,529 </w:t>
            </w:r>
            <w:r w:rsidR="00FF4415" w:rsidRPr="008B5A6F">
              <w:rPr>
                <w:sz w:val="18"/>
                <w:szCs w:val="18"/>
              </w:rPr>
              <w:br/>
            </w:r>
            <w:r w:rsidRPr="008B5A6F">
              <w:rPr>
                <w:sz w:val="18"/>
                <w:szCs w:val="18"/>
              </w:rPr>
              <w:t>(5.7)</w:t>
            </w:r>
          </w:p>
        </w:tc>
        <w:tc>
          <w:tcPr>
            <w:tcW w:w="805" w:type="dxa"/>
            <w:tcBorders>
              <w:top w:val="single" w:sz="4" w:space="0" w:color="auto"/>
              <w:left w:val="single" w:sz="4" w:space="0" w:color="auto"/>
              <w:bottom w:val="single" w:sz="4" w:space="0" w:color="auto"/>
              <w:right w:val="single" w:sz="4" w:space="0" w:color="auto"/>
            </w:tcBorders>
          </w:tcPr>
          <w:p w14:paraId="61F39E52" w14:textId="77777777" w:rsidR="00012AF6" w:rsidRPr="008B5A6F" w:rsidRDefault="00012AF6" w:rsidP="00026AF6">
            <w:pPr>
              <w:jc w:val="center"/>
              <w:rPr>
                <w:sz w:val="18"/>
                <w:szCs w:val="18"/>
              </w:rPr>
            </w:pPr>
            <w:r w:rsidRPr="008B5A6F">
              <w:rPr>
                <w:sz w:val="18"/>
                <w:szCs w:val="18"/>
              </w:rPr>
              <w:t>10,467</w:t>
            </w:r>
          </w:p>
        </w:tc>
      </w:tr>
      <w:tr w:rsidR="00FF4415" w:rsidRPr="008B5A6F" w14:paraId="5401FD44" w14:textId="77777777" w:rsidTr="00E8316F">
        <w:trPr>
          <w:trHeight w:val="270"/>
        </w:trPr>
        <w:tc>
          <w:tcPr>
            <w:tcW w:w="1525" w:type="dxa"/>
            <w:vMerge/>
            <w:tcBorders>
              <w:top w:val="nil"/>
              <w:left w:val="single" w:sz="4" w:space="0" w:color="auto"/>
              <w:bottom w:val="single" w:sz="4" w:space="0" w:color="auto"/>
              <w:right w:val="single" w:sz="4" w:space="0" w:color="auto"/>
            </w:tcBorders>
          </w:tcPr>
          <w:p w14:paraId="5895E6EC" w14:textId="77777777" w:rsidR="00012AF6" w:rsidRPr="008B5A6F" w:rsidRDefault="00012AF6" w:rsidP="00026AF6">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C8C281" w14:textId="77777777" w:rsidR="00012AF6" w:rsidRPr="008B5A6F" w:rsidRDefault="00012AF6" w:rsidP="00026AF6">
            <w:pPr>
              <w:jc w:val="center"/>
              <w:rPr>
                <w:sz w:val="18"/>
                <w:szCs w:val="18"/>
              </w:rPr>
            </w:pPr>
            <w:r w:rsidRPr="008B5A6F">
              <w:rPr>
                <w:sz w:val="18"/>
                <w:szCs w:val="18"/>
              </w:rPr>
              <w:t>CMM</w:t>
            </w:r>
          </w:p>
        </w:tc>
        <w:tc>
          <w:tcPr>
            <w:tcW w:w="1097" w:type="dxa"/>
            <w:tcBorders>
              <w:top w:val="single" w:sz="4" w:space="0" w:color="auto"/>
              <w:left w:val="single" w:sz="4" w:space="0" w:color="auto"/>
              <w:bottom w:val="single" w:sz="4" w:space="0" w:color="auto"/>
              <w:right w:val="single" w:sz="4" w:space="0" w:color="auto"/>
            </w:tcBorders>
          </w:tcPr>
          <w:p w14:paraId="75DA8F60" w14:textId="0BDCD652" w:rsidR="00012AF6" w:rsidRPr="008B5A6F" w:rsidRDefault="00012AF6" w:rsidP="00026AF6">
            <w:pPr>
              <w:jc w:val="center"/>
              <w:rPr>
                <w:sz w:val="18"/>
                <w:szCs w:val="18"/>
              </w:rPr>
            </w:pPr>
            <w:r w:rsidRPr="008B5A6F">
              <w:rPr>
                <w:sz w:val="18"/>
                <w:szCs w:val="18"/>
              </w:rPr>
              <w:t>7,990</w:t>
            </w:r>
            <w:r w:rsidR="00FF4415" w:rsidRPr="008B5A6F">
              <w:rPr>
                <w:sz w:val="18"/>
                <w:szCs w:val="18"/>
              </w:rPr>
              <w:t xml:space="preserve"> ± </w:t>
            </w:r>
            <w:r w:rsidRPr="008B5A6F">
              <w:rPr>
                <w:sz w:val="18"/>
                <w:szCs w:val="18"/>
              </w:rPr>
              <w:t xml:space="preserve"> 7,916 (42.1)</w:t>
            </w:r>
          </w:p>
        </w:tc>
        <w:tc>
          <w:tcPr>
            <w:tcW w:w="1243" w:type="dxa"/>
            <w:tcBorders>
              <w:top w:val="single" w:sz="4" w:space="0" w:color="auto"/>
              <w:left w:val="single" w:sz="4" w:space="0" w:color="auto"/>
              <w:bottom w:val="single" w:sz="4" w:space="0" w:color="auto"/>
              <w:right w:val="single" w:sz="4" w:space="0" w:color="auto"/>
            </w:tcBorders>
          </w:tcPr>
          <w:p w14:paraId="5CBB3EC6" w14:textId="3216C768" w:rsidR="00012AF6" w:rsidRPr="008B5A6F" w:rsidRDefault="00012AF6" w:rsidP="00026AF6">
            <w:pPr>
              <w:jc w:val="center"/>
              <w:rPr>
                <w:sz w:val="18"/>
                <w:szCs w:val="18"/>
              </w:rPr>
            </w:pPr>
            <w:r w:rsidRPr="008B5A6F">
              <w:rPr>
                <w:sz w:val="18"/>
                <w:szCs w:val="18"/>
              </w:rPr>
              <w:t>22,402</w:t>
            </w:r>
            <w:r w:rsidR="00FF4415" w:rsidRPr="008B5A6F">
              <w:rPr>
                <w:sz w:val="18"/>
                <w:szCs w:val="18"/>
              </w:rPr>
              <w:t xml:space="preserve"> ± </w:t>
            </w:r>
            <w:r w:rsidRPr="008B5A6F">
              <w:rPr>
                <w:sz w:val="18"/>
                <w:szCs w:val="18"/>
              </w:rPr>
              <w:t xml:space="preserve"> 17,042 (27.0)</w:t>
            </w:r>
          </w:p>
        </w:tc>
        <w:tc>
          <w:tcPr>
            <w:tcW w:w="1170" w:type="dxa"/>
            <w:tcBorders>
              <w:top w:val="single" w:sz="4" w:space="0" w:color="auto"/>
              <w:left w:val="single" w:sz="4" w:space="0" w:color="auto"/>
              <w:bottom w:val="single" w:sz="4" w:space="0" w:color="auto"/>
              <w:right w:val="single" w:sz="4" w:space="0" w:color="auto"/>
            </w:tcBorders>
          </w:tcPr>
          <w:p w14:paraId="16641729" w14:textId="2EEC9C6D" w:rsidR="00012AF6" w:rsidRPr="008B5A6F" w:rsidRDefault="00012AF6" w:rsidP="00026AF6">
            <w:pPr>
              <w:jc w:val="center"/>
              <w:rPr>
                <w:sz w:val="18"/>
                <w:szCs w:val="18"/>
              </w:rPr>
            </w:pPr>
            <w:r w:rsidRPr="008B5A6F">
              <w:rPr>
                <w:sz w:val="18"/>
                <w:szCs w:val="18"/>
              </w:rPr>
              <w:t>16,987</w:t>
            </w:r>
            <w:r w:rsidR="00FF4415" w:rsidRPr="008B5A6F">
              <w:rPr>
                <w:sz w:val="18"/>
                <w:szCs w:val="18"/>
              </w:rPr>
              <w:t xml:space="preserve"> ± </w:t>
            </w:r>
            <w:r w:rsidRPr="008B5A6F">
              <w:rPr>
                <w:sz w:val="18"/>
                <w:szCs w:val="18"/>
              </w:rPr>
              <w:t xml:space="preserve"> 23,955 (11.0)</w:t>
            </w:r>
          </w:p>
        </w:tc>
        <w:tc>
          <w:tcPr>
            <w:tcW w:w="1530" w:type="dxa"/>
            <w:tcBorders>
              <w:top w:val="single" w:sz="4" w:space="0" w:color="auto"/>
              <w:left w:val="single" w:sz="4" w:space="0" w:color="auto"/>
              <w:bottom w:val="single" w:sz="4" w:space="0" w:color="auto"/>
              <w:right w:val="single" w:sz="4" w:space="0" w:color="auto"/>
            </w:tcBorders>
          </w:tcPr>
          <w:p w14:paraId="18D94295" w14:textId="4639CB8D" w:rsidR="00012AF6" w:rsidRPr="008B5A6F" w:rsidRDefault="00012AF6" w:rsidP="00026AF6">
            <w:pPr>
              <w:jc w:val="center"/>
              <w:rPr>
                <w:sz w:val="18"/>
                <w:szCs w:val="18"/>
              </w:rPr>
            </w:pPr>
            <w:r w:rsidRPr="008B5A6F">
              <w:rPr>
                <w:sz w:val="18"/>
                <w:szCs w:val="18"/>
              </w:rPr>
              <w:t>22,780</w:t>
            </w:r>
            <w:r w:rsidR="00FF4415" w:rsidRPr="008B5A6F">
              <w:rPr>
                <w:sz w:val="18"/>
                <w:szCs w:val="18"/>
              </w:rPr>
              <w:t xml:space="preserve"> ± </w:t>
            </w:r>
            <w:r w:rsidRPr="008B5A6F">
              <w:rPr>
                <w:sz w:val="18"/>
                <w:szCs w:val="18"/>
              </w:rPr>
              <w:t xml:space="preserve"> 11,309 (4.3)</w:t>
            </w:r>
          </w:p>
        </w:tc>
        <w:tc>
          <w:tcPr>
            <w:tcW w:w="805" w:type="dxa"/>
            <w:tcBorders>
              <w:top w:val="single" w:sz="4" w:space="0" w:color="auto"/>
              <w:left w:val="single" w:sz="4" w:space="0" w:color="auto"/>
              <w:bottom w:val="single" w:sz="4" w:space="0" w:color="auto"/>
              <w:right w:val="single" w:sz="4" w:space="0" w:color="auto"/>
            </w:tcBorders>
          </w:tcPr>
          <w:p w14:paraId="61DC1AEE" w14:textId="77777777" w:rsidR="00012AF6" w:rsidRPr="008B5A6F" w:rsidRDefault="00012AF6" w:rsidP="00026AF6">
            <w:pPr>
              <w:jc w:val="center"/>
              <w:rPr>
                <w:sz w:val="18"/>
                <w:szCs w:val="18"/>
              </w:rPr>
            </w:pPr>
            <w:r w:rsidRPr="008B5A6F">
              <w:rPr>
                <w:sz w:val="18"/>
                <w:szCs w:val="18"/>
              </w:rPr>
              <w:t>12,261</w:t>
            </w:r>
          </w:p>
        </w:tc>
      </w:tr>
      <w:tr w:rsidR="00FF4415" w:rsidRPr="008B5A6F" w14:paraId="4968A3DC" w14:textId="77777777" w:rsidTr="00E8316F">
        <w:trPr>
          <w:trHeight w:val="270"/>
        </w:trPr>
        <w:tc>
          <w:tcPr>
            <w:tcW w:w="1525" w:type="dxa"/>
            <w:vMerge w:val="restart"/>
            <w:tcBorders>
              <w:top w:val="single" w:sz="4" w:space="0" w:color="auto"/>
              <w:left w:val="single" w:sz="4" w:space="0" w:color="auto"/>
              <w:bottom w:val="single" w:sz="4" w:space="0" w:color="auto"/>
              <w:right w:val="single" w:sz="4" w:space="0" w:color="auto"/>
            </w:tcBorders>
          </w:tcPr>
          <w:p w14:paraId="6B5E0D9D" w14:textId="59D92EAB" w:rsidR="00012AF6" w:rsidRPr="008B5A6F" w:rsidRDefault="00012AF6" w:rsidP="00026AF6">
            <w:pPr>
              <w:rPr>
                <w:sz w:val="18"/>
                <w:szCs w:val="18"/>
              </w:rPr>
            </w:pPr>
            <w:r w:rsidRPr="008B5A6F">
              <w:rPr>
                <w:sz w:val="18"/>
                <w:szCs w:val="18"/>
              </w:rPr>
              <w:lastRenderedPageBreak/>
              <w:t>VP vs. CMM</w:t>
            </w:r>
            <w:r w:rsidR="00ED781C" w:rsidRPr="008B5A6F">
              <w:rPr>
                <w:sz w:val="18"/>
                <w:szCs w:val="18"/>
              </w:rPr>
              <w:t xml:space="preserve">, </w:t>
            </w:r>
            <w:r w:rsidRPr="008B5A6F">
              <w:rPr>
                <w:sz w:val="18"/>
                <w:szCs w:val="18"/>
              </w:rPr>
              <w:t>inpatient</w:t>
            </w:r>
          </w:p>
        </w:tc>
        <w:tc>
          <w:tcPr>
            <w:tcW w:w="1260" w:type="dxa"/>
            <w:tcBorders>
              <w:top w:val="single" w:sz="4" w:space="0" w:color="auto"/>
              <w:left w:val="single" w:sz="4" w:space="0" w:color="auto"/>
              <w:bottom w:val="single" w:sz="4" w:space="0" w:color="auto"/>
              <w:right w:val="single" w:sz="4" w:space="0" w:color="auto"/>
            </w:tcBorders>
          </w:tcPr>
          <w:p w14:paraId="123D402A" w14:textId="77777777" w:rsidR="00012AF6" w:rsidRPr="008B5A6F" w:rsidRDefault="00012AF6" w:rsidP="00026AF6">
            <w:pPr>
              <w:jc w:val="center"/>
              <w:rPr>
                <w:sz w:val="18"/>
                <w:szCs w:val="18"/>
              </w:rPr>
            </w:pPr>
            <w:r w:rsidRPr="008B5A6F">
              <w:rPr>
                <w:sz w:val="18"/>
                <w:szCs w:val="18"/>
              </w:rPr>
              <w:t>VP</w:t>
            </w:r>
          </w:p>
        </w:tc>
        <w:tc>
          <w:tcPr>
            <w:tcW w:w="1097" w:type="dxa"/>
            <w:tcBorders>
              <w:top w:val="single" w:sz="4" w:space="0" w:color="auto"/>
              <w:left w:val="single" w:sz="4" w:space="0" w:color="auto"/>
              <w:bottom w:val="single" w:sz="4" w:space="0" w:color="auto"/>
              <w:right w:val="single" w:sz="4" w:space="0" w:color="auto"/>
            </w:tcBorders>
          </w:tcPr>
          <w:p w14:paraId="52D3561C" w14:textId="3242C4C7" w:rsidR="00012AF6" w:rsidRPr="008B5A6F" w:rsidRDefault="00012AF6" w:rsidP="00026AF6">
            <w:pPr>
              <w:jc w:val="center"/>
              <w:rPr>
                <w:sz w:val="18"/>
                <w:szCs w:val="18"/>
              </w:rPr>
            </w:pPr>
            <w:r w:rsidRPr="008B5A6F">
              <w:rPr>
                <w:sz w:val="18"/>
                <w:szCs w:val="18"/>
              </w:rPr>
              <w:t>9,489</w:t>
            </w:r>
            <w:r w:rsidR="00FF4415" w:rsidRPr="008B5A6F">
              <w:rPr>
                <w:sz w:val="18"/>
                <w:szCs w:val="18"/>
              </w:rPr>
              <w:t xml:space="preserve"> ± </w:t>
            </w:r>
            <w:r w:rsidRPr="008B5A6F">
              <w:rPr>
                <w:sz w:val="18"/>
                <w:szCs w:val="18"/>
              </w:rPr>
              <w:t xml:space="preserve"> 8,459 (73.8)</w:t>
            </w:r>
          </w:p>
        </w:tc>
        <w:tc>
          <w:tcPr>
            <w:tcW w:w="1243" w:type="dxa"/>
            <w:tcBorders>
              <w:top w:val="single" w:sz="4" w:space="0" w:color="auto"/>
              <w:left w:val="single" w:sz="4" w:space="0" w:color="auto"/>
              <w:bottom w:val="single" w:sz="4" w:space="0" w:color="auto"/>
              <w:right w:val="single" w:sz="4" w:space="0" w:color="auto"/>
            </w:tcBorders>
          </w:tcPr>
          <w:p w14:paraId="109B5B9F" w14:textId="4683D6FE" w:rsidR="00012AF6" w:rsidRPr="008B5A6F" w:rsidRDefault="00012AF6" w:rsidP="00026AF6">
            <w:pPr>
              <w:jc w:val="center"/>
              <w:rPr>
                <w:sz w:val="18"/>
                <w:szCs w:val="18"/>
              </w:rPr>
            </w:pPr>
            <w:r w:rsidRPr="008B5A6F">
              <w:rPr>
                <w:sz w:val="18"/>
                <w:szCs w:val="18"/>
              </w:rPr>
              <w:t>23,892</w:t>
            </w:r>
            <w:r w:rsidR="00FF4415" w:rsidRPr="008B5A6F">
              <w:rPr>
                <w:sz w:val="18"/>
                <w:szCs w:val="18"/>
              </w:rPr>
              <w:t xml:space="preserve"> ± </w:t>
            </w:r>
            <w:r w:rsidRPr="008B5A6F">
              <w:rPr>
                <w:sz w:val="18"/>
                <w:szCs w:val="18"/>
              </w:rPr>
              <w:t xml:space="preserve"> 17,854 (66.5)</w:t>
            </w:r>
          </w:p>
        </w:tc>
        <w:tc>
          <w:tcPr>
            <w:tcW w:w="1170" w:type="dxa"/>
            <w:tcBorders>
              <w:top w:val="single" w:sz="4" w:space="0" w:color="auto"/>
              <w:left w:val="single" w:sz="4" w:space="0" w:color="auto"/>
              <w:bottom w:val="single" w:sz="4" w:space="0" w:color="auto"/>
              <w:right w:val="single" w:sz="4" w:space="0" w:color="auto"/>
            </w:tcBorders>
          </w:tcPr>
          <w:p w14:paraId="3316A85F" w14:textId="4ADB99CD" w:rsidR="00012AF6" w:rsidRPr="008B5A6F" w:rsidRDefault="00012AF6" w:rsidP="00026AF6">
            <w:pPr>
              <w:jc w:val="center"/>
              <w:rPr>
                <w:sz w:val="18"/>
                <w:szCs w:val="18"/>
              </w:rPr>
            </w:pPr>
            <w:r w:rsidRPr="008B5A6F">
              <w:rPr>
                <w:sz w:val="18"/>
                <w:szCs w:val="18"/>
              </w:rPr>
              <w:t>12,106</w:t>
            </w:r>
            <w:r w:rsidR="00FF4415" w:rsidRPr="008B5A6F">
              <w:rPr>
                <w:sz w:val="18"/>
                <w:szCs w:val="18"/>
              </w:rPr>
              <w:t xml:space="preserve"> ± </w:t>
            </w:r>
            <w:r w:rsidRPr="008B5A6F">
              <w:rPr>
                <w:sz w:val="18"/>
                <w:szCs w:val="18"/>
              </w:rPr>
              <w:t xml:space="preserve"> 18,906 (20.6)</w:t>
            </w:r>
          </w:p>
        </w:tc>
        <w:tc>
          <w:tcPr>
            <w:tcW w:w="1530" w:type="dxa"/>
            <w:tcBorders>
              <w:top w:val="single" w:sz="4" w:space="0" w:color="auto"/>
              <w:left w:val="single" w:sz="4" w:space="0" w:color="auto"/>
              <w:bottom w:val="single" w:sz="4" w:space="0" w:color="auto"/>
              <w:right w:val="single" w:sz="4" w:space="0" w:color="auto"/>
            </w:tcBorders>
          </w:tcPr>
          <w:p w14:paraId="0746148A" w14:textId="65A82AE8" w:rsidR="00012AF6" w:rsidRPr="008B5A6F" w:rsidRDefault="00012AF6" w:rsidP="00026AF6">
            <w:pPr>
              <w:jc w:val="center"/>
              <w:rPr>
                <w:sz w:val="18"/>
                <w:szCs w:val="18"/>
              </w:rPr>
            </w:pPr>
            <w:r w:rsidRPr="008B5A6F">
              <w:rPr>
                <w:sz w:val="18"/>
                <w:szCs w:val="18"/>
              </w:rPr>
              <w:t>26,426</w:t>
            </w:r>
            <w:r w:rsidR="00FF4415" w:rsidRPr="008B5A6F">
              <w:rPr>
                <w:sz w:val="18"/>
                <w:szCs w:val="18"/>
              </w:rPr>
              <w:t xml:space="preserve"> ± </w:t>
            </w:r>
            <w:r w:rsidRPr="008B5A6F">
              <w:rPr>
                <w:sz w:val="18"/>
                <w:szCs w:val="18"/>
              </w:rPr>
              <w:t xml:space="preserve"> 19,473 (14.5)</w:t>
            </w:r>
          </w:p>
        </w:tc>
        <w:tc>
          <w:tcPr>
            <w:tcW w:w="805" w:type="dxa"/>
            <w:tcBorders>
              <w:top w:val="single" w:sz="4" w:space="0" w:color="auto"/>
              <w:left w:val="single" w:sz="4" w:space="0" w:color="auto"/>
              <w:bottom w:val="single" w:sz="4" w:space="0" w:color="auto"/>
              <w:right w:val="single" w:sz="4" w:space="0" w:color="auto"/>
            </w:tcBorders>
          </w:tcPr>
          <w:p w14:paraId="268EA550" w14:textId="77777777" w:rsidR="00012AF6" w:rsidRPr="008B5A6F" w:rsidRDefault="00012AF6" w:rsidP="00026AF6">
            <w:pPr>
              <w:jc w:val="center"/>
              <w:rPr>
                <w:sz w:val="18"/>
                <w:szCs w:val="18"/>
              </w:rPr>
            </w:pPr>
            <w:r w:rsidRPr="008B5A6F">
              <w:rPr>
                <w:sz w:val="18"/>
                <w:szCs w:val="18"/>
              </w:rPr>
              <w:t>29,210</w:t>
            </w:r>
          </w:p>
        </w:tc>
      </w:tr>
      <w:tr w:rsidR="00FF4415" w:rsidRPr="008B5A6F" w14:paraId="335E9FF2" w14:textId="77777777" w:rsidTr="00E8316F">
        <w:trPr>
          <w:trHeight w:val="270"/>
        </w:trPr>
        <w:tc>
          <w:tcPr>
            <w:tcW w:w="1525" w:type="dxa"/>
            <w:vMerge/>
            <w:tcBorders>
              <w:top w:val="nil"/>
              <w:left w:val="single" w:sz="4" w:space="0" w:color="auto"/>
              <w:bottom w:val="single" w:sz="4" w:space="0" w:color="auto"/>
              <w:right w:val="single" w:sz="4" w:space="0" w:color="auto"/>
            </w:tcBorders>
          </w:tcPr>
          <w:p w14:paraId="4E6318CC" w14:textId="77777777" w:rsidR="00012AF6" w:rsidRPr="008B5A6F" w:rsidRDefault="00012AF6" w:rsidP="00026AF6">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BB16D6" w14:textId="77777777" w:rsidR="00012AF6" w:rsidRPr="008B5A6F" w:rsidRDefault="00012AF6" w:rsidP="00026AF6">
            <w:pPr>
              <w:jc w:val="center"/>
              <w:rPr>
                <w:sz w:val="18"/>
                <w:szCs w:val="18"/>
              </w:rPr>
            </w:pPr>
            <w:r w:rsidRPr="008B5A6F">
              <w:rPr>
                <w:sz w:val="18"/>
                <w:szCs w:val="18"/>
              </w:rPr>
              <w:t>CMM</w:t>
            </w:r>
          </w:p>
        </w:tc>
        <w:tc>
          <w:tcPr>
            <w:tcW w:w="1097" w:type="dxa"/>
            <w:tcBorders>
              <w:top w:val="single" w:sz="4" w:space="0" w:color="auto"/>
              <w:left w:val="single" w:sz="4" w:space="0" w:color="auto"/>
              <w:bottom w:val="single" w:sz="4" w:space="0" w:color="auto"/>
              <w:right w:val="single" w:sz="4" w:space="0" w:color="auto"/>
            </w:tcBorders>
          </w:tcPr>
          <w:p w14:paraId="0667E996" w14:textId="7F82F386" w:rsidR="00012AF6" w:rsidRPr="008B5A6F" w:rsidRDefault="00012AF6" w:rsidP="00026AF6">
            <w:pPr>
              <w:jc w:val="center"/>
              <w:rPr>
                <w:sz w:val="18"/>
                <w:szCs w:val="18"/>
              </w:rPr>
            </w:pPr>
            <w:r w:rsidRPr="008B5A6F">
              <w:rPr>
                <w:sz w:val="18"/>
                <w:szCs w:val="18"/>
              </w:rPr>
              <w:t>7,854</w:t>
            </w:r>
            <w:r w:rsidR="00FF4415" w:rsidRPr="008B5A6F">
              <w:rPr>
                <w:sz w:val="18"/>
                <w:szCs w:val="18"/>
              </w:rPr>
              <w:t xml:space="preserve"> ± </w:t>
            </w:r>
            <w:r w:rsidRPr="008B5A6F">
              <w:rPr>
                <w:sz w:val="18"/>
                <w:szCs w:val="18"/>
              </w:rPr>
              <w:t xml:space="preserve"> 7,034 (54.1)</w:t>
            </w:r>
          </w:p>
        </w:tc>
        <w:tc>
          <w:tcPr>
            <w:tcW w:w="1243" w:type="dxa"/>
            <w:tcBorders>
              <w:top w:val="single" w:sz="4" w:space="0" w:color="auto"/>
              <w:left w:val="single" w:sz="4" w:space="0" w:color="auto"/>
              <w:bottom w:val="single" w:sz="4" w:space="0" w:color="auto"/>
              <w:right w:val="single" w:sz="4" w:space="0" w:color="auto"/>
            </w:tcBorders>
          </w:tcPr>
          <w:p w14:paraId="5B78CACD" w14:textId="5DC55570" w:rsidR="00012AF6" w:rsidRPr="008B5A6F" w:rsidRDefault="00012AF6" w:rsidP="00026AF6">
            <w:pPr>
              <w:jc w:val="center"/>
              <w:rPr>
                <w:sz w:val="18"/>
                <w:szCs w:val="18"/>
              </w:rPr>
            </w:pPr>
            <w:r w:rsidRPr="008B5A6F">
              <w:rPr>
                <w:sz w:val="18"/>
                <w:szCs w:val="18"/>
              </w:rPr>
              <w:t>22,927</w:t>
            </w:r>
            <w:r w:rsidR="00FF4415" w:rsidRPr="008B5A6F">
              <w:rPr>
                <w:sz w:val="18"/>
                <w:szCs w:val="18"/>
              </w:rPr>
              <w:t xml:space="preserve"> ± </w:t>
            </w:r>
            <w:r w:rsidRPr="008B5A6F">
              <w:rPr>
                <w:sz w:val="18"/>
                <w:szCs w:val="18"/>
              </w:rPr>
              <w:t xml:space="preserve"> 17,523 (58.2)</w:t>
            </w:r>
          </w:p>
        </w:tc>
        <w:tc>
          <w:tcPr>
            <w:tcW w:w="1170" w:type="dxa"/>
            <w:tcBorders>
              <w:top w:val="single" w:sz="4" w:space="0" w:color="auto"/>
              <w:left w:val="single" w:sz="4" w:space="0" w:color="auto"/>
              <w:bottom w:val="single" w:sz="4" w:space="0" w:color="auto"/>
              <w:right w:val="single" w:sz="4" w:space="0" w:color="auto"/>
            </w:tcBorders>
          </w:tcPr>
          <w:p w14:paraId="4408F3DD" w14:textId="766B89F8" w:rsidR="00012AF6" w:rsidRPr="008B5A6F" w:rsidRDefault="00012AF6" w:rsidP="00026AF6">
            <w:pPr>
              <w:jc w:val="center"/>
              <w:rPr>
                <w:sz w:val="18"/>
                <w:szCs w:val="18"/>
              </w:rPr>
            </w:pPr>
            <w:r w:rsidRPr="008B5A6F">
              <w:rPr>
                <w:sz w:val="18"/>
                <w:szCs w:val="18"/>
              </w:rPr>
              <w:t>14,990</w:t>
            </w:r>
            <w:r w:rsidR="00FF4415" w:rsidRPr="008B5A6F">
              <w:rPr>
                <w:sz w:val="18"/>
                <w:szCs w:val="18"/>
              </w:rPr>
              <w:t xml:space="preserve"> ± </w:t>
            </w:r>
            <w:r w:rsidRPr="008B5A6F">
              <w:rPr>
                <w:sz w:val="18"/>
                <w:szCs w:val="18"/>
              </w:rPr>
              <w:t xml:space="preserve"> 22,715 (22.1)</w:t>
            </w:r>
          </w:p>
        </w:tc>
        <w:tc>
          <w:tcPr>
            <w:tcW w:w="1530" w:type="dxa"/>
            <w:tcBorders>
              <w:top w:val="single" w:sz="4" w:space="0" w:color="auto"/>
              <w:left w:val="single" w:sz="4" w:space="0" w:color="auto"/>
              <w:bottom w:val="single" w:sz="4" w:space="0" w:color="auto"/>
              <w:right w:val="single" w:sz="4" w:space="0" w:color="auto"/>
            </w:tcBorders>
          </w:tcPr>
          <w:p w14:paraId="26803383" w14:textId="1698D898" w:rsidR="00012AF6" w:rsidRPr="008B5A6F" w:rsidRDefault="00012AF6" w:rsidP="00026AF6">
            <w:pPr>
              <w:jc w:val="center"/>
              <w:rPr>
                <w:sz w:val="18"/>
                <w:szCs w:val="18"/>
              </w:rPr>
            </w:pPr>
            <w:r w:rsidRPr="008B5A6F">
              <w:rPr>
                <w:sz w:val="18"/>
                <w:szCs w:val="18"/>
              </w:rPr>
              <w:t>22,147</w:t>
            </w:r>
            <w:r w:rsidR="00FF4415" w:rsidRPr="008B5A6F">
              <w:rPr>
                <w:sz w:val="18"/>
                <w:szCs w:val="18"/>
              </w:rPr>
              <w:t xml:space="preserve"> ± </w:t>
            </w:r>
            <w:r w:rsidRPr="008B5A6F">
              <w:rPr>
                <w:sz w:val="18"/>
                <w:szCs w:val="18"/>
              </w:rPr>
              <w:t xml:space="preserve"> 9,709 (6.2)</w:t>
            </w:r>
          </w:p>
        </w:tc>
        <w:tc>
          <w:tcPr>
            <w:tcW w:w="805" w:type="dxa"/>
            <w:tcBorders>
              <w:top w:val="single" w:sz="4" w:space="0" w:color="auto"/>
              <w:left w:val="single" w:sz="4" w:space="0" w:color="auto"/>
              <w:bottom w:val="single" w:sz="4" w:space="0" w:color="auto"/>
              <w:right w:val="single" w:sz="4" w:space="0" w:color="auto"/>
            </w:tcBorders>
          </w:tcPr>
          <w:p w14:paraId="1F44F458" w14:textId="77777777" w:rsidR="00012AF6" w:rsidRPr="008B5A6F" w:rsidRDefault="00012AF6" w:rsidP="00026AF6">
            <w:pPr>
              <w:jc w:val="center"/>
              <w:rPr>
                <w:sz w:val="18"/>
                <w:szCs w:val="18"/>
              </w:rPr>
            </w:pPr>
            <w:r w:rsidRPr="008B5A6F">
              <w:rPr>
                <w:sz w:val="18"/>
                <w:szCs w:val="18"/>
              </w:rPr>
              <w:t>22,271</w:t>
            </w:r>
          </w:p>
        </w:tc>
      </w:tr>
      <w:tr w:rsidR="00FF4415" w:rsidRPr="008B5A6F" w14:paraId="0211AB17" w14:textId="77777777" w:rsidTr="00E8316F">
        <w:trPr>
          <w:trHeight w:val="270"/>
        </w:trPr>
        <w:tc>
          <w:tcPr>
            <w:tcW w:w="1525" w:type="dxa"/>
            <w:vMerge w:val="restart"/>
            <w:tcBorders>
              <w:top w:val="single" w:sz="4" w:space="0" w:color="auto"/>
              <w:left w:val="single" w:sz="4" w:space="0" w:color="auto"/>
              <w:bottom w:val="single" w:sz="4" w:space="0" w:color="auto"/>
              <w:right w:val="single" w:sz="4" w:space="0" w:color="auto"/>
            </w:tcBorders>
          </w:tcPr>
          <w:p w14:paraId="502AE7CC" w14:textId="7A26DE5D" w:rsidR="00012AF6" w:rsidRPr="008B5A6F" w:rsidRDefault="00012AF6" w:rsidP="00026AF6">
            <w:pPr>
              <w:rPr>
                <w:sz w:val="18"/>
                <w:szCs w:val="18"/>
              </w:rPr>
            </w:pPr>
            <w:r w:rsidRPr="008B5A6F">
              <w:rPr>
                <w:sz w:val="18"/>
                <w:szCs w:val="18"/>
              </w:rPr>
              <w:t>VP vs. CMM</w:t>
            </w:r>
            <w:r w:rsidR="00ED781C" w:rsidRPr="008B5A6F">
              <w:rPr>
                <w:sz w:val="18"/>
                <w:szCs w:val="18"/>
              </w:rPr>
              <w:t xml:space="preserve">, </w:t>
            </w:r>
            <w:r w:rsidRPr="008B5A6F">
              <w:rPr>
                <w:sz w:val="18"/>
                <w:szCs w:val="18"/>
              </w:rPr>
              <w:t>outpatient</w:t>
            </w:r>
          </w:p>
        </w:tc>
        <w:tc>
          <w:tcPr>
            <w:tcW w:w="1260" w:type="dxa"/>
            <w:tcBorders>
              <w:top w:val="single" w:sz="4" w:space="0" w:color="auto"/>
              <w:left w:val="single" w:sz="4" w:space="0" w:color="auto"/>
              <w:bottom w:val="single" w:sz="4" w:space="0" w:color="auto"/>
              <w:right w:val="single" w:sz="4" w:space="0" w:color="auto"/>
            </w:tcBorders>
          </w:tcPr>
          <w:p w14:paraId="190B51A2" w14:textId="77777777" w:rsidR="00012AF6" w:rsidRPr="008B5A6F" w:rsidRDefault="00012AF6" w:rsidP="00026AF6">
            <w:pPr>
              <w:jc w:val="center"/>
              <w:rPr>
                <w:sz w:val="18"/>
                <w:szCs w:val="18"/>
              </w:rPr>
            </w:pPr>
            <w:r w:rsidRPr="008B5A6F">
              <w:rPr>
                <w:sz w:val="18"/>
                <w:szCs w:val="18"/>
              </w:rPr>
              <w:t>VP</w:t>
            </w:r>
          </w:p>
        </w:tc>
        <w:tc>
          <w:tcPr>
            <w:tcW w:w="1097" w:type="dxa"/>
            <w:tcBorders>
              <w:top w:val="single" w:sz="4" w:space="0" w:color="auto"/>
              <w:left w:val="single" w:sz="4" w:space="0" w:color="auto"/>
              <w:bottom w:val="single" w:sz="4" w:space="0" w:color="auto"/>
              <w:right w:val="single" w:sz="4" w:space="0" w:color="auto"/>
            </w:tcBorders>
          </w:tcPr>
          <w:p w14:paraId="62476321" w14:textId="00BA0F79" w:rsidR="00012AF6" w:rsidRPr="008B5A6F" w:rsidRDefault="00012AF6" w:rsidP="00026AF6">
            <w:pPr>
              <w:jc w:val="center"/>
              <w:rPr>
                <w:sz w:val="18"/>
                <w:szCs w:val="18"/>
              </w:rPr>
            </w:pPr>
            <w:r w:rsidRPr="008B5A6F">
              <w:rPr>
                <w:sz w:val="18"/>
                <w:szCs w:val="18"/>
              </w:rPr>
              <w:t>7,003</w:t>
            </w:r>
            <w:r w:rsidR="00FF4415" w:rsidRPr="008B5A6F">
              <w:rPr>
                <w:sz w:val="18"/>
                <w:szCs w:val="18"/>
              </w:rPr>
              <w:t xml:space="preserve"> ± </w:t>
            </w:r>
            <w:r w:rsidRPr="008B5A6F">
              <w:rPr>
                <w:sz w:val="18"/>
                <w:szCs w:val="18"/>
              </w:rPr>
              <w:t xml:space="preserve"> 6,465 (43.6)</w:t>
            </w:r>
          </w:p>
        </w:tc>
        <w:tc>
          <w:tcPr>
            <w:tcW w:w="1243" w:type="dxa"/>
            <w:tcBorders>
              <w:top w:val="single" w:sz="4" w:space="0" w:color="auto"/>
              <w:left w:val="single" w:sz="4" w:space="0" w:color="auto"/>
              <w:bottom w:val="single" w:sz="4" w:space="0" w:color="auto"/>
              <w:right w:val="single" w:sz="4" w:space="0" w:color="auto"/>
            </w:tcBorders>
          </w:tcPr>
          <w:p w14:paraId="67B2DA6D" w14:textId="7CF036AC" w:rsidR="00012AF6" w:rsidRPr="008B5A6F" w:rsidRDefault="00012AF6" w:rsidP="00026AF6">
            <w:pPr>
              <w:jc w:val="center"/>
              <w:rPr>
                <w:sz w:val="18"/>
                <w:szCs w:val="18"/>
              </w:rPr>
            </w:pPr>
            <w:r w:rsidRPr="008B5A6F">
              <w:rPr>
                <w:sz w:val="18"/>
                <w:szCs w:val="18"/>
              </w:rPr>
              <w:t>20,877</w:t>
            </w:r>
            <w:r w:rsidR="00FF4415" w:rsidRPr="008B5A6F">
              <w:rPr>
                <w:sz w:val="18"/>
                <w:szCs w:val="18"/>
              </w:rPr>
              <w:t xml:space="preserve"> ± </w:t>
            </w:r>
            <w:r w:rsidRPr="008B5A6F">
              <w:rPr>
                <w:sz w:val="18"/>
                <w:szCs w:val="18"/>
              </w:rPr>
              <w:t xml:space="preserve"> 18,429 (26.8)</w:t>
            </w:r>
          </w:p>
        </w:tc>
        <w:tc>
          <w:tcPr>
            <w:tcW w:w="1170" w:type="dxa"/>
            <w:tcBorders>
              <w:top w:val="single" w:sz="4" w:space="0" w:color="auto"/>
              <w:left w:val="single" w:sz="4" w:space="0" w:color="auto"/>
              <w:bottom w:val="single" w:sz="4" w:space="0" w:color="auto"/>
              <w:right w:val="single" w:sz="4" w:space="0" w:color="auto"/>
            </w:tcBorders>
          </w:tcPr>
          <w:p w14:paraId="537287F3" w14:textId="266E5AA6" w:rsidR="00012AF6" w:rsidRPr="008B5A6F" w:rsidRDefault="00012AF6" w:rsidP="00026AF6">
            <w:pPr>
              <w:jc w:val="center"/>
              <w:rPr>
                <w:sz w:val="18"/>
                <w:szCs w:val="18"/>
              </w:rPr>
            </w:pPr>
            <w:r w:rsidRPr="008B5A6F">
              <w:rPr>
                <w:sz w:val="18"/>
                <w:szCs w:val="18"/>
              </w:rPr>
              <w:t>13,863: 21,334 (9.5)</w:t>
            </w:r>
          </w:p>
        </w:tc>
        <w:tc>
          <w:tcPr>
            <w:tcW w:w="1530" w:type="dxa"/>
            <w:tcBorders>
              <w:top w:val="single" w:sz="4" w:space="0" w:color="auto"/>
              <w:left w:val="single" w:sz="4" w:space="0" w:color="auto"/>
              <w:bottom w:val="single" w:sz="4" w:space="0" w:color="auto"/>
              <w:right w:val="single" w:sz="4" w:space="0" w:color="auto"/>
            </w:tcBorders>
          </w:tcPr>
          <w:p w14:paraId="6BD654E2" w14:textId="7298628D" w:rsidR="00012AF6" w:rsidRPr="008B5A6F" w:rsidRDefault="00012AF6" w:rsidP="00026AF6">
            <w:pPr>
              <w:jc w:val="center"/>
              <w:rPr>
                <w:sz w:val="18"/>
                <w:szCs w:val="18"/>
              </w:rPr>
            </w:pPr>
            <w:r w:rsidRPr="008B5A6F">
              <w:rPr>
                <w:sz w:val="18"/>
                <w:szCs w:val="18"/>
              </w:rPr>
              <w:t>22,068</w:t>
            </w:r>
            <w:r w:rsidR="00FF4415" w:rsidRPr="008B5A6F">
              <w:rPr>
                <w:sz w:val="18"/>
                <w:szCs w:val="18"/>
              </w:rPr>
              <w:t xml:space="preserve"> ± </w:t>
            </w:r>
            <w:r w:rsidRPr="008B5A6F">
              <w:rPr>
                <w:sz w:val="18"/>
                <w:szCs w:val="18"/>
              </w:rPr>
              <w:t xml:space="preserve"> 8,383 (6.6)</w:t>
            </w:r>
          </w:p>
        </w:tc>
        <w:tc>
          <w:tcPr>
            <w:tcW w:w="805" w:type="dxa"/>
            <w:tcBorders>
              <w:top w:val="single" w:sz="4" w:space="0" w:color="auto"/>
              <w:left w:val="single" w:sz="4" w:space="0" w:color="auto"/>
              <w:bottom w:val="single" w:sz="4" w:space="0" w:color="auto"/>
              <w:right w:val="single" w:sz="4" w:space="0" w:color="auto"/>
            </w:tcBorders>
          </w:tcPr>
          <w:p w14:paraId="1883599D" w14:textId="77777777" w:rsidR="00012AF6" w:rsidRPr="008B5A6F" w:rsidRDefault="00012AF6" w:rsidP="00026AF6">
            <w:pPr>
              <w:jc w:val="center"/>
              <w:rPr>
                <w:sz w:val="18"/>
                <w:szCs w:val="18"/>
              </w:rPr>
            </w:pPr>
            <w:r w:rsidRPr="008B5A6F">
              <w:rPr>
                <w:sz w:val="18"/>
                <w:szCs w:val="18"/>
              </w:rPr>
              <w:t>11,422</w:t>
            </w:r>
          </w:p>
        </w:tc>
      </w:tr>
      <w:tr w:rsidR="00FF4415" w:rsidRPr="008B5A6F" w14:paraId="25E41FC4" w14:textId="77777777" w:rsidTr="00E8316F">
        <w:trPr>
          <w:trHeight w:val="270"/>
        </w:trPr>
        <w:tc>
          <w:tcPr>
            <w:tcW w:w="1525" w:type="dxa"/>
            <w:vMerge/>
            <w:tcBorders>
              <w:top w:val="nil"/>
              <w:left w:val="single" w:sz="4" w:space="0" w:color="auto"/>
              <w:bottom w:val="single" w:sz="4" w:space="0" w:color="auto"/>
              <w:right w:val="single" w:sz="4" w:space="0" w:color="auto"/>
            </w:tcBorders>
          </w:tcPr>
          <w:p w14:paraId="7ADD36AB" w14:textId="77777777" w:rsidR="00012AF6" w:rsidRPr="008B5A6F" w:rsidRDefault="00012AF6" w:rsidP="00026AF6">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3872980" w14:textId="77777777" w:rsidR="00012AF6" w:rsidRPr="008B5A6F" w:rsidRDefault="00012AF6" w:rsidP="00026AF6">
            <w:pPr>
              <w:jc w:val="center"/>
              <w:rPr>
                <w:sz w:val="18"/>
                <w:szCs w:val="18"/>
              </w:rPr>
            </w:pPr>
            <w:r w:rsidRPr="008B5A6F">
              <w:rPr>
                <w:sz w:val="18"/>
                <w:szCs w:val="18"/>
              </w:rPr>
              <w:t>CMM</w:t>
            </w:r>
          </w:p>
        </w:tc>
        <w:tc>
          <w:tcPr>
            <w:tcW w:w="1097" w:type="dxa"/>
            <w:tcBorders>
              <w:top w:val="single" w:sz="4" w:space="0" w:color="auto"/>
              <w:left w:val="single" w:sz="4" w:space="0" w:color="auto"/>
              <w:bottom w:val="single" w:sz="4" w:space="0" w:color="auto"/>
              <w:right w:val="single" w:sz="4" w:space="0" w:color="auto"/>
            </w:tcBorders>
          </w:tcPr>
          <w:p w14:paraId="434FC2C8" w14:textId="5B09A9AA" w:rsidR="00012AF6" w:rsidRPr="008B5A6F" w:rsidRDefault="00012AF6" w:rsidP="00026AF6">
            <w:pPr>
              <w:jc w:val="center"/>
              <w:rPr>
                <w:sz w:val="18"/>
                <w:szCs w:val="18"/>
              </w:rPr>
            </w:pPr>
            <w:r w:rsidRPr="008B5A6F">
              <w:rPr>
                <w:sz w:val="18"/>
                <w:szCs w:val="18"/>
              </w:rPr>
              <w:t>7,408</w:t>
            </w:r>
            <w:r w:rsidR="00FF4415" w:rsidRPr="008B5A6F">
              <w:rPr>
                <w:sz w:val="18"/>
                <w:szCs w:val="18"/>
              </w:rPr>
              <w:t xml:space="preserve"> ± </w:t>
            </w:r>
            <w:r w:rsidRPr="008B5A6F">
              <w:rPr>
                <w:sz w:val="18"/>
                <w:szCs w:val="18"/>
              </w:rPr>
              <w:t xml:space="preserve"> 6,829 (41.4)</w:t>
            </w:r>
          </w:p>
        </w:tc>
        <w:tc>
          <w:tcPr>
            <w:tcW w:w="1243" w:type="dxa"/>
            <w:tcBorders>
              <w:top w:val="single" w:sz="4" w:space="0" w:color="auto"/>
              <w:left w:val="single" w:sz="4" w:space="0" w:color="auto"/>
              <w:bottom w:val="single" w:sz="4" w:space="0" w:color="auto"/>
              <w:right w:val="single" w:sz="4" w:space="0" w:color="auto"/>
            </w:tcBorders>
          </w:tcPr>
          <w:p w14:paraId="65F03DBB" w14:textId="1CBED512" w:rsidR="00012AF6" w:rsidRPr="008B5A6F" w:rsidRDefault="00012AF6" w:rsidP="00026AF6">
            <w:pPr>
              <w:jc w:val="center"/>
              <w:rPr>
                <w:sz w:val="18"/>
                <w:szCs w:val="18"/>
              </w:rPr>
            </w:pPr>
            <w:r w:rsidRPr="008B5A6F">
              <w:rPr>
                <w:sz w:val="18"/>
                <w:szCs w:val="18"/>
              </w:rPr>
              <w:t>21,380</w:t>
            </w:r>
            <w:r w:rsidR="00FF4415" w:rsidRPr="008B5A6F">
              <w:rPr>
                <w:sz w:val="18"/>
                <w:szCs w:val="18"/>
              </w:rPr>
              <w:t xml:space="preserve"> ± </w:t>
            </w:r>
            <w:r w:rsidRPr="008B5A6F">
              <w:rPr>
                <w:sz w:val="18"/>
                <w:szCs w:val="18"/>
              </w:rPr>
              <w:t xml:space="preserve"> 16,667 (28.7)</w:t>
            </w:r>
          </w:p>
        </w:tc>
        <w:tc>
          <w:tcPr>
            <w:tcW w:w="1170" w:type="dxa"/>
            <w:tcBorders>
              <w:top w:val="single" w:sz="4" w:space="0" w:color="auto"/>
              <w:left w:val="single" w:sz="4" w:space="0" w:color="auto"/>
              <w:bottom w:val="single" w:sz="4" w:space="0" w:color="auto"/>
              <w:right w:val="single" w:sz="4" w:space="0" w:color="auto"/>
            </w:tcBorders>
          </w:tcPr>
          <w:p w14:paraId="4C7D2F49" w14:textId="6000E61C" w:rsidR="00012AF6" w:rsidRPr="008B5A6F" w:rsidRDefault="00012AF6" w:rsidP="00026AF6">
            <w:pPr>
              <w:jc w:val="center"/>
              <w:rPr>
                <w:sz w:val="18"/>
                <w:szCs w:val="18"/>
              </w:rPr>
            </w:pPr>
            <w:r w:rsidRPr="008B5A6F">
              <w:rPr>
                <w:sz w:val="18"/>
                <w:szCs w:val="18"/>
              </w:rPr>
              <w:t>16,044</w:t>
            </w:r>
            <w:r w:rsidR="00FF4415" w:rsidRPr="008B5A6F">
              <w:rPr>
                <w:sz w:val="18"/>
                <w:szCs w:val="18"/>
              </w:rPr>
              <w:t xml:space="preserve"> ± </w:t>
            </w:r>
            <w:r w:rsidRPr="008B5A6F">
              <w:rPr>
                <w:sz w:val="18"/>
                <w:szCs w:val="18"/>
              </w:rPr>
              <w:t xml:space="preserve"> 20,742 (12.0)</w:t>
            </w:r>
          </w:p>
        </w:tc>
        <w:tc>
          <w:tcPr>
            <w:tcW w:w="1530" w:type="dxa"/>
            <w:tcBorders>
              <w:top w:val="single" w:sz="4" w:space="0" w:color="auto"/>
              <w:left w:val="single" w:sz="4" w:space="0" w:color="auto"/>
              <w:bottom w:val="single" w:sz="4" w:space="0" w:color="auto"/>
              <w:right w:val="single" w:sz="4" w:space="0" w:color="auto"/>
            </w:tcBorders>
          </w:tcPr>
          <w:p w14:paraId="798BE320" w14:textId="1D88A075" w:rsidR="00012AF6" w:rsidRPr="008B5A6F" w:rsidRDefault="00012AF6" w:rsidP="00026AF6">
            <w:pPr>
              <w:jc w:val="center"/>
              <w:rPr>
                <w:sz w:val="18"/>
                <w:szCs w:val="18"/>
              </w:rPr>
            </w:pPr>
            <w:r w:rsidRPr="008B5A6F">
              <w:rPr>
                <w:sz w:val="18"/>
                <w:szCs w:val="18"/>
              </w:rPr>
              <w:t>22,228</w:t>
            </w:r>
            <w:r w:rsidR="00FF4415" w:rsidRPr="008B5A6F">
              <w:rPr>
                <w:sz w:val="18"/>
                <w:szCs w:val="18"/>
              </w:rPr>
              <w:t xml:space="preserve"> ± </w:t>
            </w:r>
            <w:r w:rsidRPr="008B5A6F">
              <w:rPr>
                <w:sz w:val="18"/>
                <w:szCs w:val="18"/>
              </w:rPr>
              <w:t xml:space="preserve"> 11,398 (4.2)</w:t>
            </w:r>
          </w:p>
        </w:tc>
        <w:tc>
          <w:tcPr>
            <w:tcW w:w="805" w:type="dxa"/>
            <w:tcBorders>
              <w:top w:val="single" w:sz="4" w:space="0" w:color="auto"/>
              <w:left w:val="single" w:sz="4" w:space="0" w:color="auto"/>
              <w:bottom w:val="single" w:sz="4" w:space="0" w:color="auto"/>
              <w:right w:val="single" w:sz="4" w:space="0" w:color="auto"/>
            </w:tcBorders>
          </w:tcPr>
          <w:p w14:paraId="06953A24" w14:textId="77777777" w:rsidR="00012AF6" w:rsidRPr="008B5A6F" w:rsidRDefault="00012AF6" w:rsidP="00026AF6">
            <w:pPr>
              <w:jc w:val="center"/>
              <w:rPr>
                <w:sz w:val="18"/>
                <w:szCs w:val="18"/>
              </w:rPr>
            </w:pPr>
            <w:r w:rsidRPr="008B5A6F">
              <w:rPr>
                <w:sz w:val="18"/>
                <w:szCs w:val="18"/>
              </w:rPr>
              <w:t>12,062</w:t>
            </w:r>
          </w:p>
        </w:tc>
      </w:tr>
    </w:tbl>
    <w:p w14:paraId="0F9EE800" w14:textId="6E1CC44F" w:rsidR="00436772" w:rsidRPr="008B5A6F" w:rsidRDefault="00436772" w:rsidP="00012AF6">
      <w:proofErr w:type="spellStart"/>
      <w:r w:rsidRPr="008B5A6F">
        <w:rPr>
          <w:vertAlign w:val="superscript"/>
        </w:rPr>
        <w:t>a</w:t>
      </w:r>
      <w:r w:rsidRPr="008B5A6F">
        <w:t>data</w:t>
      </w:r>
      <w:proofErr w:type="spellEnd"/>
      <w:r w:rsidRPr="008B5A6F">
        <w:t xml:space="preserve"> are presented as mean ± SD (%)</w:t>
      </w:r>
      <w:r w:rsidR="00587D11" w:rsidRPr="008B5A6F">
        <w:t>. Gamma distributions used to represent uncertainty</w:t>
      </w:r>
    </w:p>
    <w:p w14:paraId="7E7041E4" w14:textId="77777777" w:rsidR="00B91E11" w:rsidRPr="008B5A6F" w:rsidRDefault="00436772" w:rsidP="00012AF6">
      <w:proofErr w:type="spellStart"/>
      <w:r w:rsidRPr="008B5A6F">
        <w:rPr>
          <w:vertAlign w:val="superscript"/>
        </w:rPr>
        <w:t>b</w:t>
      </w:r>
      <w:r w:rsidR="00587D11" w:rsidRPr="008B5A6F">
        <w:t>Total</w:t>
      </w:r>
      <w:proofErr w:type="spellEnd"/>
      <w:r w:rsidR="00587D11" w:rsidRPr="008B5A6F">
        <w:t xml:space="preserve"> cost a</w:t>
      </w:r>
      <w:r w:rsidR="00012AF6" w:rsidRPr="008B5A6F">
        <w:t>fter adjusting for the proportion</w:t>
      </w:r>
      <w:r w:rsidR="004532E0" w:rsidRPr="008B5A6F">
        <w:t xml:space="preserve"> with care by setting</w:t>
      </w:r>
    </w:p>
    <w:p w14:paraId="3B2C7F04" w14:textId="77777777" w:rsidR="00B91E11" w:rsidRPr="008B5A6F" w:rsidRDefault="00B91E11" w:rsidP="00012AF6">
      <w:r w:rsidRPr="008B5A6F">
        <w:t>Values based on Propensity-Score matched cohorts in an analysis of CMS claims data.</w:t>
      </w:r>
    </w:p>
    <w:p w14:paraId="7F43C6F7" w14:textId="77777777" w:rsidR="00B91E11" w:rsidRPr="008B5A6F" w:rsidRDefault="00B91E11" w:rsidP="00012AF6"/>
    <w:p w14:paraId="3BA36DE2" w14:textId="351199BD" w:rsidR="00012AF6" w:rsidRPr="008B5A6F" w:rsidRDefault="00012AF6" w:rsidP="00012AF6">
      <w:r w:rsidRPr="008B5A6F">
        <w:br/>
      </w:r>
    </w:p>
    <w:p w14:paraId="0B01097F" w14:textId="57C1B4EC" w:rsidR="00012AF6" w:rsidRPr="008B5A6F" w:rsidRDefault="00012AF6" w:rsidP="00556D05">
      <w:pPr>
        <w:pStyle w:val="Caption"/>
        <w:keepNext/>
        <w:rPr>
          <w:vertAlign w:val="superscript"/>
        </w:rPr>
      </w:pPr>
      <w:bookmarkStart w:id="9" w:name="_Ref12264130"/>
      <w:bookmarkStart w:id="10" w:name="_Ref12264104"/>
      <w:r w:rsidRPr="008B5A6F">
        <w:t xml:space="preserve">Table </w:t>
      </w:r>
      <w:bookmarkEnd w:id="9"/>
      <w:r w:rsidR="00887BBA" w:rsidRPr="008B5A6F">
        <w:t>S6</w:t>
      </w:r>
      <w:r w:rsidRPr="008B5A6F">
        <w:t xml:space="preserve">: Mean </w:t>
      </w:r>
      <w:r w:rsidR="009F7502" w:rsidRPr="008B5A6F">
        <w:t>2</w:t>
      </w:r>
      <w:r w:rsidRPr="008B5A6F">
        <w:t>-year costs of post-fracture outpatient care</w:t>
      </w:r>
      <w:bookmarkEnd w:id="10"/>
      <w:r w:rsidR="0001216C" w:rsidRPr="008B5A6F">
        <w:t xml:space="preserve"> (USD)</w:t>
      </w:r>
      <w:r w:rsidR="00F36C5C" w:rsidRPr="008B5A6F">
        <w:rPr>
          <w:vertAlign w:val="superscript"/>
        </w:rPr>
        <w:t>a</w:t>
      </w:r>
    </w:p>
    <w:p w14:paraId="2B1D320E" w14:textId="77777777" w:rsidR="004941AC" w:rsidRPr="008B5A6F" w:rsidRDefault="004941AC" w:rsidP="00556D05">
      <w:pPr>
        <w:keepNext/>
        <w:rPr>
          <w:lang w:eastAsia="en-US"/>
        </w:rPr>
      </w:pPr>
    </w:p>
    <w:tbl>
      <w:tblPr>
        <w:tblStyle w:val="TableGrid"/>
        <w:tblW w:w="5107" w:type="pct"/>
        <w:tblLook w:val="04A0" w:firstRow="1" w:lastRow="0" w:firstColumn="1" w:lastColumn="0" w:noHBand="0" w:noVBand="1"/>
      </w:tblPr>
      <w:tblGrid>
        <w:gridCol w:w="4526"/>
        <w:gridCol w:w="2595"/>
        <w:gridCol w:w="2807"/>
        <w:gridCol w:w="3299"/>
      </w:tblGrid>
      <w:tr w:rsidR="00012AF6" w:rsidRPr="008B5A6F" w14:paraId="58C2678D" w14:textId="77777777" w:rsidTr="00CC781F">
        <w:trPr>
          <w:tblHeader/>
        </w:trPr>
        <w:tc>
          <w:tcPr>
            <w:tcW w:w="1711" w:type="pct"/>
            <w:tcBorders>
              <w:bottom w:val="single" w:sz="4" w:space="0" w:color="auto"/>
            </w:tcBorders>
            <w:shd w:val="clear" w:color="auto" w:fill="D9D9D9" w:themeFill="background1" w:themeFillShade="D9"/>
          </w:tcPr>
          <w:p w14:paraId="41D5FFF0" w14:textId="77777777" w:rsidR="00012AF6" w:rsidRPr="008B5A6F" w:rsidRDefault="00012AF6" w:rsidP="00026AF6">
            <w:pPr>
              <w:jc w:val="center"/>
              <w:rPr>
                <w:b/>
                <w:bCs/>
              </w:rPr>
            </w:pPr>
            <w:r w:rsidRPr="008B5A6F">
              <w:rPr>
                <w:b/>
                <w:bCs/>
              </w:rPr>
              <w:t>Treatment comparison and setting</w:t>
            </w:r>
          </w:p>
        </w:tc>
        <w:tc>
          <w:tcPr>
            <w:tcW w:w="981" w:type="pct"/>
            <w:tcBorders>
              <w:bottom w:val="single" w:sz="4" w:space="0" w:color="auto"/>
            </w:tcBorders>
            <w:shd w:val="clear" w:color="auto" w:fill="D9D9D9" w:themeFill="background1" w:themeFillShade="D9"/>
          </w:tcPr>
          <w:p w14:paraId="49C879DF" w14:textId="77777777" w:rsidR="00012AF6" w:rsidRPr="008B5A6F" w:rsidRDefault="00012AF6" w:rsidP="00026AF6">
            <w:pPr>
              <w:jc w:val="center"/>
              <w:rPr>
                <w:b/>
                <w:bCs/>
              </w:rPr>
            </w:pPr>
            <w:r w:rsidRPr="008B5A6F">
              <w:rPr>
                <w:b/>
                <w:bCs/>
              </w:rPr>
              <w:t>Treatment group</w:t>
            </w:r>
          </w:p>
        </w:tc>
        <w:tc>
          <w:tcPr>
            <w:tcW w:w="1061" w:type="pct"/>
            <w:tcBorders>
              <w:bottom w:val="single" w:sz="4" w:space="0" w:color="auto"/>
            </w:tcBorders>
            <w:shd w:val="clear" w:color="auto" w:fill="D9D9D9" w:themeFill="background1" w:themeFillShade="D9"/>
          </w:tcPr>
          <w:p w14:paraId="2AF83821" w14:textId="69A4AA0D" w:rsidR="00012AF6" w:rsidRPr="008B5A6F" w:rsidRDefault="00012AF6" w:rsidP="00026AF6">
            <w:pPr>
              <w:jc w:val="center"/>
              <w:rPr>
                <w:b/>
                <w:bCs/>
              </w:rPr>
            </w:pPr>
            <w:r w:rsidRPr="008B5A6F">
              <w:rPr>
                <w:b/>
                <w:bCs/>
              </w:rPr>
              <w:t>2-year outpatient costs</w:t>
            </w:r>
          </w:p>
        </w:tc>
        <w:tc>
          <w:tcPr>
            <w:tcW w:w="1247" w:type="pct"/>
            <w:tcBorders>
              <w:bottom w:val="single" w:sz="4" w:space="0" w:color="auto"/>
            </w:tcBorders>
            <w:shd w:val="clear" w:color="auto" w:fill="D9D9D9" w:themeFill="background1" w:themeFillShade="D9"/>
          </w:tcPr>
          <w:p w14:paraId="0F8E14D8" w14:textId="555B1BAE" w:rsidR="00012AF6" w:rsidRPr="008B5A6F" w:rsidRDefault="00012AF6" w:rsidP="00026AF6">
            <w:pPr>
              <w:jc w:val="center"/>
              <w:rPr>
                <w:b/>
                <w:bCs/>
                <w:vertAlign w:val="superscript"/>
              </w:rPr>
            </w:pPr>
            <w:r w:rsidRPr="008B5A6F">
              <w:rPr>
                <w:b/>
                <w:bCs/>
              </w:rPr>
              <w:t xml:space="preserve">Per-cycle outpatient </w:t>
            </w:r>
            <w:proofErr w:type="spellStart"/>
            <w:r w:rsidRPr="008B5A6F">
              <w:rPr>
                <w:b/>
                <w:bCs/>
              </w:rPr>
              <w:t>costs</w:t>
            </w:r>
            <w:r w:rsidR="00CC781F" w:rsidRPr="008B5A6F">
              <w:rPr>
                <w:b/>
                <w:bCs/>
                <w:vertAlign w:val="superscript"/>
              </w:rPr>
              <w:t>b</w:t>
            </w:r>
            <w:proofErr w:type="spellEnd"/>
          </w:p>
        </w:tc>
      </w:tr>
      <w:tr w:rsidR="00012AF6" w:rsidRPr="008B5A6F" w14:paraId="12BEA90F" w14:textId="77777777" w:rsidTr="00CC781F">
        <w:trPr>
          <w:trHeight w:val="270"/>
        </w:trPr>
        <w:tc>
          <w:tcPr>
            <w:tcW w:w="1711" w:type="pct"/>
            <w:vMerge w:val="restart"/>
            <w:tcBorders>
              <w:top w:val="single" w:sz="4" w:space="0" w:color="auto"/>
              <w:left w:val="single" w:sz="4" w:space="0" w:color="auto"/>
              <w:bottom w:val="single" w:sz="4" w:space="0" w:color="auto"/>
              <w:right w:val="single" w:sz="4" w:space="0" w:color="auto"/>
            </w:tcBorders>
          </w:tcPr>
          <w:p w14:paraId="350B7832" w14:textId="5D5889E2" w:rsidR="00012AF6" w:rsidRPr="008B5A6F" w:rsidRDefault="00012AF6" w:rsidP="00026AF6">
            <w:r w:rsidRPr="008B5A6F">
              <w:t>BKP vs. CMM</w:t>
            </w:r>
            <w:r w:rsidR="0001216C" w:rsidRPr="008B5A6F">
              <w:t xml:space="preserve">, </w:t>
            </w:r>
            <w:r w:rsidRPr="008B5A6F">
              <w:t>inpatient</w:t>
            </w:r>
          </w:p>
        </w:tc>
        <w:tc>
          <w:tcPr>
            <w:tcW w:w="981" w:type="pct"/>
            <w:tcBorders>
              <w:top w:val="single" w:sz="4" w:space="0" w:color="auto"/>
              <w:left w:val="single" w:sz="4" w:space="0" w:color="auto"/>
              <w:bottom w:val="nil"/>
              <w:right w:val="single" w:sz="4" w:space="0" w:color="auto"/>
            </w:tcBorders>
          </w:tcPr>
          <w:p w14:paraId="140EE631" w14:textId="77777777" w:rsidR="00012AF6" w:rsidRPr="008B5A6F" w:rsidRDefault="00012AF6" w:rsidP="00026AF6">
            <w:pPr>
              <w:jc w:val="center"/>
            </w:pPr>
            <w:r w:rsidRPr="008B5A6F">
              <w:t>BKP</w:t>
            </w:r>
          </w:p>
        </w:tc>
        <w:tc>
          <w:tcPr>
            <w:tcW w:w="1061" w:type="pct"/>
            <w:tcBorders>
              <w:top w:val="single" w:sz="4" w:space="0" w:color="auto"/>
              <w:left w:val="single" w:sz="4" w:space="0" w:color="auto"/>
              <w:bottom w:val="nil"/>
              <w:right w:val="single" w:sz="4" w:space="0" w:color="auto"/>
            </w:tcBorders>
          </w:tcPr>
          <w:p w14:paraId="1AA198FB" w14:textId="06C441DA" w:rsidR="00012AF6" w:rsidRPr="008B5A6F" w:rsidRDefault="00012AF6" w:rsidP="00026AF6">
            <w:pPr>
              <w:jc w:val="center"/>
            </w:pPr>
            <w:r w:rsidRPr="008B5A6F">
              <w:t xml:space="preserve">4,221 </w:t>
            </w:r>
            <w:r w:rsidR="00F12675" w:rsidRPr="008B5A6F">
              <w:t xml:space="preserve">± </w:t>
            </w:r>
            <w:r w:rsidRPr="008B5A6F">
              <w:t>5,765</w:t>
            </w:r>
          </w:p>
        </w:tc>
        <w:tc>
          <w:tcPr>
            <w:tcW w:w="1247" w:type="pct"/>
            <w:tcBorders>
              <w:top w:val="single" w:sz="4" w:space="0" w:color="auto"/>
              <w:left w:val="single" w:sz="4" w:space="0" w:color="auto"/>
              <w:bottom w:val="nil"/>
              <w:right w:val="single" w:sz="4" w:space="0" w:color="auto"/>
            </w:tcBorders>
          </w:tcPr>
          <w:p w14:paraId="44768AFB" w14:textId="77777777" w:rsidR="00012AF6" w:rsidRPr="008B5A6F" w:rsidRDefault="00012AF6" w:rsidP="006B4DB2">
            <w:pPr>
              <w:tabs>
                <w:tab w:val="decimal" w:pos="1276"/>
              </w:tabs>
            </w:pPr>
            <w:r w:rsidRPr="008B5A6F">
              <w:t>1,055</w:t>
            </w:r>
          </w:p>
        </w:tc>
      </w:tr>
      <w:tr w:rsidR="00012AF6" w:rsidRPr="008B5A6F" w14:paraId="3DBFF58A" w14:textId="77777777" w:rsidTr="00CC781F">
        <w:trPr>
          <w:trHeight w:val="270"/>
        </w:trPr>
        <w:tc>
          <w:tcPr>
            <w:tcW w:w="1711" w:type="pct"/>
            <w:vMerge/>
            <w:tcBorders>
              <w:top w:val="nil"/>
              <w:left w:val="single" w:sz="4" w:space="0" w:color="auto"/>
              <w:bottom w:val="single" w:sz="4" w:space="0" w:color="auto"/>
              <w:right w:val="single" w:sz="4" w:space="0" w:color="auto"/>
            </w:tcBorders>
          </w:tcPr>
          <w:p w14:paraId="3768712D" w14:textId="77777777" w:rsidR="00012AF6" w:rsidRPr="008B5A6F" w:rsidRDefault="00012AF6" w:rsidP="00026AF6"/>
        </w:tc>
        <w:tc>
          <w:tcPr>
            <w:tcW w:w="981" w:type="pct"/>
            <w:tcBorders>
              <w:top w:val="nil"/>
              <w:left w:val="single" w:sz="4" w:space="0" w:color="auto"/>
              <w:bottom w:val="single" w:sz="4" w:space="0" w:color="auto"/>
              <w:right w:val="single" w:sz="4" w:space="0" w:color="auto"/>
            </w:tcBorders>
          </w:tcPr>
          <w:p w14:paraId="3CCAA530" w14:textId="77777777" w:rsidR="00012AF6" w:rsidRPr="008B5A6F" w:rsidRDefault="00012AF6" w:rsidP="00026AF6">
            <w:pPr>
              <w:jc w:val="center"/>
            </w:pPr>
            <w:r w:rsidRPr="008B5A6F">
              <w:t>CMM</w:t>
            </w:r>
          </w:p>
        </w:tc>
        <w:tc>
          <w:tcPr>
            <w:tcW w:w="1061" w:type="pct"/>
            <w:tcBorders>
              <w:top w:val="nil"/>
              <w:left w:val="single" w:sz="4" w:space="0" w:color="auto"/>
              <w:bottom w:val="single" w:sz="4" w:space="0" w:color="auto"/>
              <w:right w:val="single" w:sz="4" w:space="0" w:color="auto"/>
            </w:tcBorders>
          </w:tcPr>
          <w:p w14:paraId="452FF41C" w14:textId="4F4613D5" w:rsidR="00012AF6" w:rsidRPr="008B5A6F" w:rsidRDefault="00012AF6" w:rsidP="00026AF6">
            <w:pPr>
              <w:jc w:val="center"/>
            </w:pPr>
            <w:r w:rsidRPr="008B5A6F">
              <w:t>3,043</w:t>
            </w:r>
            <w:r w:rsidR="00F12675" w:rsidRPr="008B5A6F">
              <w:t xml:space="preserve"> ± </w:t>
            </w:r>
            <w:r w:rsidRPr="008B5A6F">
              <w:t>5,884</w:t>
            </w:r>
          </w:p>
        </w:tc>
        <w:tc>
          <w:tcPr>
            <w:tcW w:w="1247" w:type="pct"/>
            <w:tcBorders>
              <w:top w:val="nil"/>
              <w:left w:val="single" w:sz="4" w:space="0" w:color="auto"/>
              <w:bottom w:val="single" w:sz="4" w:space="0" w:color="auto"/>
              <w:right w:val="single" w:sz="4" w:space="0" w:color="auto"/>
            </w:tcBorders>
          </w:tcPr>
          <w:p w14:paraId="5BB4AF8F" w14:textId="77777777" w:rsidR="00012AF6" w:rsidRPr="008B5A6F" w:rsidRDefault="00012AF6" w:rsidP="006B4DB2">
            <w:pPr>
              <w:tabs>
                <w:tab w:val="decimal" w:pos="1276"/>
              </w:tabs>
            </w:pPr>
            <w:r w:rsidRPr="008B5A6F">
              <w:t>761</w:t>
            </w:r>
          </w:p>
        </w:tc>
      </w:tr>
      <w:tr w:rsidR="00012AF6" w:rsidRPr="008B5A6F" w14:paraId="6290077B" w14:textId="77777777" w:rsidTr="00CC781F">
        <w:trPr>
          <w:trHeight w:val="270"/>
        </w:trPr>
        <w:tc>
          <w:tcPr>
            <w:tcW w:w="1711" w:type="pct"/>
            <w:vMerge w:val="restart"/>
            <w:tcBorders>
              <w:top w:val="single" w:sz="4" w:space="0" w:color="auto"/>
              <w:left w:val="single" w:sz="4" w:space="0" w:color="auto"/>
              <w:bottom w:val="single" w:sz="4" w:space="0" w:color="auto"/>
              <w:right w:val="single" w:sz="4" w:space="0" w:color="auto"/>
            </w:tcBorders>
          </w:tcPr>
          <w:p w14:paraId="083B7AE4" w14:textId="358D3E79" w:rsidR="00012AF6" w:rsidRPr="008B5A6F" w:rsidRDefault="00012AF6" w:rsidP="00026AF6">
            <w:r w:rsidRPr="008B5A6F">
              <w:lastRenderedPageBreak/>
              <w:t>BKP vs. CMM</w:t>
            </w:r>
            <w:r w:rsidR="0001216C" w:rsidRPr="008B5A6F">
              <w:t xml:space="preserve">, </w:t>
            </w:r>
            <w:r w:rsidRPr="008B5A6F">
              <w:t>outpatient</w:t>
            </w:r>
          </w:p>
        </w:tc>
        <w:tc>
          <w:tcPr>
            <w:tcW w:w="981" w:type="pct"/>
            <w:tcBorders>
              <w:top w:val="single" w:sz="4" w:space="0" w:color="auto"/>
              <w:left w:val="single" w:sz="4" w:space="0" w:color="auto"/>
              <w:bottom w:val="nil"/>
              <w:right w:val="single" w:sz="4" w:space="0" w:color="auto"/>
            </w:tcBorders>
          </w:tcPr>
          <w:p w14:paraId="6CE62271" w14:textId="77777777" w:rsidR="00012AF6" w:rsidRPr="008B5A6F" w:rsidRDefault="00012AF6" w:rsidP="00026AF6">
            <w:pPr>
              <w:jc w:val="center"/>
            </w:pPr>
            <w:r w:rsidRPr="008B5A6F">
              <w:t>BKP</w:t>
            </w:r>
          </w:p>
        </w:tc>
        <w:tc>
          <w:tcPr>
            <w:tcW w:w="1061" w:type="pct"/>
            <w:tcBorders>
              <w:top w:val="single" w:sz="4" w:space="0" w:color="auto"/>
              <w:left w:val="single" w:sz="4" w:space="0" w:color="auto"/>
              <w:bottom w:val="nil"/>
              <w:right w:val="single" w:sz="4" w:space="0" w:color="auto"/>
            </w:tcBorders>
          </w:tcPr>
          <w:p w14:paraId="53C429EF" w14:textId="5D6B0F9D" w:rsidR="00012AF6" w:rsidRPr="008B5A6F" w:rsidRDefault="00012AF6" w:rsidP="00026AF6">
            <w:pPr>
              <w:jc w:val="center"/>
            </w:pPr>
            <w:r w:rsidRPr="008B5A6F">
              <w:t>5,326</w:t>
            </w:r>
            <w:r w:rsidR="00F12675" w:rsidRPr="008B5A6F">
              <w:t xml:space="preserve"> ± </w:t>
            </w:r>
            <w:r w:rsidRPr="008B5A6F">
              <w:t>6,823</w:t>
            </w:r>
          </w:p>
        </w:tc>
        <w:tc>
          <w:tcPr>
            <w:tcW w:w="1247" w:type="pct"/>
            <w:tcBorders>
              <w:top w:val="single" w:sz="4" w:space="0" w:color="auto"/>
              <w:left w:val="single" w:sz="4" w:space="0" w:color="auto"/>
              <w:bottom w:val="nil"/>
              <w:right w:val="single" w:sz="4" w:space="0" w:color="auto"/>
            </w:tcBorders>
          </w:tcPr>
          <w:p w14:paraId="27898A6C" w14:textId="77777777" w:rsidR="00012AF6" w:rsidRPr="008B5A6F" w:rsidRDefault="00012AF6" w:rsidP="006B4DB2">
            <w:pPr>
              <w:tabs>
                <w:tab w:val="decimal" w:pos="1276"/>
              </w:tabs>
            </w:pPr>
            <w:r w:rsidRPr="008B5A6F">
              <w:t>1,332</w:t>
            </w:r>
          </w:p>
        </w:tc>
      </w:tr>
      <w:tr w:rsidR="00012AF6" w:rsidRPr="008B5A6F" w14:paraId="40A1A509" w14:textId="77777777" w:rsidTr="00CC781F">
        <w:trPr>
          <w:trHeight w:val="270"/>
        </w:trPr>
        <w:tc>
          <w:tcPr>
            <w:tcW w:w="1711" w:type="pct"/>
            <w:vMerge/>
            <w:tcBorders>
              <w:top w:val="nil"/>
              <w:left w:val="single" w:sz="4" w:space="0" w:color="auto"/>
              <w:bottom w:val="single" w:sz="4" w:space="0" w:color="auto"/>
              <w:right w:val="single" w:sz="4" w:space="0" w:color="auto"/>
            </w:tcBorders>
          </w:tcPr>
          <w:p w14:paraId="4A7BE701" w14:textId="77777777" w:rsidR="00012AF6" w:rsidRPr="008B5A6F" w:rsidRDefault="00012AF6" w:rsidP="00026AF6"/>
        </w:tc>
        <w:tc>
          <w:tcPr>
            <w:tcW w:w="981" w:type="pct"/>
            <w:tcBorders>
              <w:top w:val="nil"/>
              <w:left w:val="single" w:sz="4" w:space="0" w:color="auto"/>
              <w:bottom w:val="single" w:sz="4" w:space="0" w:color="auto"/>
              <w:right w:val="single" w:sz="4" w:space="0" w:color="auto"/>
            </w:tcBorders>
          </w:tcPr>
          <w:p w14:paraId="0E59EBBB" w14:textId="77777777" w:rsidR="00012AF6" w:rsidRPr="008B5A6F" w:rsidRDefault="00012AF6" w:rsidP="00026AF6">
            <w:pPr>
              <w:jc w:val="center"/>
            </w:pPr>
            <w:r w:rsidRPr="008B5A6F">
              <w:t>CMM</w:t>
            </w:r>
          </w:p>
        </w:tc>
        <w:tc>
          <w:tcPr>
            <w:tcW w:w="1061" w:type="pct"/>
            <w:tcBorders>
              <w:top w:val="nil"/>
              <w:left w:val="single" w:sz="4" w:space="0" w:color="auto"/>
              <w:bottom w:val="single" w:sz="4" w:space="0" w:color="auto"/>
              <w:right w:val="single" w:sz="4" w:space="0" w:color="auto"/>
            </w:tcBorders>
          </w:tcPr>
          <w:p w14:paraId="2AB51AA9" w14:textId="25D96203" w:rsidR="00012AF6" w:rsidRPr="008B5A6F" w:rsidRDefault="00012AF6" w:rsidP="00026AF6">
            <w:pPr>
              <w:jc w:val="center"/>
            </w:pPr>
            <w:r w:rsidRPr="008B5A6F">
              <w:t>4,250</w:t>
            </w:r>
            <w:r w:rsidR="00F12675" w:rsidRPr="008B5A6F">
              <w:t xml:space="preserve"> ± </w:t>
            </w:r>
            <w:r w:rsidRPr="008B5A6F">
              <w:t>6,206</w:t>
            </w:r>
          </w:p>
        </w:tc>
        <w:tc>
          <w:tcPr>
            <w:tcW w:w="1247" w:type="pct"/>
            <w:tcBorders>
              <w:top w:val="nil"/>
              <w:left w:val="single" w:sz="4" w:space="0" w:color="auto"/>
              <w:bottom w:val="single" w:sz="4" w:space="0" w:color="auto"/>
              <w:right w:val="single" w:sz="4" w:space="0" w:color="auto"/>
            </w:tcBorders>
          </w:tcPr>
          <w:p w14:paraId="00CC81F1" w14:textId="77777777" w:rsidR="00012AF6" w:rsidRPr="008B5A6F" w:rsidRDefault="00012AF6" w:rsidP="006B4DB2">
            <w:pPr>
              <w:tabs>
                <w:tab w:val="decimal" w:pos="1276"/>
              </w:tabs>
            </w:pPr>
            <w:r w:rsidRPr="008B5A6F">
              <w:t>1,062</w:t>
            </w:r>
          </w:p>
        </w:tc>
      </w:tr>
      <w:tr w:rsidR="00012AF6" w:rsidRPr="008B5A6F" w14:paraId="0745C7BD" w14:textId="77777777" w:rsidTr="00CC781F">
        <w:trPr>
          <w:trHeight w:val="270"/>
        </w:trPr>
        <w:tc>
          <w:tcPr>
            <w:tcW w:w="1711" w:type="pct"/>
            <w:vMerge w:val="restart"/>
            <w:tcBorders>
              <w:top w:val="single" w:sz="4" w:space="0" w:color="auto"/>
              <w:left w:val="single" w:sz="4" w:space="0" w:color="auto"/>
              <w:bottom w:val="single" w:sz="4" w:space="0" w:color="auto"/>
              <w:right w:val="single" w:sz="4" w:space="0" w:color="auto"/>
            </w:tcBorders>
          </w:tcPr>
          <w:p w14:paraId="144523BD" w14:textId="343BC86B" w:rsidR="00012AF6" w:rsidRPr="008B5A6F" w:rsidRDefault="00012AF6" w:rsidP="00026AF6">
            <w:r w:rsidRPr="008B5A6F">
              <w:t>VP vs. CMM</w:t>
            </w:r>
            <w:r w:rsidR="0001216C" w:rsidRPr="008B5A6F">
              <w:t xml:space="preserve">, </w:t>
            </w:r>
            <w:r w:rsidRPr="008B5A6F">
              <w:t>inpatient</w:t>
            </w:r>
          </w:p>
        </w:tc>
        <w:tc>
          <w:tcPr>
            <w:tcW w:w="981" w:type="pct"/>
            <w:tcBorders>
              <w:top w:val="single" w:sz="4" w:space="0" w:color="auto"/>
              <w:left w:val="single" w:sz="4" w:space="0" w:color="auto"/>
              <w:bottom w:val="nil"/>
              <w:right w:val="single" w:sz="4" w:space="0" w:color="auto"/>
            </w:tcBorders>
          </w:tcPr>
          <w:p w14:paraId="3B78C3F4" w14:textId="77777777" w:rsidR="00012AF6" w:rsidRPr="008B5A6F" w:rsidRDefault="00012AF6" w:rsidP="00026AF6">
            <w:pPr>
              <w:jc w:val="center"/>
            </w:pPr>
            <w:r w:rsidRPr="008B5A6F">
              <w:t>VP</w:t>
            </w:r>
          </w:p>
        </w:tc>
        <w:tc>
          <w:tcPr>
            <w:tcW w:w="1061" w:type="pct"/>
            <w:tcBorders>
              <w:top w:val="single" w:sz="4" w:space="0" w:color="auto"/>
              <w:left w:val="single" w:sz="4" w:space="0" w:color="auto"/>
              <w:bottom w:val="nil"/>
              <w:right w:val="single" w:sz="4" w:space="0" w:color="auto"/>
            </w:tcBorders>
          </w:tcPr>
          <w:p w14:paraId="23024D9F" w14:textId="4A355BE8" w:rsidR="00012AF6" w:rsidRPr="008B5A6F" w:rsidRDefault="00012AF6" w:rsidP="00026AF6">
            <w:pPr>
              <w:jc w:val="center"/>
            </w:pPr>
            <w:r w:rsidRPr="008B5A6F">
              <w:t>4,412</w:t>
            </w:r>
            <w:r w:rsidR="006B4DB2" w:rsidRPr="008B5A6F">
              <w:t xml:space="preserve"> ± </w:t>
            </w:r>
            <w:r w:rsidRPr="008B5A6F">
              <w:t>6,305</w:t>
            </w:r>
          </w:p>
        </w:tc>
        <w:tc>
          <w:tcPr>
            <w:tcW w:w="1247" w:type="pct"/>
            <w:tcBorders>
              <w:top w:val="single" w:sz="4" w:space="0" w:color="auto"/>
              <w:left w:val="single" w:sz="4" w:space="0" w:color="auto"/>
              <w:bottom w:val="nil"/>
              <w:right w:val="single" w:sz="4" w:space="0" w:color="auto"/>
            </w:tcBorders>
          </w:tcPr>
          <w:p w14:paraId="2A688868" w14:textId="77777777" w:rsidR="00012AF6" w:rsidRPr="008B5A6F" w:rsidRDefault="00012AF6" w:rsidP="006B4DB2">
            <w:pPr>
              <w:tabs>
                <w:tab w:val="decimal" w:pos="1276"/>
              </w:tabs>
            </w:pPr>
            <w:r w:rsidRPr="008B5A6F">
              <w:t>1,103</w:t>
            </w:r>
          </w:p>
        </w:tc>
      </w:tr>
      <w:tr w:rsidR="00012AF6" w:rsidRPr="008B5A6F" w14:paraId="5BBFEF1D" w14:textId="77777777" w:rsidTr="00CC781F">
        <w:trPr>
          <w:trHeight w:val="270"/>
        </w:trPr>
        <w:tc>
          <w:tcPr>
            <w:tcW w:w="1711" w:type="pct"/>
            <w:vMerge/>
            <w:tcBorders>
              <w:top w:val="nil"/>
              <w:left w:val="single" w:sz="4" w:space="0" w:color="auto"/>
              <w:bottom w:val="single" w:sz="4" w:space="0" w:color="auto"/>
              <w:right w:val="single" w:sz="4" w:space="0" w:color="auto"/>
            </w:tcBorders>
          </w:tcPr>
          <w:p w14:paraId="1B0C5BDA" w14:textId="77777777" w:rsidR="00012AF6" w:rsidRPr="008B5A6F" w:rsidRDefault="00012AF6" w:rsidP="00026AF6"/>
        </w:tc>
        <w:tc>
          <w:tcPr>
            <w:tcW w:w="981" w:type="pct"/>
            <w:tcBorders>
              <w:top w:val="nil"/>
              <w:left w:val="single" w:sz="4" w:space="0" w:color="auto"/>
              <w:bottom w:val="single" w:sz="4" w:space="0" w:color="auto"/>
              <w:right w:val="single" w:sz="4" w:space="0" w:color="auto"/>
            </w:tcBorders>
          </w:tcPr>
          <w:p w14:paraId="442C8AE5" w14:textId="77777777" w:rsidR="00012AF6" w:rsidRPr="008B5A6F" w:rsidRDefault="00012AF6" w:rsidP="00026AF6">
            <w:pPr>
              <w:jc w:val="center"/>
            </w:pPr>
            <w:r w:rsidRPr="008B5A6F">
              <w:t>CMM</w:t>
            </w:r>
          </w:p>
        </w:tc>
        <w:tc>
          <w:tcPr>
            <w:tcW w:w="1061" w:type="pct"/>
            <w:tcBorders>
              <w:top w:val="nil"/>
              <w:left w:val="single" w:sz="4" w:space="0" w:color="auto"/>
              <w:bottom w:val="single" w:sz="4" w:space="0" w:color="auto"/>
              <w:right w:val="single" w:sz="4" w:space="0" w:color="auto"/>
            </w:tcBorders>
          </w:tcPr>
          <w:p w14:paraId="7BD93EB7" w14:textId="1DD01FD8" w:rsidR="00012AF6" w:rsidRPr="008B5A6F" w:rsidRDefault="00012AF6" w:rsidP="00026AF6">
            <w:pPr>
              <w:jc w:val="center"/>
            </w:pPr>
            <w:r w:rsidRPr="008B5A6F">
              <w:t>3,821</w:t>
            </w:r>
            <w:r w:rsidR="006B4DB2" w:rsidRPr="008B5A6F">
              <w:t xml:space="preserve"> ± </w:t>
            </w:r>
            <w:r w:rsidRPr="008B5A6F">
              <w:t>6,050</w:t>
            </w:r>
          </w:p>
        </w:tc>
        <w:tc>
          <w:tcPr>
            <w:tcW w:w="1247" w:type="pct"/>
            <w:tcBorders>
              <w:top w:val="nil"/>
              <w:left w:val="single" w:sz="4" w:space="0" w:color="auto"/>
              <w:bottom w:val="single" w:sz="4" w:space="0" w:color="auto"/>
              <w:right w:val="single" w:sz="4" w:space="0" w:color="auto"/>
            </w:tcBorders>
          </w:tcPr>
          <w:p w14:paraId="5847F647" w14:textId="77777777" w:rsidR="00012AF6" w:rsidRPr="008B5A6F" w:rsidRDefault="00012AF6" w:rsidP="006B4DB2">
            <w:pPr>
              <w:tabs>
                <w:tab w:val="decimal" w:pos="1276"/>
              </w:tabs>
            </w:pPr>
            <w:r w:rsidRPr="008B5A6F">
              <w:t>955</w:t>
            </w:r>
          </w:p>
        </w:tc>
      </w:tr>
      <w:tr w:rsidR="00012AF6" w:rsidRPr="008B5A6F" w14:paraId="13839F8D" w14:textId="77777777" w:rsidTr="00CC781F">
        <w:trPr>
          <w:trHeight w:val="270"/>
        </w:trPr>
        <w:tc>
          <w:tcPr>
            <w:tcW w:w="1711" w:type="pct"/>
            <w:vMerge w:val="restart"/>
            <w:tcBorders>
              <w:top w:val="single" w:sz="4" w:space="0" w:color="auto"/>
              <w:left w:val="single" w:sz="4" w:space="0" w:color="auto"/>
              <w:bottom w:val="single" w:sz="4" w:space="0" w:color="auto"/>
              <w:right w:val="single" w:sz="4" w:space="0" w:color="auto"/>
            </w:tcBorders>
          </w:tcPr>
          <w:p w14:paraId="6D4505E5" w14:textId="014E1CD8" w:rsidR="00012AF6" w:rsidRPr="008B5A6F" w:rsidRDefault="00012AF6" w:rsidP="00026AF6">
            <w:r w:rsidRPr="008B5A6F">
              <w:t>VP vs. CMM</w:t>
            </w:r>
            <w:r w:rsidR="0001216C" w:rsidRPr="008B5A6F">
              <w:t xml:space="preserve">, </w:t>
            </w:r>
            <w:r w:rsidRPr="008B5A6F">
              <w:t>inpatient</w:t>
            </w:r>
          </w:p>
        </w:tc>
        <w:tc>
          <w:tcPr>
            <w:tcW w:w="981" w:type="pct"/>
            <w:tcBorders>
              <w:top w:val="single" w:sz="4" w:space="0" w:color="auto"/>
              <w:left w:val="single" w:sz="4" w:space="0" w:color="auto"/>
              <w:bottom w:val="nil"/>
              <w:right w:val="single" w:sz="4" w:space="0" w:color="auto"/>
            </w:tcBorders>
          </w:tcPr>
          <w:p w14:paraId="0C0024A5" w14:textId="77777777" w:rsidR="00012AF6" w:rsidRPr="008B5A6F" w:rsidRDefault="00012AF6" w:rsidP="00026AF6">
            <w:pPr>
              <w:jc w:val="center"/>
            </w:pPr>
            <w:r w:rsidRPr="008B5A6F">
              <w:t>VP</w:t>
            </w:r>
          </w:p>
        </w:tc>
        <w:tc>
          <w:tcPr>
            <w:tcW w:w="1061" w:type="pct"/>
            <w:tcBorders>
              <w:top w:val="single" w:sz="4" w:space="0" w:color="auto"/>
              <w:left w:val="single" w:sz="4" w:space="0" w:color="auto"/>
              <w:bottom w:val="nil"/>
              <w:right w:val="single" w:sz="4" w:space="0" w:color="auto"/>
            </w:tcBorders>
          </w:tcPr>
          <w:p w14:paraId="7C8A8A8E" w14:textId="459DFE40" w:rsidR="00012AF6" w:rsidRPr="008B5A6F" w:rsidRDefault="00012AF6" w:rsidP="00026AF6">
            <w:pPr>
              <w:jc w:val="center"/>
            </w:pPr>
            <w:r w:rsidRPr="008B5A6F">
              <w:t>5,250</w:t>
            </w:r>
            <w:r w:rsidR="006B4DB2" w:rsidRPr="008B5A6F">
              <w:t xml:space="preserve"> ± </w:t>
            </w:r>
            <w:r w:rsidRPr="008B5A6F">
              <w:t>6,645</w:t>
            </w:r>
          </w:p>
        </w:tc>
        <w:tc>
          <w:tcPr>
            <w:tcW w:w="1247" w:type="pct"/>
            <w:tcBorders>
              <w:top w:val="single" w:sz="4" w:space="0" w:color="auto"/>
              <w:left w:val="single" w:sz="4" w:space="0" w:color="auto"/>
              <w:bottom w:val="nil"/>
              <w:right w:val="single" w:sz="4" w:space="0" w:color="auto"/>
            </w:tcBorders>
          </w:tcPr>
          <w:p w14:paraId="69F267C3" w14:textId="77777777" w:rsidR="00012AF6" w:rsidRPr="008B5A6F" w:rsidRDefault="00012AF6" w:rsidP="006B4DB2">
            <w:pPr>
              <w:tabs>
                <w:tab w:val="decimal" w:pos="1276"/>
              </w:tabs>
            </w:pPr>
            <w:r w:rsidRPr="008B5A6F">
              <w:t>1,313</w:t>
            </w:r>
          </w:p>
        </w:tc>
      </w:tr>
      <w:tr w:rsidR="00012AF6" w:rsidRPr="008B5A6F" w14:paraId="6D3538CD" w14:textId="77777777" w:rsidTr="00CC781F">
        <w:trPr>
          <w:trHeight w:val="270"/>
        </w:trPr>
        <w:tc>
          <w:tcPr>
            <w:tcW w:w="1711" w:type="pct"/>
            <w:vMerge/>
            <w:tcBorders>
              <w:top w:val="nil"/>
              <w:left w:val="single" w:sz="4" w:space="0" w:color="auto"/>
              <w:bottom w:val="single" w:sz="4" w:space="0" w:color="auto"/>
              <w:right w:val="single" w:sz="4" w:space="0" w:color="auto"/>
            </w:tcBorders>
          </w:tcPr>
          <w:p w14:paraId="3B8C936E" w14:textId="77777777" w:rsidR="00012AF6" w:rsidRPr="008B5A6F" w:rsidRDefault="00012AF6" w:rsidP="00026AF6"/>
        </w:tc>
        <w:tc>
          <w:tcPr>
            <w:tcW w:w="981" w:type="pct"/>
            <w:tcBorders>
              <w:top w:val="nil"/>
              <w:left w:val="single" w:sz="4" w:space="0" w:color="auto"/>
              <w:bottom w:val="single" w:sz="4" w:space="0" w:color="auto"/>
              <w:right w:val="single" w:sz="4" w:space="0" w:color="auto"/>
            </w:tcBorders>
          </w:tcPr>
          <w:p w14:paraId="1B00A713" w14:textId="77777777" w:rsidR="00012AF6" w:rsidRPr="008B5A6F" w:rsidRDefault="00012AF6" w:rsidP="00026AF6">
            <w:pPr>
              <w:jc w:val="center"/>
            </w:pPr>
            <w:r w:rsidRPr="008B5A6F">
              <w:t>CMM</w:t>
            </w:r>
          </w:p>
        </w:tc>
        <w:tc>
          <w:tcPr>
            <w:tcW w:w="1061" w:type="pct"/>
            <w:tcBorders>
              <w:top w:val="nil"/>
              <w:left w:val="single" w:sz="4" w:space="0" w:color="auto"/>
              <w:bottom w:val="single" w:sz="4" w:space="0" w:color="auto"/>
              <w:right w:val="single" w:sz="4" w:space="0" w:color="auto"/>
            </w:tcBorders>
          </w:tcPr>
          <w:p w14:paraId="03163BA7" w14:textId="6B064848" w:rsidR="00012AF6" w:rsidRPr="008B5A6F" w:rsidRDefault="00012AF6" w:rsidP="00026AF6">
            <w:pPr>
              <w:jc w:val="center"/>
            </w:pPr>
            <w:r w:rsidRPr="008B5A6F">
              <w:t>3,980</w:t>
            </w:r>
            <w:r w:rsidR="006B4DB2" w:rsidRPr="008B5A6F">
              <w:t xml:space="preserve"> ± </w:t>
            </w:r>
            <w:r w:rsidRPr="008B5A6F">
              <w:t>5,897</w:t>
            </w:r>
          </w:p>
        </w:tc>
        <w:tc>
          <w:tcPr>
            <w:tcW w:w="1247" w:type="pct"/>
            <w:tcBorders>
              <w:top w:val="nil"/>
              <w:left w:val="single" w:sz="4" w:space="0" w:color="auto"/>
              <w:bottom w:val="single" w:sz="4" w:space="0" w:color="auto"/>
              <w:right w:val="single" w:sz="4" w:space="0" w:color="auto"/>
            </w:tcBorders>
          </w:tcPr>
          <w:p w14:paraId="06FB2E8B" w14:textId="77777777" w:rsidR="00012AF6" w:rsidRPr="008B5A6F" w:rsidRDefault="00012AF6" w:rsidP="006B4DB2">
            <w:pPr>
              <w:tabs>
                <w:tab w:val="decimal" w:pos="1276"/>
              </w:tabs>
            </w:pPr>
            <w:r w:rsidRPr="008B5A6F">
              <w:t>995</w:t>
            </w:r>
          </w:p>
        </w:tc>
      </w:tr>
    </w:tbl>
    <w:p w14:paraId="5C921C8A" w14:textId="7B4727AD" w:rsidR="00CC781F" w:rsidRPr="008B5A6F" w:rsidRDefault="00CC781F" w:rsidP="00012AF6">
      <w:proofErr w:type="spellStart"/>
      <w:r w:rsidRPr="008B5A6F">
        <w:rPr>
          <w:vertAlign w:val="superscript"/>
        </w:rPr>
        <w:t>a</w:t>
      </w:r>
      <w:r w:rsidRPr="008B5A6F">
        <w:t>Data</w:t>
      </w:r>
      <w:proofErr w:type="spellEnd"/>
      <w:r w:rsidRPr="008B5A6F">
        <w:t xml:space="preserve"> presented as mean ± SD. Gamma distributions used to represent uncertainty</w:t>
      </w:r>
    </w:p>
    <w:p w14:paraId="2847B9EC" w14:textId="77777777" w:rsidR="00B91E11" w:rsidRPr="008B5A6F" w:rsidRDefault="00CC781F" w:rsidP="00012AF6">
      <w:proofErr w:type="spellStart"/>
      <w:r w:rsidRPr="008B5A6F">
        <w:rPr>
          <w:vertAlign w:val="superscript"/>
        </w:rPr>
        <w:t>b</w:t>
      </w:r>
      <w:r w:rsidR="00012AF6" w:rsidRPr="008B5A6F">
        <w:t>Applied</w:t>
      </w:r>
      <w:proofErr w:type="spellEnd"/>
      <w:r w:rsidR="00012AF6" w:rsidRPr="008B5A6F">
        <w:t xml:space="preserve"> in the first four model cycles</w:t>
      </w:r>
    </w:p>
    <w:p w14:paraId="2DD10B0C" w14:textId="62B45BB6" w:rsidR="00012AF6" w:rsidRPr="008B5A6F" w:rsidRDefault="00B91E11" w:rsidP="00012AF6">
      <w:r w:rsidRPr="008B5A6F">
        <w:t>Values based on Propensity-Score matched cohorts in an analysis of CMS claims data.</w:t>
      </w:r>
      <w:r w:rsidR="00012AF6" w:rsidRPr="008B5A6F">
        <w:br/>
      </w:r>
    </w:p>
    <w:p w14:paraId="47A19C5B" w14:textId="77777777" w:rsidR="00012AF6" w:rsidRPr="008B5A6F" w:rsidRDefault="00012AF6" w:rsidP="00012AF6"/>
    <w:p w14:paraId="1DF83676" w14:textId="77777777" w:rsidR="00012AF6" w:rsidRPr="008B5A6F" w:rsidRDefault="00012AF6" w:rsidP="00012AF6"/>
    <w:p w14:paraId="564E19D1" w14:textId="414F7170" w:rsidR="00012AF6" w:rsidRPr="008B5A6F" w:rsidRDefault="00012AF6" w:rsidP="00556D05">
      <w:pPr>
        <w:pStyle w:val="Caption"/>
        <w:keepNext/>
        <w:rPr>
          <w:vertAlign w:val="superscript"/>
        </w:rPr>
      </w:pPr>
      <w:bookmarkStart w:id="11" w:name="_Ref12271474"/>
      <w:r w:rsidRPr="008B5A6F">
        <w:t xml:space="preserve">Table </w:t>
      </w:r>
      <w:bookmarkEnd w:id="11"/>
      <w:r w:rsidR="0098325B" w:rsidRPr="008B5A6F">
        <w:t>S7</w:t>
      </w:r>
      <w:r w:rsidRPr="008B5A6F">
        <w:t xml:space="preserve">: Mean </w:t>
      </w:r>
      <w:r w:rsidR="00AD7F89" w:rsidRPr="008B5A6F">
        <w:t>inpatient</w:t>
      </w:r>
      <w:r w:rsidRPr="008B5A6F">
        <w:t xml:space="preserve"> cost for repeat fracture</w:t>
      </w:r>
      <w:r w:rsidR="00410299" w:rsidRPr="008B5A6F">
        <w:t xml:space="preserve">, </w:t>
      </w:r>
      <w:proofErr w:type="spellStart"/>
      <w:r w:rsidR="00410299" w:rsidRPr="008B5A6F">
        <w:t>USD</w:t>
      </w:r>
      <w:r w:rsidR="00451E7E" w:rsidRPr="008B5A6F">
        <w:rPr>
          <w:vertAlign w:val="superscript"/>
        </w:rPr>
        <w:t>a</w:t>
      </w:r>
      <w:proofErr w:type="spellEnd"/>
    </w:p>
    <w:p w14:paraId="58363D42" w14:textId="77777777" w:rsidR="004941AC" w:rsidRPr="008B5A6F" w:rsidRDefault="004941AC" w:rsidP="00556D05">
      <w:pPr>
        <w:keepNext/>
        <w:rPr>
          <w:lang w:eastAsia="en-US"/>
        </w:rPr>
      </w:pPr>
    </w:p>
    <w:tbl>
      <w:tblPr>
        <w:tblStyle w:val="TableGrid"/>
        <w:tblW w:w="5000" w:type="pct"/>
        <w:tblLook w:val="04A0" w:firstRow="1" w:lastRow="0" w:firstColumn="1" w:lastColumn="0" w:noHBand="0" w:noVBand="1"/>
      </w:tblPr>
      <w:tblGrid>
        <w:gridCol w:w="4988"/>
        <w:gridCol w:w="3108"/>
        <w:gridCol w:w="4854"/>
      </w:tblGrid>
      <w:tr w:rsidR="00574D1F" w:rsidRPr="008B5A6F" w14:paraId="3CC40800" w14:textId="77777777" w:rsidTr="00574D1F">
        <w:trPr>
          <w:tblHeader/>
        </w:trPr>
        <w:tc>
          <w:tcPr>
            <w:tcW w:w="1926" w:type="pct"/>
            <w:shd w:val="clear" w:color="auto" w:fill="D9D9D9" w:themeFill="background1" w:themeFillShade="D9"/>
          </w:tcPr>
          <w:p w14:paraId="0D4155AC" w14:textId="77777777" w:rsidR="00012AF6" w:rsidRPr="008B5A6F" w:rsidRDefault="00012AF6" w:rsidP="00026AF6">
            <w:pPr>
              <w:jc w:val="center"/>
              <w:rPr>
                <w:b/>
                <w:bCs/>
              </w:rPr>
            </w:pPr>
            <w:r w:rsidRPr="008B5A6F">
              <w:rPr>
                <w:b/>
                <w:bCs/>
              </w:rPr>
              <w:t>Treatment comparison and setting</w:t>
            </w:r>
          </w:p>
        </w:tc>
        <w:tc>
          <w:tcPr>
            <w:tcW w:w="1200" w:type="pct"/>
            <w:shd w:val="clear" w:color="auto" w:fill="D9D9D9" w:themeFill="background1" w:themeFillShade="D9"/>
          </w:tcPr>
          <w:p w14:paraId="1E806CCC" w14:textId="77777777" w:rsidR="00012AF6" w:rsidRPr="008B5A6F" w:rsidRDefault="00012AF6" w:rsidP="00026AF6">
            <w:pPr>
              <w:jc w:val="center"/>
              <w:rPr>
                <w:b/>
                <w:bCs/>
              </w:rPr>
            </w:pPr>
            <w:r w:rsidRPr="008B5A6F">
              <w:rPr>
                <w:b/>
                <w:bCs/>
              </w:rPr>
              <w:t>Treatment group</w:t>
            </w:r>
          </w:p>
        </w:tc>
        <w:tc>
          <w:tcPr>
            <w:tcW w:w="1874" w:type="pct"/>
            <w:shd w:val="clear" w:color="auto" w:fill="D9D9D9" w:themeFill="background1" w:themeFillShade="D9"/>
          </w:tcPr>
          <w:p w14:paraId="3FDA8243" w14:textId="111B4C92" w:rsidR="00012AF6" w:rsidRPr="008B5A6F" w:rsidRDefault="00B91E11" w:rsidP="00026AF6">
            <w:pPr>
              <w:jc w:val="center"/>
              <w:rPr>
                <w:b/>
                <w:bCs/>
                <w:vertAlign w:val="superscript"/>
              </w:rPr>
            </w:pPr>
            <w:r w:rsidRPr="008B5A6F">
              <w:rPr>
                <w:b/>
                <w:bCs/>
              </w:rPr>
              <w:t>Inpatient</w:t>
            </w:r>
            <w:r w:rsidR="00012AF6" w:rsidRPr="008B5A6F">
              <w:rPr>
                <w:b/>
                <w:bCs/>
              </w:rPr>
              <w:t xml:space="preserve"> cost for repeat fracture</w:t>
            </w:r>
          </w:p>
        </w:tc>
      </w:tr>
      <w:tr w:rsidR="00574D1F" w:rsidRPr="008B5A6F" w14:paraId="275C6F08" w14:textId="77777777" w:rsidTr="00574D1F">
        <w:trPr>
          <w:trHeight w:val="270"/>
        </w:trPr>
        <w:tc>
          <w:tcPr>
            <w:tcW w:w="1926" w:type="pct"/>
            <w:vMerge w:val="restart"/>
          </w:tcPr>
          <w:p w14:paraId="4773C2AA" w14:textId="6A752A88" w:rsidR="00012AF6" w:rsidRPr="008B5A6F" w:rsidRDefault="00012AF6" w:rsidP="00026AF6">
            <w:r w:rsidRPr="008B5A6F">
              <w:t>BKP versus CMM</w:t>
            </w:r>
            <w:r w:rsidR="004721B3" w:rsidRPr="008B5A6F">
              <w:t xml:space="preserve">, </w:t>
            </w:r>
            <w:r w:rsidRPr="008B5A6F">
              <w:t>inpatient</w:t>
            </w:r>
          </w:p>
        </w:tc>
        <w:tc>
          <w:tcPr>
            <w:tcW w:w="1200" w:type="pct"/>
          </w:tcPr>
          <w:p w14:paraId="3EFFC55B" w14:textId="77777777" w:rsidR="00012AF6" w:rsidRPr="008B5A6F" w:rsidRDefault="00012AF6" w:rsidP="00026AF6">
            <w:pPr>
              <w:jc w:val="center"/>
            </w:pPr>
            <w:r w:rsidRPr="008B5A6F">
              <w:t>BKP</w:t>
            </w:r>
          </w:p>
        </w:tc>
        <w:tc>
          <w:tcPr>
            <w:tcW w:w="1874" w:type="pct"/>
          </w:tcPr>
          <w:p w14:paraId="7543067A" w14:textId="2BF6AC21" w:rsidR="00012AF6" w:rsidRPr="008B5A6F" w:rsidRDefault="00012AF6" w:rsidP="00630E97">
            <w:pPr>
              <w:tabs>
                <w:tab w:val="decimal" w:pos="796"/>
              </w:tabs>
              <w:jc w:val="center"/>
            </w:pPr>
            <w:r w:rsidRPr="008B5A6F">
              <w:t xml:space="preserve">14,718 </w:t>
            </w:r>
            <w:r w:rsidR="00410299" w:rsidRPr="008B5A6F">
              <w:t xml:space="preserve">± </w:t>
            </w:r>
            <w:r w:rsidRPr="008B5A6F">
              <w:t>7,194</w:t>
            </w:r>
          </w:p>
        </w:tc>
      </w:tr>
      <w:tr w:rsidR="00574D1F" w:rsidRPr="008B5A6F" w14:paraId="06B92B7A" w14:textId="77777777" w:rsidTr="00574D1F">
        <w:trPr>
          <w:trHeight w:val="270"/>
        </w:trPr>
        <w:tc>
          <w:tcPr>
            <w:tcW w:w="1926" w:type="pct"/>
            <w:vMerge/>
          </w:tcPr>
          <w:p w14:paraId="201C515C" w14:textId="77777777" w:rsidR="00012AF6" w:rsidRPr="008B5A6F" w:rsidRDefault="00012AF6" w:rsidP="00026AF6"/>
        </w:tc>
        <w:tc>
          <w:tcPr>
            <w:tcW w:w="1200" w:type="pct"/>
          </w:tcPr>
          <w:p w14:paraId="796A0CE3" w14:textId="77777777" w:rsidR="00012AF6" w:rsidRPr="008B5A6F" w:rsidRDefault="00012AF6" w:rsidP="00026AF6">
            <w:pPr>
              <w:jc w:val="center"/>
            </w:pPr>
            <w:r w:rsidRPr="008B5A6F">
              <w:t>CMM</w:t>
            </w:r>
          </w:p>
        </w:tc>
        <w:tc>
          <w:tcPr>
            <w:tcW w:w="1874" w:type="pct"/>
          </w:tcPr>
          <w:p w14:paraId="747D51D4" w14:textId="4F4F6366" w:rsidR="00012AF6" w:rsidRPr="008B5A6F" w:rsidRDefault="00012AF6" w:rsidP="00630E97">
            <w:pPr>
              <w:tabs>
                <w:tab w:val="decimal" w:pos="796"/>
              </w:tabs>
              <w:jc w:val="center"/>
            </w:pPr>
            <w:r w:rsidRPr="008B5A6F">
              <w:t xml:space="preserve">7,698 </w:t>
            </w:r>
            <w:r w:rsidR="00410299" w:rsidRPr="008B5A6F">
              <w:t xml:space="preserve">± </w:t>
            </w:r>
            <w:r w:rsidRPr="008B5A6F">
              <w:t>4,017</w:t>
            </w:r>
          </w:p>
        </w:tc>
      </w:tr>
      <w:tr w:rsidR="00574D1F" w:rsidRPr="008B5A6F" w14:paraId="727B6F68" w14:textId="77777777" w:rsidTr="00574D1F">
        <w:trPr>
          <w:trHeight w:val="270"/>
        </w:trPr>
        <w:tc>
          <w:tcPr>
            <w:tcW w:w="1926" w:type="pct"/>
            <w:vMerge w:val="restart"/>
          </w:tcPr>
          <w:p w14:paraId="08C5ABBC" w14:textId="33F280A4" w:rsidR="00012AF6" w:rsidRPr="008B5A6F" w:rsidRDefault="00012AF6" w:rsidP="00026AF6">
            <w:r w:rsidRPr="008B5A6F">
              <w:t>BKP versus CMM</w:t>
            </w:r>
            <w:r w:rsidR="004721B3" w:rsidRPr="008B5A6F">
              <w:t xml:space="preserve">, </w:t>
            </w:r>
            <w:r w:rsidRPr="008B5A6F">
              <w:t>outpatient</w:t>
            </w:r>
          </w:p>
        </w:tc>
        <w:tc>
          <w:tcPr>
            <w:tcW w:w="1200" w:type="pct"/>
          </w:tcPr>
          <w:p w14:paraId="2259F88E" w14:textId="77777777" w:rsidR="00012AF6" w:rsidRPr="008B5A6F" w:rsidRDefault="00012AF6" w:rsidP="00026AF6">
            <w:pPr>
              <w:jc w:val="center"/>
            </w:pPr>
            <w:r w:rsidRPr="008B5A6F">
              <w:t>BKP</w:t>
            </w:r>
          </w:p>
        </w:tc>
        <w:tc>
          <w:tcPr>
            <w:tcW w:w="1874" w:type="pct"/>
          </w:tcPr>
          <w:p w14:paraId="70A12E55" w14:textId="77605ACE" w:rsidR="00012AF6" w:rsidRPr="008B5A6F" w:rsidRDefault="00012AF6" w:rsidP="00630E97">
            <w:pPr>
              <w:tabs>
                <w:tab w:val="decimal" w:pos="796"/>
              </w:tabs>
              <w:jc w:val="center"/>
            </w:pPr>
            <w:r w:rsidRPr="008B5A6F">
              <w:t xml:space="preserve">13,457 </w:t>
            </w:r>
            <w:r w:rsidR="00410299" w:rsidRPr="008B5A6F">
              <w:t xml:space="preserve">± </w:t>
            </w:r>
            <w:r w:rsidRPr="008B5A6F">
              <w:t>5,519</w:t>
            </w:r>
          </w:p>
        </w:tc>
      </w:tr>
      <w:tr w:rsidR="00574D1F" w:rsidRPr="008B5A6F" w14:paraId="57A0870E" w14:textId="77777777" w:rsidTr="00574D1F">
        <w:trPr>
          <w:trHeight w:val="270"/>
        </w:trPr>
        <w:tc>
          <w:tcPr>
            <w:tcW w:w="1926" w:type="pct"/>
            <w:vMerge/>
          </w:tcPr>
          <w:p w14:paraId="046DE4CB" w14:textId="77777777" w:rsidR="00012AF6" w:rsidRPr="008B5A6F" w:rsidRDefault="00012AF6" w:rsidP="00026AF6"/>
        </w:tc>
        <w:tc>
          <w:tcPr>
            <w:tcW w:w="1200" w:type="pct"/>
          </w:tcPr>
          <w:p w14:paraId="06EEE48A" w14:textId="77777777" w:rsidR="00012AF6" w:rsidRPr="008B5A6F" w:rsidRDefault="00012AF6" w:rsidP="00026AF6">
            <w:pPr>
              <w:jc w:val="center"/>
            </w:pPr>
            <w:r w:rsidRPr="008B5A6F">
              <w:t>CMM</w:t>
            </w:r>
          </w:p>
        </w:tc>
        <w:tc>
          <w:tcPr>
            <w:tcW w:w="1874" w:type="pct"/>
          </w:tcPr>
          <w:p w14:paraId="15C23CBB" w14:textId="19CA8EE5" w:rsidR="00012AF6" w:rsidRPr="008B5A6F" w:rsidRDefault="00012AF6" w:rsidP="00630E97">
            <w:pPr>
              <w:tabs>
                <w:tab w:val="decimal" w:pos="796"/>
              </w:tabs>
              <w:jc w:val="center"/>
            </w:pPr>
            <w:r w:rsidRPr="008B5A6F">
              <w:t xml:space="preserve">7,349 </w:t>
            </w:r>
            <w:r w:rsidR="00410299" w:rsidRPr="008B5A6F">
              <w:t xml:space="preserve">± </w:t>
            </w:r>
            <w:r w:rsidRPr="008B5A6F">
              <w:t>4,292</w:t>
            </w:r>
          </w:p>
        </w:tc>
      </w:tr>
      <w:tr w:rsidR="00574D1F" w:rsidRPr="008B5A6F" w14:paraId="0B80FA8B" w14:textId="77777777" w:rsidTr="00574D1F">
        <w:trPr>
          <w:trHeight w:val="270"/>
        </w:trPr>
        <w:tc>
          <w:tcPr>
            <w:tcW w:w="1926" w:type="pct"/>
            <w:vMerge w:val="restart"/>
          </w:tcPr>
          <w:p w14:paraId="446A1BF9" w14:textId="763FC5D2" w:rsidR="00012AF6" w:rsidRPr="008B5A6F" w:rsidRDefault="00012AF6" w:rsidP="00026AF6">
            <w:r w:rsidRPr="008B5A6F">
              <w:t>VP versus CMM</w:t>
            </w:r>
            <w:r w:rsidR="004721B3" w:rsidRPr="008B5A6F">
              <w:t xml:space="preserve">, </w:t>
            </w:r>
            <w:r w:rsidRPr="008B5A6F">
              <w:t>inpatient</w:t>
            </w:r>
          </w:p>
        </w:tc>
        <w:tc>
          <w:tcPr>
            <w:tcW w:w="1200" w:type="pct"/>
          </w:tcPr>
          <w:p w14:paraId="35BFEAE9" w14:textId="77777777" w:rsidR="00012AF6" w:rsidRPr="008B5A6F" w:rsidRDefault="00012AF6" w:rsidP="00026AF6">
            <w:pPr>
              <w:jc w:val="center"/>
            </w:pPr>
            <w:r w:rsidRPr="008B5A6F">
              <w:t>VP</w:t>
            </w:r>
          </w:p>
        </w:tc>
        <w:tc>
          <w:tcPr>
            <w:tcW w:w="1874" w:type="pct"/>
          </w:tcPr>
          <w:p w14:paraId="1EA3C31D" w14:textId="75892618" w:rsidR="00012AF6" w:rsidRPr="008B5A6F" w:rsidRDefault="00012AF6" w:rsidP="00630E97">
            <w:pPr>
              <w:tabs>
                <w:tab w:val="decimal" w:pos="796"/>
              </w:tabs>
              <w:jc w:val="center"/>
            </w:pPr>
            <w:r w:rsidRPr="008B5A6F">
              <w:t xml:space="preserve">14,833 </w:t>
            </w:r>
            <w:r w:rsidR="00410299" w:rsidRPr="008B5A6F">
              <w:t xml:space="preserve">± </w:t>
            </w:r>
            <w:r w:rsidRPr="008B5A6F">
              <w:t>6,138</w:t>
            </w:r>
          </w:p>
        </w:tc>
      </w:tr>
      <w:tr w:rsidR="00574D1F" w:rsidRPr="008B5A6F" w14:paraId="2B0EE2E2" w14:textId="77777777" w:rsidTr="00574D1F">
        <w:trPr>
          <w:trHeight w:val="270"/>
        </w:trPr>
        <w:tc>
          <w:tcPr>
            <w:tcW w:w="1926" w:type="pct"/>
            <w:vMerge/>
          </w:tcPr>
          <w:p w14:paraId="6E185327" w14:textId="77777777" w:rsidR="00012AF6" w:rsidRPr="008B5A6F" w:rsidRDefault="00012AF6" w:rsidP="00026AF6"/>
        </w:tc>
        <w:tc>
          <w:tcPr>
            <w:tcW w:w="1200" w:type="pct"/>
          </w:tcPr>
          <w:p w14:paraId="363AE2E6" w14:textId="77777777" w:rsidR="00012AF6" w:rsidRPr="008B5A6F" w:rsidRDefault="00012AF6" w:rsidP="00026AF6">
            <w:pPr>
              <w:jc w:val="center"/>
            </w:pPr>
            <w:r w:rsidRPr="008B5A6F">
              <w:t>CMM</w:t>
            </w:r>
          </w:p>
        </w:tc>
        <w:tc>
          <w:tcPr>
            <w:tcW w:w="1874" w:type="pct"/>
          </w:tcPr>
          <w:p w14:paraId="0C1F6268" w14:textId="4B17911F" w:rsidR="00012AF6" w:rsidRPr="008B5A6F" w:rsidRDefault="00012AF6" w:rsidP="00630E97">
            <w:pPr>
              <w:tabs>
                <w:tab w:val="decimal" w:pos="796"/>
              </w:tabs>
              <w:jc w:val="center"/>
            </w:pPr>
            <w:r w:rsidRPr="008B5A6F">
              <w:t xml:space="preserve">7,654 </w:t>
            </w:r>
            <w:r w:rsidR="00410299" w:rsidRPr="008B5A6F">
              <w:t xml:space="preserve">± </w:t>
            </w:r>
            <w:r w:rsidRPr="008B5A6F">
              <w:t>2,823</w:t>
            </w:r>
          </w:p>
        </w:tc>
      </w:tr>
      <w:tr w:rsidR="00574D1F" w:rsidRPr="008B5A6F" w14:paraId="5D0730BC" w14:textId="77777777" w:rsidTr="00574D1F">
        <w:trPr>
          <w:trHeight w:val="270"/>
        </w:trPr>
        <w:tc>
          <w:tcPr>
            <w:tcW w:w="1926" w:type="pct"/>
            <w:vMerge w:val="restart"/>
          </w:tcPr>
          <w:p w14:paraId="7522CD4B" w14:textId="4867E7A2" w:rsidR="00012AF6" w:rsidRPr="008B5A6F" w:rsidRDefault="00012AF6" w:rsidP="00026AF6">
            <w:r w:rsidRPr="008B5A6F">
              <w:t>VP versus CMM</w:t>
            </w:r>
            <w:r w:rsidR="004721B3" w:rsidRPr="008B5A6F">
              <w:t xml:space="preserve">, </w:t>
            </w:r>
            <w:r w:rsidRPr="008B5A6F">
              <w:t>outpatient</w:t>
            </w:r>
          </w:p>
        </w:tc>
        <w:tc>
          <w:tcPr>
            <w:tcW w:w="1200" w:type="pct"/>
          </w:tcPr>
          <w:p w14:paraId="532AA43D" w14:textId="77777777" w:rsidR="00012AF6" w:rsidRPr="008B5A6F" w:rsidRDefault="00012AF6" w:rsidP="00026AF6">
            <w:pPr>
              <w:jc w:val="center"/>
            </w:pPr>
            <w:r w:rsidRPr="008B5A6F">
              <w:t>VP</w:t>
            </w:r>
          </w:p>
        </w:tc>
        <w:tc>
          <w:tcPr>
            <w:tcW w:w="1874" w:type="pct"/>
          </w:tcPr>
          <w:p w14:paraId="25EBAAE1" w14:textId="1D60C1DF" w:rsidR="00012AF6" w:rsidRPr="008B5A6F" w:rsidRDefault="00012AF6" w:rsidP="00630E97">
            <w:pPr>
              <w:tabs>
                <w:tab w:val="decimal" w:pos="796"/>
              </w:tabs>
              <w:jc w:val="center"/>
            </w:pPr>
            <w:r w:rsidRPr="008B5A6F">
              <w:t xml:space="preserve">16,320 </w:t>
            </w:r>
            <w:r w:rsidR="00410299" w:rsidRPr="008B5A6F">
              <w:t xml:space="preserve">± </w:t>
            </w:r>
            <w:r w:rsidRPr="008B5A6F">
              <w:t>9,931</w:t>
            </w:r>
          </w:p>
        </w:tc>
      </w:tr>
      <w:tr w:rsidR="00574D1F" w:rsidRPr="008B5A6F" w14:paraId="1848E3F2" w14:textId="77777777" w:rsidTr="00574D1F">
        <w:trPr>
          <w:trHeight w:val="270"/>
        </w:trPr>
        <w:tc>
          <w:tcPr>
            <w:tcW w:w="1926" w:type="pct"/>
            <w:vMerge/>
          </w:tcPr>
          <w:p w14:paraId="77E58292" w14:textId="77777777" w:rsidR="00012AF6" w:rsidRPr="008B5A6F" w:rsidRDefault="00012AF6" w:rsidP="00026AF6"/>
        </w:tc>
        <w:tc>
          <w:tcPr>
            <w:tcW w:w="1200" w:type="pct"/>
          </w:tcPr>
          <w:p w14:paraId="3ACF18EB" w14:textId="77777777" w:rsidR="00012AF6" w:rsidRPr="008B5A6F" w:rsidRDefault="00012AF6" w:rsidP="00026AF6">
            <w:pPr>
              <w:jc w:val="center"/>
            </w:pPr>
            <w:r w:rsidRPr="008B5A6F">
              <w:t>CMM</w:t>
            </w:r>
          </w:p>
        </w:tc>
        <w:tc>
          <w:tcPr>
            <w:tcW w:w="1874" w:type="pct"/>
          </w:tcPr>
          <w:p w14:paraId="35FBCF35" w14:textId="0A486BA6" w:rsidR="00012AF6" w:rsidRPr="008B5A6F" w:rsidRDefault="00012AF6" w:rsidP="00630E97">
            <w:pPr>
              <w:tabs>
                <w:tab w:val="decimal" w:pos="796"/>
              </w:tabs>
              <w:jc w:val="center"/>
            </w:pPr>
            <w:r w:rsidRPr="008B5A6F">
              <w:t xml:space="preserve">7,349 </w:t>
            </w:r>
            <w:r w:rsidR="00410299" w:rsidRPr="008B5A6F">
              <w:t xml:space="preserve">± </w:t>
            </w:r>
            <w:r w:rsidRPr="008B5A6F">
              <w:t>4,292</w:t>
            </w:r>
          </w:p>
        </w:tc>
      </w:tr>
    </w:tbl>
    <w:p w14:paraId="5EE56BF1" w14:textId="4C3BEC0F" w:rsidR="00574D1F" w:rsidRPr="008B5A6F" w:rsidRDefault="00574D1F" w:rsidP="00012AF6">
      <w:proofErr w:type="spellStart"/>
      <w:r w:rsidRPr="008B5A6F">
        <w:rPr>
          <w:vertAlign w:val="superscript"/>
        </w:rPr>
        <w:t>a</w:t>
      </w:r>
      <w:r w:rsidRPr="008B5A6F">
        <w:t>Data</w:t>
      </w:r>
      <w:proofErr w:type="spellEnd"/>
      <w:r w:rsidRPr="008B5A6F">
        <w:t xml:space="preserve"> presented as mean ± SD. Gamma distributions used to represent uncertainty</w:t>
      </w:r>
    </w:p>
    <w:p w14:paraId="3F5D7D87" w14:textId="61F6AC57" w:rsidR="00012AF6" w:rsidRPr="008B5A6F" w:rsidRDefault="00B91E11" w:rsidP="00012AF6">
      <w:r w:rsidRPr="008B5A6F">
        <w:t>Values based on Propensity-Score matched cohorts in an analysis of CMS claims data.</w:t>
      </w:r>
    </w:p>
    <w:p w14:paraId="00A569E1" w14:textId="77777777" w:rsidR="00012AF6" w:rsidRPr="008B5A6F" w:rsidRDefault="00012AF6" w:rsidP="00012AF6"/>
    <w:p w14:paraId="64DB9B4D" w14:textId="77777777" w:rsidR="00012AF6" w:rsidRPr="008B5A6F" w:rsidRDefault="00012AF6" w:rsidP="00012AF6"/>
    <w:p w14:paraId="57E1CC83" w14:textId="79018D1E" w:rsidR="00012AF6" w:rsidRPr="008B5A6F" w:rsidRDefault="00012AF6" w:rsidP="00483FD1">
      <w:pPr>
        <w:rPr>
          <w:vertAlign w:val="superscript"/>
        </w:rPr>
      </w:pPr>
      <w:bookmarkStart w:id="12" w:name="_Ref12015931"/>
      <w:r w:rsidRPr="008B5A6F">
        <w:t xml:space="preserve">Table </w:t>
      </w:r>
      <w:bookmarkEnd w:id="12"/>
      <w:r w:rsidR="00D85E0E" w:rsidRPr="008B5A6F">
        <w:t>S8</w:t>
      </w:r>
      <w:r w:rsidRPr="008B5A6F">
        <w:t>: Mean utility weights by treatment group and time since fractur</w:t>
      </w:r>
      <w:r w:rsidR="00394799" w:rsidRPr="008B5A6F">
        <w:t>e, based on data from the FREE</w:t>
      </w:r>
      <w:r w:rsidR="00BA6DC0" w:rsidRPr="008B5A6F">
        <w:t>-2</w:t>
      </w:r>
      <w:r w:rsidR="00394799" w:rsidRPr="008B5A6F">
        <w:t xml:space="preserve"> trial, adjusted to US utilit</w:t>
      </w:r>
      <w:r w:rsidR="00BA6DC0" w:rsidRPr="008B5A6F">
        <w:t xml:space="preserve">y </w:t>
      </w:r>
      <w:proofErr w:type="spellStart"/>
      <w:r w:rsidR="00BA6DC0" w:rsidRPr="008B5A6F">
        <w:t>values</w:t>
      </w:r>
      <w:r w:rsidR="00394799" w:rsidRPr="008B5A6F">
        <w:t>.</w:t>
      </w:r>
      <w:r w:rsidR="007814A7" w:rsidRPr="008B5A6F">
        <w:rPr>
          <w:vertAlign w:val="superscript"/>
        </w:rPr>
        <w:t>a</w:t>
      </w:r>
      <w:proofErr w:type="spellEnd"/>
    </w:p>
    <w:p w14:paraId="256BD6F5" w14:textId="77777777" w:rsidR="004941AC" w:rsidRPr="008B5A6F" w:rsidRDefault="004941AC" w:rsidP="00556D05">
      <w:pPr>
        <w:rPr>
          <w:lang w:eastAsia="en-US"/>
        </w:rPr>
      </w:pPr>
    </w:p>
    <w:tbl>
      <w:tblPr>
        <w:tblStyle w:val="TableGrid"/>
        <w:tblW w:w="5000" w:type="pct"/>
        <w:tblLook w:val="04A0" w:firstRow="1" w:lastRow="0" w:firstColumn="1" w:lastColumn="0" w:noHBand="0" w:noVBand="1"/>
      </w:tblPr>
      <w:tblGrid>
        <w:gridCol w:w="3960"/>
        <w:gridCol w:w="4494"/>
        <w:gridCol w:w="4496"/>
      </w:tblGrid>
      <w:tr w:rsidR="00012AF6" w:rsidRPr="008B5A6F" w14:paraId="4AA57919" w14:textId="77777777" w:rsidTr="00026AF6">
        <w:trPr>
          <w:tblHeader/>
        </w:trPr>
        <w:tc>
          <w:tcPr>
            <w:tcW w:w="1529" w:type="pct"/>
            <w:shd w:val="clear" w:color="auto" w:fill="D9D9D9" w:themeFill="background1" w:themeFillShade="D9"/>
          </w:tcPr>
          <w:p w14:paraId="0C6FA658" w14:textId="77777777" w:rsidR="00012AF6" w:rsidRPr="008B5A6F" w:rsidRDefault="00012AF6" w:rsidP="00026AF6">
            <w:pPr>
              <w:rPr>
                <w:b/>
                <w:bCs/>
              </w:rPr>
            </w:pPr>
            <w:r w:rsidRPr="008B5A6F">
              <w:rPr>
                <w:b/>
                <w:bCs/>
              </w:rPr>
              <w:t>Time since fracture</w:t>
            </w:r>
          </w:p>
        </w:tc>
        <w:tc>
          <w:tcPr>
            <w:tcW w:w="1735" w:type="pct"/>
            <w:shd w:val="clear" w:color="auto" w:fill="D9D9D9" w:themeFill="background1" w:themeFillShade="D9"/>
          </w:tcPr>
          <w:p w14:paraId="324D2EE6" w14:textId="77C7DC22" w:rsidR="00012AF6" w:rsidRPr="008B5A6F" w:rsidRDefault="00012AF6" w:rsidP="00026AF6">
            <w:pPr>
              <w:jc w:val="center"/>
              <w:rPr>
                <w:b/>
                <w:bCs/>
              </w:rPr>
            </w:pPr>
            <w:r w:rsidRPr="008B5A6F">
              <w:rPr>
                <w:b/>
                <w:bCs/>
              </w:rPr>
              <w:t>BKP/VP</w:t>
            </w:r>
          </w:p>
        </w:tc>
        <w:tc>
          <w:tcPr>
            <w:tcW w:w="1736" w:type="pct"/>
            <w:shd w:val="clear" w:color="auto" w:fill="D9D9D9" w:themeFill="background1" w:themeFillShade="D9"/>
          </w:tcPr>
          <w:p w14:paraId="560CF87B" w14:textId="5C8868F1" w:rsidR="00012AF6" w:rsidRPr="008B5A6F" w:rsidRDefault="00012AF6" w:rsidP="00026AF6">
            <w:pPr>
              <w:jc w:val="center"/>
              <w:rPr>
                <w:b/>
                <w:bCs/>
              </w:rPr>
            </w:pPr>
            <w:r w:rsidRPr="008B5A6F">
              <w:rPr>
                <w:b/>
                <w:bCs/>
              </w:rPr>
              <w:t>CMM</w:t>
            </w:r>
          </w:p>
        </w:tc>
      </w:tr>
      <w:tr w:rsidR="00012AF6" w:rsidRPr="008B5A6F" w14:paraId="7D01F720" w14:textId="77777777" w:rsidTr="00026AF6">
        <w:tc>
          <w:tcPr>
            <w:tcW w:w="1529" w:type="pct"/>
          </w:tcPr>
          <w:p w14:paraId="49239BEF" w14:textId="77777777" w:rsidR="00012AF6" w:rsidRPr="008B5A6F" w:rsidRDefault="00012AF6" w:rsidP="00026AF6">
            <w:r w:rsidRPr="008B5A6F">
              <w:t>0-6 months</w:t>
            </w:r>
          </w:p>
        </w:tc>
        <w:tc>
          <w:tcPr>
            <w:tcW w:w="1735" w:type="pct"/>
          </w:tcPr>
          <w:p w14:paraId="7621F038" w14:textId="54446354" w:rsidR="00012AF6" w:rsidRPr="008B5A6F" w:rsidRDefault="00012AF6" w:rsidP="00D13D46">
            <w:pPr>
              <w:tabs>
                <w:tab w:val="decimal" w:pos="766"/>
              </w:tabs>
            </w:pPr>
            <w:r w:rsidRPr="008B5A6F">
              <w:t>0.6</w:t>
            </w:r>
            <w:r w:rsidR="00F57113" w:rsidRPr="008B5A6F">
              <w:t>8</w:t>
            </w:r>
            <w:r w:rsidRPr="008B5A6F">
              <w:t xml:space="preserve"> </w:t>
            </w:r>
            <w:r w:rsidR="004530EA" w:rsidRPr="008B5A6F">
              <w:t xml:space="preserve">± </w:t>
            </w:r>
            <w:r w:rsidRPr="008B5A6F">
              <w:t>0.018</w:t>
            </w:r>
          </w:p>
        </w:tc>
        <w:tc>
          <w:tcPr>
            <w:tcW w:w="1736" w:type="pct"/>
          </w:tcPr>
          <w:p w14:paraId="0F0990BA" w14:textId="7FF41205" w:rsidR="00012AF6" w:rsidRPr="008B5A6F" w:rsidRDefault="00012AF6" w:rsidP="00D13D46">
            <w:pPr>
              <w:tabs>
                <w:tab w:val="decimal" w:pos="826"/>
              </w:tabs>
            </w:pPr>
            <w:r w:rsidRPr="008B5A6F">
              <w:t xml:space="preserve">0.60 </w:t>
            </w:r>
            <w:r w:rsidR="004530EA" w:rsidRPr="008B5A6F">
              <w:t xml:space="preserve">± </w:t>
            </w:r>
            <w:r w:rsidRPr="008B5A6F">
              <w:t>0.0</w:t>
            </w:r>
            <w:r w:rsidR="00F57113" w:rsidRPr="008B5A6F">
              <w:t>20</w:t>
            </w:r>
          </w:p>
        </w:tc>
      </w:tr>
      <w:tr w:rsidR="00012AF6" w:rsidRPr="008B5A6F" w14:paraId="45A6CA51" w14:textId="77777777" w:rsidTr="00026AF6">
        <w:tc>
          <w:tcPr>
            <w:tcW w:w="1529" w:type="pct"/>
          </w:tcPr>
          <w:p w14:paraId="4F72725F" w14:textId="77777777" w:rsidR="00012AF6" w:rsidRPr="008B5A6F" w:rsidRDefault="00012AF6" w:rsidP="00026AF6">
            <w:r w:rsidRPr="008B5A6F">
              <w:t>6-12 months</w:t>
            </w:r>
          </w:p>
        </w:tc>
        <w:tc>
          <w:tcPr>
            <w:tcW w:w="1735" w:type="pct"/>
          </w:tcPr>
          <w:p w14:paraId="749A8824" w14:textId="03F3D0E0" w:rsidR="00012AF6" w:rsidRPr="008B5A6F" w:rsidRDefault="00012AF6" w:rsidP="00D13D46">
            <w:pPr>
              <w:tabs>
                <w:tab w:val="decimal" w:pos="766"/>
              </w:tabs>
            </w:pPr>
            <w:r w:rsidRPr="008B5A6F">
              <w:t>0.7</w:t>
            </w:r>
            <w:r w:rsidR="00F57113" w:rsidRPr="008B5A6F">
              <w:t>3</w:t>
            </w:r>
            <w:r w:rsidRPr="008B5A6F">
              <w:t xml:space="preserve"> </w:t>
            </w:r>
            <w:r w:rsidR="004530EA" w:rsidRPr="008B5A6F">
              <w:t xml:space="preserve">± </w:t>
            </w:r>
            <w:r w:rsidRPr="008B5A6F">
              <w:t>0.01</w:t>
            </w:r>
            <w:r w:rsidR="00F57113" w:rsidRPr="008B5A6F">
              <w:t>8</w:t>
            </w:r>
          </w:p>
        </w:tc>
        <w:tc>
          <w:tcPr>
            <w:tcW w:w="1736" w:type="pct"/>
          </w:tcPr>
          <w:p w14:paraId="6765C0EA" w14:textId="51645568" w:rsidR="00012AF6" w:rsidRPr="008B5A6F" w:rsidRDefault="00012AF6" w:rsidP="00D13D46">
            <w:pPr>
              <w:tabs>
                <w:tab w:val="decimal" w:pos="826"/>
              </w:tabs>
            </w:pPr>
            <w:r w:rsidRPr="008B5A6F">
              <w:t xml:space="preserve">0.65 </w:t>
            </w:r>
            <w:r w:rsidR="004530EA" w:rsidRPr="008B5A6F">
              <w:t xml:space="preserve">± </w:t>
            </w:r>
            <w:r w:rsidRPr="008B5A6F">
              <w:t>0.020</w:t>
            </w:r>
          </w:p>
        </w:tc>
      </w:tr>
      <w:tr w:rsidR="00012AF6" w:rsidRPr="008B5A6F" w14:paraId="0BA46FD7" w14:textId="77777777" w:rsidTr="00026AF6">
        <w:tc>
          <w:tcPr>
            <w:tcW w:w="1529" w:type="pct"/>
          </w:tcPr>
          <w:p w14:paraId="2AAC6230" w14:textId="77777777" w:rsidR="00012AF6" w:rsidRPr="008B5A6F" w:rsidRDefault="00012AF6" w:rsidP="00026AF6">
            <w:r w:rsidRPr="008B5A6F">
              <w:t>12-18 months</w:t>
            </w:r>
          </w:p>
        </w:tc>
        <w:tc>
          <w:tcPr>
            <w:tcW w:w="1735" w:type="pct"/>
          </w:tcPr>
          <w:p w14:paraId="323FA055" w14:textId="6B6429B7" w:rsidR="00012AF6" w:rsidRPr="008B5A6F" w:rsidRDefault="00012AF6" w:rsidP="00D13D46">
            <w:pPr>
              <w:tabs>
                <w:tab w:val="decimal" w:pos="766"/>
              </w:tabs>
            </w:pPr>
            <w:r w:rsidRPr="008B5A6F">
              <w:t xml:space="preserve">0.72 </w:t>
            </w:r>
            <w:r w:rsidR="004530EA" w:rsidRPr="008B5A6F">
              <w:t xml:space="preserve">± </w:t>
            </w:r>
            <w:r w:rsidRPr="008B5A6F">
              <w:t>0.01</w:t>
            </w:r>
            <w:r w:rsidR="00F57113" w:rsidRPr="008B5A6F">
              <w:t>8</w:t>
            </w:r>
          </w:p>
        </w:tc>
        <w:tc>
          <w:tcPr>
            <w:tcW w:w="1736" w:type="pct"/>
          </w:tcPr>
          <w:p w14:paraId="4DF6AF00" w14:textId="68AB9E68" w:rsidR="00012AF6" w:rsidRPr="008B5A6F" w:rsidRDefault="00012AF6" w:rsidP="00D13D46">
            <w:pPr>
              <w:tabs>
                <w:tab w:val="decimal" w:pos="826"/>
              </w:tabs>
            </w:pPr>
            <w:r w:rsidRPr="008B5A6F">
              <w:t>0.6</w:t>
            </w:r>
            <w:r w:rsidR="00F57113" w:rsidRPr="008B5A6F">
              <w:t>6</w:t>
            </w:r>
            <w:r w:rsidRPr="008B5A6F">
              <w:t xml:space="preserve"> </w:t>
            </w:r>
            <w:r w:rsidR="004530EA" w:rsidRPr="008B5A6F">
              <w:t xml:space="preserve">± </w:t>
            </w:r>
            <w:r w:rsidRPr="008B5A6F">
              <w:t>0.02</w:t>
            </w:r>
            <w:r w:rsidR="00F57113" w:rsidRPr="008B5A6F">
              <w:t>1</w:t>
            </w:r>
          </w:p>
        </w:tc>
      </w:tr>
      <w:tr w:rsidR="00012AF6" w:rsidRPr="008B5A6F" w14:paraId="00DD51FE" w14:textId="77777777" w:rsidTr="00026AF6">
        <w:tc>
          <w:tcPr>
            <w:tcW w:w="1529" w:type="pct"/>
          </w:tcPr>
          <w:p w14:paraId="3E63409B" w14:textId="77777777" w:rsidR="00012AF6" w:rsidRPr="008B5A6F" w:rsidRDefault="00012AF6" w:rsidP="00026AF6">
            <w:r w:rsidRPr="008B5A6F">
              <w:t>18-24 months</w:t>
            </w:r>
          </w:p>
        </w:tc>
        <w:tc>
          <w:tcPr>
            <w:tcW w:w="1735" w:type="pct"/>
          </w:tcPr>
          <w:p w14:paraId="00B24850" w14:textId="253F43DF" w:rsidR="00012AF6" w:rsidRPr="008B5A6F" w:rsidRDefault="00012AF6" w:rsidP="00D13D46">
            <w:pPr>
              <w:tabs>
                <w:tab w:val="decimal" w:pos="766"/>
              </w:tabs>
            </w:pPr>
            <w:r w:rsidRPr="008B5A6F">
              <w:t xml:space="preserve">0.72 </w:t>
            </w:r>
            <w:r w:rsidR="004530EA" w:rsidRPr="008B5A6F">
              <w:t xml:space="preserve">± </w:t>
            </w:r>
            <w:r w:rsidRPr="008B5A6F">
              <w:t>0.018</w:t>
            </w:r>
          </w:p>
        </w:tc>
        <w:tc>
          <w:tcPr>
            <w:tcW w:w="1736" w:type="pct"/>
          </w:tcPr>
          <w:p w14:paraId="528CDBE9" w14:textId="6813AD1E" w:rsidR="00012AF6" w:rsidRPr="008B5A6F" w:rsidRDefault="00012AF6" w:rsidP="00D13D46">
            <w:pPr>
              <w:tabs>
                <w:tab w:val="decimal" w:pos="826"/>
              </w:tabs>
            </w:pPr>
            <w:r w:rsidRPr="008B5A6F">
              <w:t>0.6</w:t>
            </w:r>
            <w:r w:rsidR="00F57113" w:rsidRPr="008B5A6F">
              <w:t>7</w:t>
            </w:r>
            <w:r w:rsidRPr="008B5A6F">
              <w:t xml:space="preserve"> </w:t>
            </w:r>
            <w:r w:rsidR="004530EA" w:rsidRPr="008B5A6F">
              <w:t xml:space="preserve">± </w:t>
            </w:r>
            <w:r w:rsidRPr="008B5A6F">
              <w:t>0.02</w:t>
            </w:r>
            <w:r w:rsidR="00F57113" w:rsidRPr="008B5A6F">
              <w:t>1</w:t>
            </w:r>
          </w:p>
        </w:tc>
      </w:tr>
      <w:tr w:rsidR="00012AF6" w:rsidRPr="008B5A6F" w14:paraId="24DF42CA" w14:textId="77777777" w:rsidTr="00026AF6">
        <w:tc>
          <w:tcPr>
            <w:tcW w:w="1529" w:type="pct"/>
          </w:tcPr>
          <w:p w14:paraId="459F1BC5" w14:textId="77777777" w:rsidR="00012AF6" w:rsidRPr="008B5A6F" w:rsidRDefault="00012AF6" w:rsidP="00026AF6">
            <w:r w:rsidRPr="008B5A6F">
              <w:t>24-30 months</w:t>
            </w:r>
          </w:p>
        </w:tc>
        <w:tc>
          <w:tcPr>
            <w:tcW w:w="1735" w:type="pct"/>
          </w:tcPr>
          <w:p w14:paraId="03F92BA3" w14:textId="071B86A6" w:rsidR="00012AF6" w:rsidRPr="008B5A6F" w:rsidRDefault="00012AF6" w:rsidP="00D13D46">
            <w:pPr>
              <w:tabs>
                <w:tab w:val="decimal" w:pos="766"/>
              </w:tabs>
            </w:pPr>
            <w:r w:rsidRPr="008B5A6F">
              <w:t xml:space="preserve">0.70 </w:t>
            </w:r>
            <w:r w:rsidR="004530EA" w:rsidRPr="008B5A6F">
              <w:t xml:space="preserve">± </w:t>
            </w:r>
            <w:r w:rsidRPr="008B5A6F">
              <w:t>0.019</w:t>
            </w:r>
          </w:p>
        </w:tc>
        <w:tc>
          <w:tcPr>
            <w:tcW w:w="1736" w:type="pct"/>
          </w:tcPr>
          <w:p w14:paraId="090BCDB5" w14:textId="066B92F6" w:rsidR="00012AF6" w:rsidRPr="008B5A6F" w:rsidRDefault="00012AF6" w:rsidP="00D13D46">
            <w:pPr>
              <w:tabs>
                <w:tab w:val="decimal" w:pos="826"/>
              </w:tabs>
            </w:pPr>
            <w:r w:rsidRPr="008B5A6F">
              <w:t>0.6</w:t>
            </w:r>
            <w:r w:rsidR="00F57113" w:rsidRPr="008B5A6F">
              <w:t>7</w:t>
            </w:r>
            <w:r w:rsidRPr="008B5A6F">
              <w:t xml:space="preserve"> </w:t>
            </w:r>
            <w:r w:rsidR="004530EA" w:rsidRPr="008B5A6F">
              <w:t xml:space="preserve">± </w:t>
            </w:r>
            <w:r w:rsidRPr="008B5A6F">
              <w:t>0.02</w:t>
            </w:r>
            <w:r w:rsidR="00F57113" w:rsidRPr="008B5A6F">
              <w:t>1</w:t>
            </w:r>
          </w:p>
        </w:tc>
      </w:tr>
      <w:tr w:rsidR="00012AF6" w:rsidRPr="008B5A6F" w14:paraId="7C03475E" w14:textId="77777777" w:rsidTr="00026AF6">
        <w:tc>
          <w:tcPr>
            <w:tcW w:w="1529" w:type="pct"/>
          </w:tcPr>
          <w:p w14:paraId="24121567" w14:textId="77777777" w:rsidR="00012AF6" w:rsidRPr="008B5A6F" w:rsidRDefault="00012AF6" w:rsidP="00026AF6">
            <w:r w:rsidRPr="008B5A6F">
              <w:t>30-36 months</w:t>
            </w:r>
          </w:p>
        </w:tc>
        <w:tc>
          <w:tcPr>
            <w:tcW w:w="1735" w:type="pct"/>
          </w:tcPr>
          <w:p w14:paraId="64CBD7F9" w14:textId="5E11BD05" w:rsidR="00012AF6" w:rsidRPr="008B5A6F" w:rsidRDefault="00012AF6" w:rsidP="00D13D46">
            <w:pPr>
              <w:tabs>
                <w:tab w:val="decimal" w:pos="766"/>
              </w:tabs>
            </w:pPr>
            <w:r w:rsidRPr="008B5A6F">
              <w:t>0.6</w:t>
            </w:r>
            <w:r w:rsidR="00F57113" w:rsidRPr="008B5A6F">
              <w:t>9</w:t>
            </w:r>
            <w:r w:rsidRPr="008B5A6F">
              <w:t xml:space="preserve"> </w:t>
            </w:r>
            <w:r w:rsidR="004530EA" w:rsidRPr="008B5A6F">
              <w:t xml:space="preserve">± </w:t>
            </w:r>
            <w:r w:rsidRPr="008B5A6F">
              <w:t>0.0</w:t>
            </w:r>
            <w:r w:rsidR="00F57113" w:rsidRPr="008B5A6F">
              <w:t>20</w:t>
            </w:r>
          </w:p>
        </w:tc>
        <w:tc>
          <w:tcPr>
            <w:tcW w:w="1736" w:type="pct"/>
          </w:tcPr>
          <w:p w14:paraId="7B295733" w14:textId="7CE3A9DD" w:rsidR="00012AF6" w:rsidRPr="008B5A6F" w:rsidRDefault="00012AF6" w:rsidP="00D13D46">
            <w:pPr>
              <w:tabs>
                <w:tab w:val="decimal" w:pos="826"/>
              </w:tabs>
            </w:pPr>
            <w:r w:rsidRPr="008B5A6F">
              <w:t>0.6</w:t>
            </w:r>
            <w:r w:rsidR="00F57113" w:rsidRPr="008B5A6F">
              <w:t>7</w:t>
            </w:r>
            <w:r w:rsidRPr="008B5A6F">
              <w:t xml:space="preserve"> </w:t>
            </w:r>
            <w:r w:rsidR="004530EA" w:rsidRPr="008B5A6F">
              <w:t xml:space="preserve">± </w:t>
            </w:r>
            <w:r w:rsidRPr="008B5A6F">
              <w:t>0.02</w:t>
            </w:r>
            <w:r w:rsidR="00F57113" w:rsidRPr="008B5A6F">
              <w:t>1</w:t>
            </w:r>
          </w:p>
        </w:tc>
      </w:tr>
      <w:tr w:rsidR="00012AF6" w:rsidRPr="008B5A6F" w14:paraId="20281D19" w14:textId="77777777" w:rsidTr="00026AF6">
        <w:tc>
          <w:tcPr>
            <w:tcW w:w="1529" w:type="pct"/>
          </w:tcPr>
          <w:p w14:paraId="24D5ED7E" w14:textId="77777777" w:rsidR="00012AF6" w:rsidRPr="008B5A6F" w:rsidRDefault="00012AF6" w:rsidP="00026AF6">
            <w:r w:rsidRPr="008B5A6F">
              <w:t>Beyond 36 months</w:t>
            </w:r>
          </w:p>
        </w:tc>
        <w:tc>
          <w:tcPr>
            <w:tcW w:w="1735" w:type="pct"/>
          </w:tcPr>
          <w:p w14:paraId="3E04B67E" w14:textId="59A79DF1" w:rsidR="00012AF6" w:rsidRPr="008B5A6F" w:rsidRDefault="00012AF6" w:rsidP="00D13D46">
            <w:pPr>
              <w:tabs>
                <w:tab w:val="decimal" w:pos="766"/>
              </w:tabs>
            </w:pPr>
            <w:r w:rsidRPr="008B5A6F">
              <w:t>0.6</w:t>
            </w:r>
            <w:r w:rsidR="00F57113" w:rsidRPr="008B5A6F">
              <w:t>7</w:t>
            </w:r>
            <w:r w:rsidRPr="008B5A6F">
              <w:t xml:space="preserve"> </w:t>
            </w:r>
            <w:r w:rsidR="004530EA" w:rsidRPr="008B5A6F">
              <w:t xml:space="preserve">± </w:t>
            </w:r>
            <w:r w:rsidRPr="008B5A6F">
              <w:t>0.02</w:t>
            </w:r>
            <w:r w:rsidR="00F57113" w:rsidRPr="008B5A6F">
              <w:t>1</w:t>
            </w:r>
          </w:p>
        </w:tc>
        <w:tc>
          <w:tcPr>
            <w:tcW w:w="1736" w:type="pct"/>
          </w:tcPr>
          <w:p w14:paraId="55D9D0B2" w14:textId="3E729CCB" w:rsidR="00012AF6" w:rsidRPr="008B5A6F" w:rsidRDefault="00012AF6" w:rsidP="00D13D46">
            <w:pPr>
              <w:tabs>
                <w:tab w:val="decimal" w:pos="826"/>
              </w:tabs>
            </w:pPr>
            <w:r w:rsidRPr="008B5A6F">
              <w:t>0.6</w:t>
            </w:r>
            <w:r w:rsidR="00F57113" w:rsidRPr="008B5A6F">
              <w:t>7</w:t>
            </w:r>
            <w:r w:rsidRPr="008B5A6F">
              <w:t xml:space="preserve"> </w:t>
            </w:r>
            <w:r w:rsidR="004530EA" w:rsidRPr="008B5A6F">
              <w:t xml:space="preserve">± </w:t>
            </w:r>
            <w:r w:rsidRPr="008B5A6F">
              <w:t>0.02</w:t>
            </w:r>
            <w:r w:rsidR="00F57113" w:rsidRPr="008B5A6F">
              <w:t>1</w:t>
            </w:r>
          </w:p>
        </w:tc>
      </w:tr>
    </w:tbl>
    <w:p w14:paraId="4ED53E87" w14:textId="36B4717C" w:rsidR="007814A7" w:rsidRPr="008B5A6F" w:rsidRDefault="007814A7" w:rsidP="007814A7">
      <w:bookmarkStart w:id="13" w:name="_Ref12015940"/>
      <w:proofErr w:type="spellStart"/>
      <w:r w:rsidRPr="008B5A6F">
        <w:rPr>
          <w:vertAlign w:val="superscript"/>
        </w:rPr>
        <w:t>a</w:t>
      </w:r>
      <w:r w:rsidRPr="008B5A6F">
        <w:t>Data</w:t>
      </w:r>
      <w:proofErr w:type="spellEnd"/>
      <w:r w:rsidRPr="008B5A6F">
        <w:t xml:space="preserve"> are presented as mean ± SD. </w:t>
      </w:r>
      <w:r w:rsidR="00600AD6" w:rsidRPr="008B5A6F">
        <w:t xml:space="preserve">Derived from Wardlaw et al. Lancet. 2009. 373:1016-1024 and </w:t>
      </w:r>
      <w:proofErr w:type="spellStart"/>
      <w:r w:rsidR="00600AD6" w:rsidRPr="008B5A6F">
        <w:t>Fryback</w:t>
      </w:r>
      <w:proofErr w:type="spellEnd"/>
      <w:r w:rsidR="00600AD6" w:rsidRPr="008B5A6F">
        <w:t xml:space="preserve"> et al. Med Care. 2007. 45:1162-1170. </w:t>
      </w:r>
      <w:r w:rsidRPr="008B5A6F">
        <w:t>Beta distributions used to represent uncertainty.</w:t>
      </w:r>
    </w:p>
    <w:p w14:paraId="655EDB89" w14:textId="6BA2764E" w:rsidR="00012AF6" w:rsidRPr="008B5A6F" w:rsidRDefault="00012AF6" w:rsidP="00012AF6"/>
    <w:p w14:paraId="52A17C08" w14:textId="77777777" w:rsidR="0004401D" w:rsidRPr="008B5A6F" w:rsidRDefault="0004401D" w:rsidP="00012AF6"/>
    <w:p w14:paraId="031905F8" w14:textId="5751BF24" w:rsidR="00012AF6" w:rsidRPr="008B5A6F" w:rsidRDefault="00012AF6" w:rsidP="00A15921">
      <w:pPr>
        <w:rPr>
          <w:vertAlign w:val="superscript"/>
        </w:rPr>
      </w:pPr>
      <w:r w:rsidRPr="008B5A6F">
        <w:t>Table</w:t>
      </w:r>
      <w:bookmarkEnd w:id="13"/>
      <w:r w:rsidR="000F3CDB" w:rsidRPr="008B5A6F">
        <w:t xml:space="preserve"> S9</w:t>
      </w:r>
      <w:r w:rsidRPr="008B5A6F">
        <w:t xml:space="preserve">: Age-specific population utilities from the general US </w:t>
      </w:r>
      <w:proofErr w:type="spellStart"/>
      <w:r w:rsidRPr="008B5A6F">
        <w:t>populatio</w:t>
      </w:r>
      <w:r w:rsidR="00A15921" w:rsidRPr="008B5A6F">
        <w:t>n.</w:t>
      </w:r>
      <w:r w:rsidR="00413732" w:rsidRPr="008B5A6F">
        <w:rPr>
          <w:vertAlign w:val="superscript"/>
        </w:rPr>
        <w:t>a</w:t>
      </w:r>
      <w:proofErr w:type="spellEnd"/>
      <w:r w:rsidR="00413732" w:rsidRPr="008B5A6F">
        <w:rPr>
          <w:vertAlign w:val="superscript"/>
        </w:rPr>
        <w:t xml:space="preserve"> </w:t>
      </w:r>
      <w:r w:rsidR="00A15921" w:rsidRPr="008B5A6F">
        <w:t xml:space="preserve">These </w:t>
      </w:r>
      <w:r w:rsidR="0088614E" w:rsidRPr="008B5A6F">
        <w:t>factors were</w:t>
      </w:r>
      <w:r w:rsidR="00A15921" w:rsidRPr="008B5A6F">
        <w:t xml:space="preserve"> used to adjust the treatment-specific utilities according to patient age. </w:t>
      </w:r>
    </w:p>
    <w:p w14:paraId="21EF2E3C" w14:textId="77777777" w:rsidR="0004401D" w:rsidRPr="008B5A6F" w:rsidRDefault="0004401D" w:rsidP="00556D05">
      <w:pPr>
        <w:keepNext/>
        <w:rPr>
          <w:lang w:eastAsia="en-US"/>
        </w:rPr>
      </w:pPr>
    </w:p>
    <w:tbl>
      <w:tblPr>
        <w:tblStyle w:val="TableGrid"/>
        <w:tblW w:w="0" w:type="auto"/>
        <w:jc w:val="center"/>
        <w:tblLook w:val="04A0" w:firstRow="1" w:lastRow="0" w:firstColumn="1" w:lastColumn="0" w:noHBand="0" w:noVBand="1"/>
      </w:tblPr>
      <w:tblGrid>
        <w:gridCol w:w="1555"/>
        <w:gridCol w:w="2126"/>
      </w:tblGrid>
      <w:tr w:rsidR="00012AF6" w:rsidRPr="008B5A6F" w14:paraId="2E2D2F84" w14:textId="77777777" w:rsidTr="00535C02">
        <w:trPr>
          <w:tblHeader/>
          <w:jc w:val="center"/>
        </w:trPr>
        <w:tc>
          <w:tcPr>
            <w:tcW w:w="1555" w:type="dxa"/>
            <w:shd w:val="clear" w:color="auto" w:fill="D9D9D9" w:themeFill="background1" w:themeFillShade="D9"/>
          </w:tcPr>
          <w:p w14:paraId="72069D7C" w14:textId="77777777" w:rsidR="00012AF6" w:rsidRPr="008B5A6F" w:rsidRDefault="00012AF6" w:rsidP="00026AF6">
            <w:pPr>
              <w:jc w:val="center"/>
              <w:rPr>
                <w:b/>
                <w:bCs/>
              </w:rPr>
            </w:pPr>
            <w:r w:rsidRPr="008B5A6F">
              <w:rPr>
                <w:b/>
                <w:bCs/>
              </w:rPr>
              <w:t>Age group</w:t>
            </w:r>
          </w:p>
        </w:tc>
        <w:tc>
          <w:tcPr>
            <w:tcW w:w="2126" w:type="dxa"/>
            <w:shd w:val="clear" w:color="auto" w:fill="D9D9D9" w:themeFill="background1" w:themeFillShade="D9"/>
          </w:tcPr>
          <w:p w14:paraId="02D48634" w14:textId="1CD47D3B" w:rsidR="00012AF6" w:rsidRPr="008B5A6F" w:rsidRDefault="00012AF6" w:rsidP="00026AF6">
            <w:pPr>
              <w:jc w:val="center"/>
              <w:rPr>
                <w:b/>
                <w:bCs/>
              </w:rPr>
            </w:pPr>
            <w:r w:rsidRPr="008B5A6F">
              <w:rPr>
                <w:b/>
                <w:bCs/>
              </w:rPr>
              <w:t>Utility</w:t>
            </w:r>
          </w:p>
        </w:tc>
      </w:tr>
      <w:tr w:rsidR="00012AF6" w:rsidRPr="008B5A6F" w14:paraId="0F2A2A41" w14:textId="77777777" w:rsidTr="00535C02">
        <w:trPr>
          <w:jc w:val="center"/>
        </w:trPr>
        <w:tc>
          <w:tcPr>
            <w:tcW w:w="1555" w:type="dxa"/>
          </w:tcPr>
          <w:p w14:paraId="16849E65" w14:textId="77777777" w:rsidR="00012AF6" w:rsidRPr="008B5A6F" w:rsidRDefault="00012AF6" w:rsidP="00026AF6">
            <w:pPr>
              <w:jc w:val="center"/>
            </w:pPr>
            <w:r w:rsidRPr="008B5A6F">
              <w:t>18-24</w:t>
            </w:r>
          </w:p>
        </w:tc>
        <w:tc>
          <w:tcPr>
            <w:tcW w:w="2126" w:type="dxa"/>
          </w:tcPr>
          <w:p w14:paraId="78BD3F16" w14:textId="47F81388" w:rsidR="00012AF6" w:rsidRPr="008B5A6F" w:rsidRDefault="00012AF6" w:rsidP="00DF42C5">
            <w:pPr>
              <w:tabs>
                <w:tab w:val="decimal" w:pos="406"/>
              </w:tabs>
            </w:pPr>
            <w:r w:rsidRPr="008B5A6F">
              <w:t xml:space="preserve">0.92 </w:t>
            </w:r>
            <w:r w:rsidR="004530EA" w:rsidRPr="008B5A6F">
              <w:t xml:space="preserve">± </w:t>
            </w:r>
            <w:r w:rsidRPr="008B5A6F">
              <w:t>0.01</w:t>
            </w:r>
          </w:p>
        </w:tc>
      </w:tr>
      <w:tr w:rsidR="00012AF6" w:rsidRPr="008B5A6F" w14:paraId="69AEF415" w14:textId="77777777" w:rsidTr="00535C02">
        <w:trPr>
          <w:jc w:val="center"/>
        </w:trPr>
        <w:tc>
          <w:tcPr>
            <w:tcW w:w="1555" w:type="dxa"/>
          </w:tcPr>
          <w:p w14:paraId="5FA3AB72" w14:textId="77777777" w:rsidR="00012AF6" w:rsidRPr="008B5A6F" w:rsidRDefault="00012AF6" w:rsidP="00026AF6">
            <w:pPr>
              <w:jc w:val="center"/>
            </w:pPr>
            <w:r w:rsidRPr="008B5A6F">
              <w:t>25-34</w:t>
            </w:r>
          </w:p>
        </w:tc>
        <w:tc>
          <w:tcPr>
            <w:tcW w:w="2126" w:type="dxa"/>
          </w:tcPr>
          <w:p w14:paraId="24F51838" w14:textId="13122CF7" w:rsidR="00012AF6" w:rsidRPr="008B5A6F" w:rsidRDefault="00012AF6" w:rsidP="00DF42C5">
            <w:pPr>
              <w:tabs>
                <w:tab w:val="decimal" w:pos="406"/>
              </w:tabs>
            </w:pPr>
            <w:r w:rsidRPr="008B5A6F">
              <w:t xml:space="preserve">0.91 </w:t>
            </w:r>
            <w:r w:rsidR="004530EA" w:rsidRPr="008B5A6F">
              <w:t xml:space="preserve">± </w:t>
            </w:r>
            <w:r w:rsidRPr="008B5A6F">
              <w:t>0.01</w:t>
            </w:r>
          </w:p>
        </w:tc>
      </w:tr>
      <w:tr w:rsidR="00012AF6" w:rsidRPr="008B5A6F" w14:paraId="5750FCEA" w14:textId="77777777" w:rsidTr="00535C02">
        <w:trPr>
          <w:jc w:val="center"/>
        </w:trPr>
        <w:tc>
          <w:tcPr>
            <w:tcW w:w="1555" w:type="dxa"/>
          </w:tcPr>
          <w:p w14:paraId="77D6BE5D" w14:textId="77777777" w:rsidR="00012AF6" w:rsidRPr="008B5A6F" w:rsidRDefault="00012AF6" w:rsidP="00026AF6">
            <w:pPr>
              <w:jc w:val="center"/>
            </w:pPr>
            <w:r w:rsidRPr="008B5A6F">
              <w:t>35-44</w:t>
            </w:r>
          </w:p>
        </w:tc>
        <w:tc>
          <w:tcPr>
            <w:tcW w:w="2126" w:type="dxa"/>
          </w:tcPr>
          <w:p w14:paraId="0451F5D7" w14:textId="65D6EBD3" w:rsidR="00012AF6" w:rsidRPr="008B5A6F" w:rsidRDefault="00012AF6" w:rsidP="00DF42C5">
            <w:pPr>
              <w:tabs>
                <w:tab w:val="decimal" w:pos="406"/>
              </w:tabs>
            </w:pPr>
            <w:r w:rsidRPr="008B5A6F">
              <w:t>0.8</w:t>
            </w:r>
            <w:r w:rsidR="00DF42C5" w:rsidRPr="008B5A6F">
              <w:t>9</w:t>
            </w:r>
            <w:r w:rsidRPr="008B5A6F">
              <w:t xml:space="preserve"> </w:t>
            </w:r>
            <w:r w:rsidR="004530EA" w:rsidRPr="008B5A6F">
              <w:t xml:space="preserve">± </w:t>
            </w:r>
            <w:r w:rsidRPr="008B5A6F">
              <w:t>0.01</w:t>
            </w:r>
          </w:p>
        </w:tc>
      </w:tr>
      <w:tr w:rsidR="00012AF6" w:rsidRPr="008B5A6F" w14:paraId="0D618EB8" w14:textId="77777777" w:rsidTr="00535C02">
        <w:trPr>
          <w:jc w:val="center"/>
        </w:trPr>
        <w:tc>
          <w:tcPr>
            <w:tcW w:w="1555" w:type="dxa"/>
          </w:tcPr>
          <w:p w14:paraId="5903859B" w14:textId="77777777" w:rsidR="00012AF6" w:rsidRPr="008B5A6F" w:rsidRDefault="00012AF6" w:rsidP="00026AF6">
            <w:pPr>
              <w:jc w:val="center"/>
            </w:pPr>
            <w:r w:rsidRPr="008B5A6F">
              <w:t>45-54</w:t>
            </w:r>
          </w:p>
        </w:tc>
        <w:tc>
          <w:tcPr>
            <w:tcW w:w="2126" w:type="dxa"/>
          </w:tcPr>
          <w:p w14:paraId="77297B06" w14:textId="03BDE67E" w:rsidR="00012AF6" w:rsidRPr="008B5A6F" w:rsidRDefault="00012AF6" w:rsidP="00DF42C5">
            <w:pPr>
              <w:tabs>
                <w:tab w:val="decimal" w:pos="406"/>
              </w:tabs>
            </w:pPr>
            <w:r w:rsidRPr="008B5A6F">
              <w:t>0.8</w:t>
            </w:r>
            <w:r w:rsidR="00DF42C5" w:rsidRPr="008B5A6F">
              <w:t>6</w:t>
            </w:r>
            <w:r w:rsidRPr="008B5A6F">
              <w:t xml:space="preserve"> </w:t>
            </w:r>
            <w:r w:rsidR="004530EA" w:rsidRPr="008B5A6F">
              <w:t xml:space="preserve">± </w:t>
            </w:r>
            <w:r w:rsidRPr="008B5A6F">
              <w:t>0.01</w:t>
            </w:r>
          </w:p>
        </w:tc>
      </w:tr>
      <w:tr w:rsidR="00012AF6" w:rsidRPr="008B5A6F" w14:paraId="4494A866" w14:textId="77777777" w:rsidTr="00535C02">
        <w:trPr>
          <w:jc w:val="center"/>
        </w:trPr>
        <w:tc>
          <w:tcPr>
            <w:tcW w:w="1555" w:type="dxa"/>
          </w:tcPr>
          <w:p w14:paraId="72ACCDEE" w14:textId="77777777" w:rsidR="00012AF6" w:rsidRPr="008B5A6F" w:rsidRDefault="00012AF6" w:rsidP="00026AF6">
            <w:pPr>
              <w:jc w:val="center"/>
            </w:pPr>
            <w:r w:rsidRPr="008B5A6F">
              <w:t>55-64</w:t>
            </w:r>
          </w:p>
        </w:tc>
        <w:tc>
          <w:tcPr>
            <w:tcW w:w="2126" w:type="dxa"/>
          </w:tcPr>
          <w:p w14:paraId="6A65204A" w14:textId="07307EC2" w:rsidR="00012AF6" w:rsidRPr="008B5A6F" w:rsidRDefault="00012AF6" w:rsidP="00DF42C5">
            <w:pPr>
              <w:tabs>
                <w:tab w:val="decimal" w:pos="406"/>
              </w:tabs>
            </w:pPr>
            <w:r w:rsidRPr="008B5A6F">
              <w:t xml:space="preserve">0.83 </w:t>
            </w:r>
            <w:r w:rsidR="004530EA" w:rsidRPr="008B5A6F">
              <w:t xml:space="preserve">± </w:t>
            </w:r>
            <w:r w:rsidRPr="008B5A6F">
              <w:t>0.01</w:t>
            </w:r>
          </w:p>
        </w:tc>
      </w:tr>
      <w:tr w:rsidR="00012AF6" w:rsidRPr="008B5A6F" w14:paraId="44D2974A" w14:textId="77777777" w:rsidTr="00535C02">
        <w:trPr>
          <w:jc w:val="center"/>
        </w:trPr>
        <w:tc>
          <w:tcPr>
            <w:tcW w:w="1555" w:type="dxa"/>
          </w:tcPr>
          <w:p w14:paraId="160D3204" w14:textId="77777777" w:rsidR="00012AF6" w:rsidRPr="008B5A6F" w:rsidRDefault="00012AF6" w:rsidP="00026AF6">
            <w:pPr>
              <w:jc w:val="center"/>
            </w:pPr>
            <w:r w:rsidRPr="008B5A6F">
              <w:t>65-74</w:t>
            </w:r>
          </w:p>
        </w:tc>
        <w:tc>
          <w:tcPr>
            <w:tcW w:w="2126" w:type="dxa"/>
          </w:tcPr>
          <w:p w14:paraId="13447895" w14:textId="18432BA4" w:rsidR="00012AF6" w:rsidRPr="008B5A6F" w:rsidRDefault="00012AF6" w:rsidP="00DF42C5">
            <w:pPr>
              <w:tabs>
                <w:tab w:val="decimal" w:pos="406"/>
              </w:tabs>
            </w:pPr>
            <w:r w:rsidRPr="008B5A6F">
              <w:t>0.8</w:t>
            </w:r>
            <w:r w:rsidR="00DF42C5" w:rsidRPr="008B5A6F">
              <w:t>2</w:t>
            </w:r>
            <w:r w:rsidRPr="008B5A6F">
              <w:t xml:space="preserve"> </w:t>
            </w:r>
            <w:r w:rsidR="004530EA" w:rsidRPr="008B5A6F">
              <w:t xml:space="preserve">± </w:t>
            </w:r>
            <w:r w:rsidRPr="008B5A6F">
              <w:t>0.01</w:t>
            </w:r>
          </w:p>
        </w:tc>
      </w:tr>
      <w:tr w:rsidR="00012AF6" w:rsidRPr="008B5A6F" w14:paraId="1DA5AB1F" w14:textId="77777777" w:rsidTr="00535C02">
        <w:trPr>
          <w:jc w:val="center"/>
        </w:trPr>
        <w:tc>
          <w:tcPr>
            <w:tcW w:w="1555" w:type="dxa"/>
          </w:tcPr>
          <w:p w14:paraId="5E02BD56" w14:textId="77777777" w:rsidR="00012AF6" w:rsidRPr="008B5A6F" w:rsidRDefault="00012AF6" w:rsidP="00026AF6">
            <w:pPr>
              <w:jc w:val="center"/>
            </w:pPr>
            <w:r w:rsidRPr="008B5A6F">
              <w:t>75+</w:t>
            </w:r>
          </w:p>
        </w:tc>
        <w:tc>
          <w:tcPr>
            <w:tcW w:w="2126" w:type="dxa"/>
          </w:tcPr>
          <w:p w14:paraId="2A2662B6" w14:textId="18789C25" w:rsidR="00012AF6" w:rsidRPr="008B5A6F" w:rsidRDefault="00012AF6" w:rsidP="00DF42C5">
            <w:pPr>
              <w:tabs>
                <w:tab w:val="decimal" w:pos="406"/>
              </w:tabs>
            </w:pPr>
            <w:r w:rsidRPr="008B5A6F">
              <w:t>0.7</w:t>
            </w:r>
            <w:r w:rsidR="00DF42C5" w:rsidRPr="008B5A6F">
              <w:t>6</w:t>
            </w:r>
            <w:r w:rsidRPr="008B5A6F">
              <w:t xml:space="preserve"> </w:t>
            </w:r>
            <w:r w:rsidR="004530EA" w:rsidRPr="008B5A6F">
              <w:t xml:space="preserve">± </w:t>
            </w:r>
            <w:r w:rsidRPr="008B5A6F">
              <w:t>0.01</w:t>
            </w:r>
          </w:p>
        </w:tc>
      </w:tr>
    </w:tbl>
    <w:p w14:paraId="7FA17CAE" w14:textId="45A17B37" w:rsidR="00012AF6" w:rsidRPr="008B5A6F" w:rsidRDefault="003B2474">
      <w:proofErr w:type="spellStart"/>
      <w:r w:rsidRPr="008B5A6F">
        <w:rPr>
          <w:vertAlign w:val="superscript"/>
        </w:rPr>
        <w:t>a</w:t>
      </w:r>
      <w:r w:rsidRPr="008B5A6F">
        <w:t>Data</w:t>
      </w:r>
      <w:proofErr w:type="spellEnd"/>
      <w:r w:rsidRPr="008B5A6F">
        <w:t xml:space="preserve"> are presented as mean ± S</w:t>
      </w:r>
      <w:r w:rsidR="00B21947">
        <w:t>E</w:t>
      </w:r>
      <w:r w:rsidR="002B6025" w:rsidRPr="008B5A6F">
        <w:t xml:space="preserve"> and are derived from </w:t>
      </w:r>
      <w:proofErr w:type="spellStart"/>
      <w:r w:rsidR="002B6025" w:rsidRPr="008B5A6F">
        <w:t>Szende</w:t>
      </w:r>
      <w:proofErr w:type="spellEnd"/>
      <w:r w:rsidR="002B6025" w:rsidRPr="008B5A6F">
        <w:t xml:space="preserve"> et al. 2014., DOI 10.1007/978-94-007-7596-1. </w:t>
      </w:r>
      <w:r w:rsidRPr="008B5A6F">
        <w:t>Beta distributions used to represent uncertainty.</w:t>
      </w:r>
    </w:p>
    <w:sectPr w:rsidR="00012AF6" w:rsidRPr="008B5A6F" w:rsidSect="0044059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CC11" w14:textId="77777777" w:rsidR="0003795F" w:rsidRDefault="0003795F" w:rsidP="00026AF6">
      <w:pPr>
        <w:spacing w:after="0"/>
      </w:pPr>
      <w:r>
        <w:separator/>
      </w:r>
    </w:p>
  </w:endnote>
  <w:endnote w:type="continuationSeparator" w:id="0">
    <w:p w14:paraId="157F5960" w14:textId="77777777" w:rsidR="0003795F" w:rsidRDefault="0003795F" w:rsidP="00026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75077"/>
      <w:docPartObj>
        <w:docPartGallery w:val="Page Numbers (Bottom of Page)"/>
        <w:docPartUnique/>
      </w:docPartObj>
    </w:sdtPr>
    <w:sdtEndPr>
      <w:rPr>
        <w:noProof/>
      </w:rPr>
    </w:sdtEndPr>
    <w:sdtContent>
      <w:p w14:paraId="222CC7CA" w14:textId="39E37E1F" w:rsidR="00E1364E" w:rsidRDefault="00E136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133FD" w14:textId="77777777" w:rsidR="00E1364E" w:rsidRDefault="00E1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D1C4" w14:textId="77777777" w:rsidR="0003795F" w:rsidRDefault="0003795F" w:rsidP="00026AF6">
      <w:pPr>
        <w:spacing w:after="0"/>
      </w:pPr>
      <w:r>
        <w:separator/>
      </w:r>
    </w:p>
  </w:footnote>
  <w:footnote w:type="continuationSeparator" w:id="0">
    <w:p w14:paraId="2BE37228" w14:textId="77777777" w:rsidR="0003795F" w:rsidRDefault="0003795F" w:rsidP="00026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B0D"/>
    <w:multiLevelType w:val="hybridMultilevel"/>
    <w:tmpl w:val="0B52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4412C"/>
    <w:multiLevelType w:val="hybridMultilevel"/>
    <w:tmpl w:val="F41C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3456"/>
    <w:multiLevelType w:val="hybridMultilevel"/>
    <w:tmpl w:val="31DC0B06"/>
    <w:lvl w:ilvl="0" w:tplc="626083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XCitationStyleId" w:val="apa"/>
    <w:docVar w:name="QXCookie" w:val="93176917"/>
  </w:docVars>
  <w:rsids>
    <w:rsidRoot w:val="00012AF6"/>
    <w:rsid w:val="0001216C"/>
    <w:rsid w:val="00012AF6"/>
    <w:rsid w:val="00026AF6"/>
    <w:rsid w:val="0003795F"/>
    <w:rsid w:val="0004401D"/>
    <w:rsid w:val="00085D50"/>
    <w:rsid w:val="000970C6"/>
    <w:rsid w:val="000E7090"/>
    <w:rsid w:val="000F3CDB"/>
    <w:rsid w:val="00162BC9"/>
    <w:rsid w:val="0021492B"/>
    <w:rsid w:val="00233C92"/>
    <w:rsid w:val="00241AE6"/>
    <w:rsid w:val="00281F61"/>
    <w:rsid w:val="00293280"/>
    <w:rsid w:val="002B6025"/>
    <w:rsid w:val="002D30C9"/>
    <w:rsid w:val="002D3A32"/>
    <w:rsid w:val="002F6C78"/>
    <w:rsid w:val="00317EF7"/>
    <w:rsid w:val="00343010"/>
    <w:rsid w:val="00357A51"/>
    <w:rsid w:val="00363709"/>
    <w:rsid w:val="0036418C"/>
    <w:rsid w:val="00394799"/>
    <w:rsid w:val="003B2474"/>
    <w:rsid w:val="003F26C6"/>
    <w:rsid w:val="00410299"/>
    <w:rsid w:val="00413732"/>
    <w:rsid w:val="00436772"/>
    <w:rsid w:val="0044059F"/>
    <w:rsid w:val="00451E7E"/>
    <w:rsid w:val="004530EA"/>
    <w:rsid w:val="004532E0"/>
    <w:rsid w:val="004721B3"/>
    <w:rsid w:val="00483FD1"/>
    <w:rsid w:val="004941AC"/>
    <w:rsid w:val="004E066B"/>
    <w:rsid w:val="004E5B09"/>
    <w:rsid w:val="004E7648"/>
    <w:rsid w:val="00532BCB"/>
    <w:rsid w:val="00535C02"/>
    <w:rsid w:val="00556D05"/>
    <w:rsid w:val="00564612"/>
    <w:rsid w:val="00574D1F"/>
    <w:rsid w:val="0058221A"/>
    <w:rsid w:val="00587D11"/>
    <w:rsid w:val="00600AD6"/>
    <w:rsid w:val="00630E97"/>
    <w:rsid w:val="006B4DB2"/>
    <w:rsid w:val="006D7050"/>
    <w:rsid w:val="006E053D"/>
    <w:rsid w:val="007102E3"/>
    <w:rsid w:val="0075527E"/>
    <w:rsid w:val="007814A7"/>
    <w:rsid w:val="0088614E"/>
    <w:rsid w:val="00887BBA"/>
    <w:rsid w:val="008B5A6F"/>
    <w:rsid w:val="008C4E28"/>
    <w:rsid w:val="008F5B83"/>
    <w:rsid w:val="009310FE"/>
    <w:rsid w:val="0098325B"/>
    <w:rsid w:val="00993BDE"/>
    <w:rsid w:val="009B3EA8"/>
    <w:rsid w:val="009F7502"/>
    <w:rsid w:val="00A15921"/>
    <w:rsid w:val="00A820E9"/>
    <w:rsid w:val="00A8305B"/>
    <w:rsid w:val="00A85A7B"/>
    <w:rsid w:val="00AD7F89"/>
    <w:rsid w:val="00AF48B2"/>
    <w:rsid w:val="00B21947"/>
    <w:rsid w:val="00B81EC6"/>
    <w:rsid w:val="00B91E11"/>
    <w:rsid w:val="00BA6DC0"/>
    <w:rsid w:val="00BB2587"/>
    <w:rsid w:val="00BB4616"/>
    <w:rsid w:val="00C52B70"/>
    <w:rsid w:val="00C57EDD"/>
    <w:rsid w:val="00C674BB"/>
    <w:rsid w:val="00CC6B38"/>
    <w:rsid w:val="00CC781F"/>
    <w:rsid w:val="00D13D46"/>
    <w:rsid w:val="00D6285B"/>
    <w:rsid w:val="00D85E0E"/>
    <w:rsid w:val="00DB5D3D"/>
    <w:rsid w:val="00DD67AC"/>
    <w:rsid w:val="00DF42C5"/>
    <w:rsid w:val="00E1364E"/>
    <w:rsid w:val="00E20EAC"/>
    <w:rsid w:val="00E8316F"/>
    <w:rsid w:val="00EA3A4F"/>
    <w:rsid w:val="00ED781C"/>
    <w:rsid w:val="00F12675"/>
    <w:rsid w:val="00F36C5C"/>
    <w:rsid w:val="00F44032"/>
    <w:rsid w:val="00F57113"/>
    <w:rsid w:val="00FA4876"/>
    <w:rsid w:val="00FF1142"/>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A9D20"/>
  <w14:defaultImageDpi w14:val="300"/>
  <w15:chartTrackingRefBased/>
  <w15:docId w15:val="{4798F890-BCBB-C44F-98AE-2BE047E5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C92"/>
    <w:pPr>
      <w:spacing w:after="120"/>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rsid w:val="00233C92"/>
    <w:pPr>
      <w:spacing w:after="0"/>
      <w:ind w:left="240"/>
    </w:pPr>
    <w:rPr>
      <w:sz w:val="22"/>
      <w:szCs w:val="22"/>
    </w:rPr>
  </w:style>
  <w:style w:type="paragraph" w:styleId="TOC1">
    <w:name w:val="toc 1"/>
    <w:basedOn w:val="Normal"/>
    <w:next w:val="Normal"/>
    <w:uiPriority w:val="39"/>
    <w:rsid w:val="00233C92"/>
    <w:pPr>
      <w:spacing w:before="120" w:after="0"/>
    </w:pPr>
    <w:rPr>
      <w:b/>
      <w:bCs/>
      <w:sz w:val="22"/>
      <w:szCs w:val="22"/>
    </w:rPr>
  </w:style>
  <w:style w:type="paragraph" w:styleId="TOC3">
    <w:name w:val="toc 3"/>
    <w:basedOn w:val="Normal"/>
    <w:next w:val="Normal"/>
    <w:uiPriority w:val="39"/>
    <w:rsid w:val="00233C92"/>
    <w:pPr>
      <w:spacing w:after="0"/>
      <w:ind w:left="480"/>
    </w:pPr>
    <w:rPr>
      <w:i/>
      <w:iCs/>
      <w:sz w:val="22"/>
      <w:szCs w:val="22"/>
    </w:rPr>
  </w:style>
  <w:style w:type="paragraph" w:styleId="BalloonText">
    <w:name w:val="Balloon Text"/>
    <w:basedOn w:val="Normal"/>
    <w:link w:val="BalloonTextChar"/>
    <w:uiPriority w:val="99"/>
    <w:semiHidden/>
    <w:unhideWhenUsed/>
    <w:rsid w:val="002149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92B"/>
    <w:rPr>
      <w:rFonts w:ascii="Lucida Grande" w:eastAsia="Times New Roman" w:hAnsi="Lucida Grande" w:cs="Lucida Grande"/>
      <w:sz w:val="18"/>
      <w:szCs w:val="18"/>
    </w:rPr>
  </w:style>
  <w:style w:type="table" w:styleId="TableGrid">
    <w:name w:val="Table Grid"/>
    <w:basedOn w:val="TableNormal"/>
    <w:uiPriority w:val="39"/>
    <w:rsid w:val="00012AF6"/>
    <w:rPr>
      <w:rFonts w:ascii="Arial" w:eastAsiaTheme="minorEastAsia"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7A51"/>
    <w:pPr>
      <w:spacing w:after="0"/>
    </w:pPr>
    <w:rPr>
      <w:rFonts w:eastAsiaTheme="minorEastAsia" w:cstheme="minorBidi"/>
      <w:lang w:eastAsia="en-US"/>
    </w:rPr>
  </w:style>
  <w:style w:type="character" w:styleId="CommentReference">
    <w:name w:val="annotation reference"/>
    <w:basedOn w:val="DefaultParagraphFont"/>
    <w:uiPriority w:val="99"/>
    <w:semiHidden/>
    <w:unhideWhenUsed/>
    <w:rsid w:val="00012AF6"/>
    <w:rPr>
      <w:sz w:val="16"/>
      <w:szCs w:val="16"/>
    </w:rPr>
  </w:style>
  <w:style w:type="paragraph" w:styleId="CommentText">
    <w:name w:val="annotation text"/>
    <w:basedOn w:val="Normal"/>
    <w:link w:val="CommentTextChar"/>
    <w:uiPriority w:val="99"/>
    <w:semiHidden/>
    <w:unhideWhenUsed/>
    <w:rsid w:val="00012AF6"/>
    <w:pPr>
      <w:spacing w:after="0"/>
    </w:pPr>
    <w:rPr>
      <w:rFonts w:eastAsiaTheme="minorEastAsia" w:cstheme="minorBidi"/>
      <w:sz w:val="20"/>
      <w:szCs w:val="20"/>
      <w:lang w:eastAsia="en-US"/>
    </w:rPr>
  </w:style>
  <w:style w:type="character" w:customStyle="1" w:styleId="CommentTextChar">
    <w:name w:val="Comment Text Char"/>
    <w:basedOn w:val="DefaultParagraphFont"/>
    <w:link w:val="CommentText"/>
    <w:uiPriority w:val="99"/>
    <w:semiHidden/>
    <w:rsid w:val="00012AF6"/>
    <w:rPr>
      <w:rFonts w:ascii="Arial" w:eastAsiaTheme="minorEastAsia" w:hAnsi="Arial"/>
      <w:sz w:val="20"/>
      <w:szCs w:val="20"/>
      <w:lang w:eastAsia="en-US"/>
    </w:rPr>
  </w:style>
  <w:style w:type="paragraph" w:styleId="CommentSubject">
    <w:name w:val="annotation subject"/>
    <w:basedOn w:val="CommentText"/>
    <w:next w:val="CommentText"/>
    <w:link w:val="CommentSubjectChar"/>
    <w:uiPriority w:val="99"/>
    <w:semiHidden/>
    <w:unhideWhenUsed/>
    <w:rsid w:val="00012AF6"/>
    <w:pPr>
      <w:spacing w:after="120"/>
    </w:pPr>
    <w:rPr>
      <w:rFonts w:eastAsia="Times New Roman" w:cs="Times New Roman"/>
      <w:b/>
      <w:bCs/>
      <w:lang w:eastAsia="ja-JP"/>
    </w:rPr>
  </w:style>
  <w:style w:type="character" w:customStyle="1" w:styleId="CommentSubjectChar">
    <w:name w:val="Comment Subject Char"/>
    <w:basedOn w:val="CommentTextChar"/>
    <w:link w:val="CommentSubject"/>
    <w:uiPriority w:val="99"/>
    <w:semiHidden/>
    <w:rsid w:val="00012AF6"/>
    <w:rPr>
      <w:rFonts w:ascii="Arial" w:eastAsiaTheme="minorEastAsia" w:hAnsi="Arial" w:cs="Times New Roman"/>
      <w:b/>
      <w:bCs/>
      <w:sz w:val="20"/>
      <w:szCs w:val="20"/>
      <w:lang w:eastAsia="en-US"/>
    </w:rPr>
  </w:style>
  <w:style w:type="paragraph" w:styleId="ListParagraph">
    <w:name w:val="List Paragraph"/>
    <w:basedOn w:val="Normal"/>
    <w:uiPriority w:val="34"/>
    <w:qFormat/>
    <w:rsid w:val="00C674BB"/>
    <w:pPr>
      <w:spacing w:after="0"/>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026AF6"/>
    <w:pPr>
      <w:tabs>
        <w:tab w:val="center" w:pos="4680"/>
        <w:tab w:val="right" w:pos="9360"/>
      </w:tabs>
      <w:spacing w:after="0"/>
    </w:pPr>
  </w:style>
  <w:style w:type="character" w:customStyle="1" w:styleId="HeaderChar">
    <w:name w:val="Header Char"/>
    <w:basedOn w:val="DefaultParagraphFont"/>
    <w:link w:val="Header"/>
    <w:uiPriority w:val="99"/>
    <w:rsid w:val="00026AF6"/>
    <w:rPr>
      <w:rFonts w:ascii="Arial" w:hAnsi="Arial" w:cs="Times New Roman"/>
    </w:rPr>
  </w:style>
  <w:style w:type="paragraph" w:styleId="Footer">
    <w:name w:val="footer"/>
    <w:basedOn w:val="Normal"/>
    <w:link w:val="FooterChar"/>
    <w:uiPriority w:val="99"/>
    <w:unhideWhenUsed/>
    <w:rsid w:val="00026AF6"/>
    <w:pPr>
      <w:tabs>
        <w:tab w:val="center" w:pos="4680"/>
        <w:tab w:val="right" w:pos="9360"/>
      </w:tabs>
      <w:spacing w:after="0"/>
    </w:pPr>
  </w:style>
  <w:style w:type="character" w:customStyle="1" w:styleId="FooterChar">
    <w:name w:val="Footer Char"/>
    <w:basedOn w:val="DefaultParagraphFont"/>
    <w:link w:val="Footer"/>
    <w:uiPriority w:val="99"/>
    <w:rsid w:val="00026AF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1C4D-1C47-4C52-A7F4-266B7E9B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McAdara</dc:creator>
  <cp:keywords/>
  <dc:description/>
  <cp:lastModifiedBy>Gasquet, Nicolas</cp:lastModifiedBy>
  <cp:revision>3</cp:revision>
  <dcterms:created xsi:type="dcterms:W3CDTF">2020-05-04T21:06:00Z</dcterms:created>
  <dcterms:modified xsi:type="dcterms:W3CDTF">2020-05-18T17:38:00Z</dcterms:modified>
</cp:coreProperties>
</file>