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0" w:rsidRPr="00277344" w:rsidRDefault="00AA1C00" w:rsidP="00AA1C00">
      <w:pPr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</w:pPr>
      <w:bookmarkStart w:id="0" w:name="_GoBack"/>
      <w:bookmarkEnd w:id="0"/>
      <w:r w:rsidRPr="00277344"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t>Inclusion and exclusion criteria of the BREX study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A1C00" w:rsidRPr="005B6F87" w:rsidTr="003D7087">
        <w:tc>
          <w:tcPr>
            <w:tcW w:w="9628" w:type="dxa"/>
            <w:tcBorders>
              <w:bottom w:val="single" w:sz="4" w:space="0" w:color="auto"/>
            </w:tcBorders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b/>
                <w:color w:val="131413"/>
                <w:sz w:val="16"/>
                <w:szCs w:val="16"/>
                <w:lang w:val="en-US"/>
              </w:rPr>
            </w:pPr>
            <w:r w:rsidRPr="00277344">
              <w:rPr>
                <w:rFonts w:ascii="Times New Roman" w:hAnsi="Times New Roman" w:cs="Times New Roman"/>
                <w:b/>
                <w:color w:val="131413"/>
                <w:sz w:val="16"/>
                <w:szCs w:val="16"/>
                <w:lang w:val="en-US"/>
              </w:rPr>
              <w:t>Inclusion criteria</w:t>
            </w:r>
          </w:p>
        </w:tc>
      </w:tr>
      <w:tr w:rsidR="00AA1C00" w:rsidRPr="00571A30" w:rsidTr="003D7087">
        <w:tc>
          <w:tcPr>
            <w:tcW w:w="9628" w:type="dxa"/>
            <w:tcBorders>
              <w:top w:val="single" w:sz="4" w:space="0" w:color="auto"/>
            </w:tcBorders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 w:rsidRPr="000A2037"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Histologically proven invasi</w:t>
            </w:r>
            <w:r w:rsidRPr="00277344"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ve breast cancer</w:t>
            </w: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 xml:space="preserve"> T1-4 N0-3 M0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Pre- or postmenopausal breast cancer patients treated with adjuvant chemotherapy and/or endocrine therapy</w:t>
            </w:r>
          </w:p>
        </w:tc>
      </w:tr>
      <w:tr w:rsidR="00AA1C0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Age 35 to 68 years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Signed informed consent prior to beginning trial specific procedures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spacing w:after="160" w:line="259" w:lineRule="auto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</w:p>
        </w:tc>
      </w:tr>
      <w:tr w:rsidR="00AA1C00" w:rsidTr="003D7087">
        <w:tc>
          <w:tcPr>
            <w:tcW w:w="9628" w:type="dxa"/>
            <w:tcBorders>
              <w:bottom w:val="single" w:sz="4" w:space="0" w:color="auto"/>
            </w:tcBorders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b/>
                <w:color w:val="131413"/>
                <w:sz w:val="16"/>
                <w:szCs w:val="16"/>
                <w:lang w:val="en-US"/>
              </w:rPr>
            </w:pPr>
            <w:r w:rsidRPr="00277344">
              <w:rPr>
                <w:rFonts w:ascii="Times New Roman" w:hAnsi="Times New Roman" w:cs="Times New Roman"/>
                <w:b/>
                <w:color w:val="131413"/>
                <w:sz w:val="16"/>
                <w:szCs w:val="16"/>
                <w:lang w:val="en-US"/>
              </w:rPr>
              <w:t>Exclusion criteria</w:t>
            </w:r>
          </w:p>
        </w:tc>
      </w:tr>
      <w:tr w:rsidR="00AA1C00" w:rsidTr="003D7087">
        <w:tc>
          <w:tcPr>
            <w:tcW w:w="9628" w:type="dxa"/>
            <w:tcBorders>
              <w:top w:val="single" w:sz="4" w:space="0" w:color="auto"/>
            </w:tcBorders>
          </w:tcPr>
          <w:p w:rsidR="00AA1C00" w:rsidRDefault="00AA1C00" w:rsidP="003D7087">
            <w:pPr>
              <w:spacing w:after="160" w:line="259" w:lineRule="auto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</w:p>
          <w:p w:rsidR="00AA1C00" w:rsidRPr="00277344" w:rsidRDefault="00C73C1F" w:rsidP="003D7087">
            <w:pPr>
              <w:spacing w:after="160" w:line="259" w:lineRule="auto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Male sex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Prior malignancy except basal cell carcinoma or in situ carcinoma</w:t>
            </w:r>
          </w:p>
        </w:tc>
      </w:tr>
      <w:tr w:rsidR="00AA1C0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No systemic adjuvant therapy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 xml:space="preserve">Postmenopausal women with only antiestrogens (+/- radiotherapy) as adjuvant therapy 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Pregnancy or recent lactation (&lt;1 year)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Severe cardiac disease (NYHA ≥3), myocardial infarction within 1 year or uncontrolled hypertension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Verified osteoporosis (proximal femur or lumbar spine T-score&lt;-2.5 or fracture without trauma)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 xml:space="preserve">Concomitant medication affecting calcium and bone metabolism such as bisphosphonates, calcitonin, PTH, SERMs, oral corticosteroids &gt;6 months, anticonvulsants phenytoin or </w:t>
            </w:r>
            <w:proofErr w:type="spellStart"/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carbamatsepine</w:t>
            </w:r>
            <w:proofErr w:type="spellEnd"/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, prolonged heparin therapy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Other diseases affecting calcium and bone metabolism such as hyperthyroidism, newly diagnosed hypothyroidism, primary hyperparathyroidism, renal failure, chronic hepatic diseases, organ transplant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Other serious illness or medical condition, which could be contradiction to exercise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Patient not capable of training (severe knee arthrosis, severe ligament or cartilage injuries of lower extremities)</w:t>
            </w:r>
          </w:p>
        </w:tc>
      </w:tr>
      <w:tr w:rsidR="00AA1C00" w:rsidRPr="00571A3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Residence &gt; one hour from the exercise center</w:t>
            </w:r>
          </w:p>
        </w:tc>
      </w:tr>
      <w:tr w:rsidR="00AA1C00" w:rsidTr="003D7087">
        <w:tc>
          <w:tcPr>
            <w:tcW w:w="9628" w:type="dxa"/>
          </w:tcPr>
          <w:p w:rsidR="00AA1C00" w:rsidRPr="00277344" w:rsidRDefault="00AA1C00" w:rsidP="003D7087">
            <w:pPr>
              <w:keepNext/>
              <w:keepLines/>
              <w:spacing w:before="200" w:after="160" w:line="259" w:lineRule="auto"/>
              <w:outlineLvl w:val="1"/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16"/>
                <w:szCs w:val="16"/>
                <w:lang w:val="en-US"/>
              </w:rPr>
              <w:t>Competitive athlete</w:t>
            </w:r>
          </w:p>
        </w:tc>
      </w:tr>
    </w:tbl>
    <w:p w:rsidR="001356A2" w:rsidRDefault="00571A30"/>
    <w:sectPr w:rsidR="00135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D2" w:rsidRDefault="007A1AD2" w:rsidP="007A1AD2">
      <w:pPr>
        <w:spacing w:after="0" w:line="240" w:lineRule="auto"/>
      </w:pPr>
      <w:r>
        <w:separator/>
      </w:r>
    </w:p>
  </w:endnote>
  <w:endnote w:type="continuationSeparator" w:id="0">
    <w:p w:rsidR="007A1AD2" w:rsidRDefault="007A1AD2" w:rsidP="007A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2" w:rsidRDefault="007A1AD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2" w:rsidRDefault="007A1AD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2" w:rsidRDefault="007A1A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D2" w:rsidRDefault="007A1AD2" w:rsidP="007A1AD2">
      <w:pPr>
        <w:spacing w:after="0" w:line="240" w:lineRule="auto"/>
      </w:pPr>
      <w:r>
        <w:separator/>
      </w:r>
    </w:p>
  </w:footnote>
  <w:footnote w:type="continuationSeparator" w:id="0">
    <w:p w:rsidR="007A1AD2" w:rsidRDefault="007A1AD2" w:rsidP="007A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2" w:rsidRDefault="007A1A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2" w:rsidRDefault="007A1AD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D2" w:rsidRDefault="007A1AD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00"/>
    <w:rsid w:val="004D4850"/>
    <w:rsid w:val="00571A30"/>
    <w:rsid w:val="00651FE9"/>
    <w:rsid w:val="007A1AD2"/>
    <w:rsid w:val="00AA1C00"/>
    <w:rsid w:val="00C47558"/>
    <w:rsid w:val="00C73C1F"/>
    <w:rsid w:val="00E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1C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A1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1AD2"/>
  </w:style>
  <w:style w:type="paragraph" w:styleId="Alatunniste">
    <w:name w:val="footer"/>
    <w:basedOn w:val="Normaali"/>
    <w:link w:val="AlatunnisteChar"/>
    <w:uiPriority w:val="99"/>
    <w:unhideWhenUsed/>
    <w:rsid w:val="007A1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2020-05-01T12:10:00Z</dcterms:created>
  <dcterms:modified xsi:type="dcterms:W3CDTF">2020-05-01T12:10:00Z</dcterms:modified>
</cp:coreProperties>
</file>