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BC" w:rsidRPr="004F7834" w:rsidRDefault="00AA57BC" w:rsidP="00AA57BC">
      <w:pPr>
        <w:pStyle w:val="Manuscriptbodytitle"/>
        <w:spacing w:line="360" w:lineRule="auto"/>
        <w:ind w:left="567" w:hanging="567"/>
        <w:rPr>
          <w:rFonts w:ascii="Times New Roman" w:hAnsi="Times New Roman" w:cs="Times New Roman"/>
          <w:b w:val="0"/>
        </w:rPr>
      </w:pPr>
      <w:r w:rsidRPr="004F7834">
        <w:rPr>
          <w:rFonts w:asciiTheme="minorHAnsi" w:hAnsiTheme="minorHAnsi" w:cstheme="minorHAnsi"/>
        </w:rPr>
        <w:t>SUPPLEMENTARY DATA</w:t>
      </w: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4F7834">
        <w:rPr>
          <w:lang w:val="en-US"/>
        </w:rPr>
        <w:t xml:space="preserve">Supplementary Table </w:t>
      </w:r>
      <w:r w:rsidRPr="004F7834">
        <w:rPr>
          <w:noProof/>
          <w:lang w:val="en-US"/>
        </w:rPr>
        <w:t>1</w:t>
      </w:r>
      <w:r w:rsidRPr="004F7834">
        <w:rPr>
          <w:lang w:val="en-US"/>
        </w:rPr>
        <w:t>.</w:t>
      </w:r>
      <w:r w:rsidRPr="004F7834">
        <w:rPr>
          <w:rFonts w:cstheme="minorHAnsi"/>
          <w:lang w:val="en-US"/>
        </w:rPr>
        <w:t xml:space="preserve"> Incidence of fractures per 100,000 person-years in the UK by age</w:t>
      </w:r>
    </w:p>
    <w:tbl>
      <w:tblPr>
        <w:tblStyle w:val="PlainTable41"/>
        <w:tblW w:w="5000" w:type="pct"/>
        <w:tblLook w:val="0600" w:firstRow="0" w:lastRow="0" w:firstColumn="0" w:lastColumn="0" w:noHBand="1" w:noVBand="1"/>
      </w:tblPr>
      <w:tblGrid>
        <w:gridCol w:w="5296"/>
        <w:gridCol w:w="842"/>
        <w:gridCol w:w="1257"/>
        <w:gridCol w:w="905"/>
      </w:tblGrid>
      <w:tr w:rsidR="00AA57BC" w:rsidRPr="004F7834" w:rsidTr="00AB5E1D">
        <w:tc>
          <w:tcPr>
            <w:tcW w:w="3191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Vertebral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NHNV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50–54</w:t>
            </w:r>
          </w:p>
        </w:tc>
        <w:tc>
          <w:tcPr>
            <w:tcW w:w="50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75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</w:t>
            </w:r>
          </w:p>
        </w:tc>
        <w:tc>
          <w:tcPr>
            <w:tcW w:w="54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633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55–59</w:t>
            </w:r>
          </w:p>
        </w:tc>
        <w:tc>
          <w:tcPr>
            <w:tcW w:w="50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75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142</w:t>
            </w:r>
          </w:p>
        </w:tc>
        <w:tc>
          <w:tcPr>
            <w:tcW w:w="54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813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60–64</w:t>
            </w:r>
          </w:p>
        </w:tc>
        <w:tc>
          <w:tcPr>
            <w:tcW w:w="50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</w:t>
            </w:r>
          </w:p>
        </w:tc>
        <w:tc>
          <w:tcPr>
            <w:tcW w:w="75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143</w:t>
            </w:r>
          </w:p>
        </w:tc>
        <w:tc>
          <w:tcPr>
            <w:tcW w:w="54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979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65–69</w:t>
            </w:r>
          </w:p>
        </w:tc>
        <w:tc>
          <w:tcPr>
            <w:tcW w:w="50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</w:t>
            </w:r>
          </w:p>
        </w:tc>
        <w:tc>
          <w:tcPr>
            <w:tcW w:w="75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192</w:t>
            </w:r>
          </w:p>
        </w:tc>
        <w:tc>
          <w:tcPr>
            <w:tcW w:w="54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1,425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70–74</w:t>
            </w:r>
          </w:p>
        </w:tc>
        <w:tc>
          <w:tcPr>
            <w:tcW w:w="50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282</w:t>
            </w:r>
          </w:p>
        </w:tc>
        <w:tc>
          <w:tcPr>
            <w:tcW w:w="757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397</w:t>
            </w:r>
          </w:p>
        </w:tc>
        <w:tc>
          <w:tcPr>
            <w:tcW w:w="54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1,928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75–79</w:t>
            </w:r>
          </w:p>
        </w:tc>
        <w:tc>
          <w:tcPr>
            <w:tcW w:w="50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619</w:t>
            </w:r>
          </w:p>
        </w:tc>
        <w:tc>
          <w:tcPr>
            <w:tcW w:w="75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602</w:t>
            </w:r>
          </w:p>
        </w:tc>
        <w:tc>
          <w:tcPr>
            <w:tcW w:w="54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2,891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80–84</w:t>
            </w:r>
          </w:p>
        </w:tc>
        <w:tc>
          <w:tcPr>
            <w:tcW w:w="50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1,236</w:t>
            </w:r>
          </w:p>
        </w:tc>
        <w:tc>
          <w:tcPr>
            <w:tcW w:w="75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777</w:t>
            </w:r>
          </w:p>
        </w:tc>
        <w:tc>
          <w:tcPr>
            <w:tcW w:w="54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3,876</w:t>
            </w:r>
          </w:p>
        </w:tc>
      </w:tr>
      <w:tr w:rsidR="00AA57BC" w:rsidRPr="004F7834" w:rsidTr="00AB5E1D">
        <w:tc>
          <w:tcPr>
            <w:tcW w:w="319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85+</w:t>
            </w:r>
          </w:p>
        </w:tc>
        <w:tc>
          <w:tcPr>
            <w:tcW w:w="50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2,255</w:t>
            </w:r>
          </w:p>
        </w:tc>
        <w:tc>
          <w:tcPr>
            <w:tcW w:w="757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1,061</w:t>
            </w:r>
          </w:p>
        </w:tc>
        <w:tc>
          <w:tcPr>
            <w:tcW w:w="54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5,958</w:t>
            </w:r>
          </w:p>
        </w:tc>
      </w:tr>
    </w:tbl>
    <w:p w:rsidR="00AA57BC" w:rsidRPr="004F7834" w:rsidRDefault="00AA57BC" w:rsidP="00AA57BC">
      <w:pPr>
        <w:pStyle w:val="Manuscriptbody"/>
        <w:rPr>
          <w:rFonts w:ascii="Times New Roman" w:hAnsi="Times New Roman"/>
          <w:sz w:val="18"/>
          <w:szCs w:val="18"/>
          <w:lang w:val="en-US"/>
        </w:rPr>
      </w:pPr>
      <w:r w:rsidRPr="004F7834">
        <w:rPr>
          <w:rFonts w:cstheme="minorHAnsi"/>
          <w:b/>
          <w:sz w:val="18"/>
          <w:szCs w:val="18"/>
          <w:lang w:val="en-US"/>
        </w:rPr>
        <w:t>Abbreviations:</w:t>
      </w:r>
      <w:r w:rsidRPr="004F7834">
        <w:rPr>
          <w:rFonts w:cstheme="minorHAnsi"/>
          <w:sz w:val="18"/>
          <w:szCs w:val="18"/>
          <w:lang w:val="en-US"/>
        </w:rPr>
        <w:t xml:space="preserve"> NHNV: non-hip non-vertebral; UK: United Kingdom.</w:t>
      </w:r>
      <w:r w:rsidRPr="004F7834">
        <w:rPr>
          <w:rFonts w:cstheme="minorHAnsi"/>
          <w:sz w:val="18"/>
          <w:szCs w:val="18"/>
          <w:lang w:val="en-US"/>
        </w:rPr>
        <w:br/>
      </w:r>
      <w:r w:rsidRPr="004F7834">
        <w:rPr>
          <w:rFonts w:cstheme="minorHAnsi"/>
          <w:b/>
          <w:sz w:val="18"/>
          <w:szCs w:val="18"/>
          <w:lang w:val="en-US"/>
        </w:rPr>
        <w:t xml:space="preserve">Source: </w:t>
      </w:r>
      <w:r w:rsidRPr="004F7834">
        <w:rPr>
          <w:rFonts w:cstheme="minorHAnsi"/>
          <w:sz w:val="18"/>
          <w:szCs w:val="18"/>
          <w:lang w:val="en-US"/>
        </w:rPr>
        <w:t xml:space="preserve">Singer et al. 1998 </w:t>
      </w:r>
      <w:r w:rsidRPr="004F7834">
        <w:rPr>
          <w:rFonts w:cstheme="minorHAnsi"/>
          <w:noProof/>
          <w:sz w:val="18"/>
          <w:szCs w:val="18"/>
          <w:lang w:val="en-US"/>
        </w:rPr>
        <w:t>[</w:t>
      </w:r>
      <w:r w:rsidR="002D0F00">
        <w:rPr>
          <w:rFonts w:cstheme="minorHAnsi"/>
          <w:noProof/>
          <w:sz w:val="18"/>
          <w:szCs w:val="18"/>
          <w:lang w:val="en-US"/>
        </w:rPr>
        <w:t>1</w:t>
      </w:r>
      <w:r w:rsidRPr="004F7834">
        <w:rPr>
          <w:rFonts w:cstheme="minorHAnsi"/>
          <w:noProof/>
          <w:sz w:val="18"/>
          <w:szCs w:val="18"/>
          <w:lang w:val="en-US"/>
        </w:rPr>
        <w:t>]</w:t>
      </w: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4F7834">
        <w:rPr>
          <w:lang w:val="en-US"/>
        </w:rPr>
        <w:t xml:space="preserve">Supplementary Table </w:t>
      </w:r>
      <w:r w:rsidRPr="004F7834">
        <w:rPr>
          <w:noProof/>
          <w:lang w:val="en-US"/>
        </w:rPr>
        <w:t>2</w:t>
      </w:r>
      <w:r w:rsidRPr="004F7834">
        <w:rPr>
          <w:lang w:val="en-US"/>
        </w:rPr>
        <w:t>. Distribution of clinical risk factors</w:t>
      </w:r>
    </w:p>
    <w:tbl>
      <w:tblPr>
        <w:tblStyle w:val="PlainTable41"/>
        <w:tblW w:w="5000" w:type="pct"/>
        <w:tblLook w:val="0600" w:firstRow="0" w:lastRow="0" w:firstColumn="0" w:lastColumn="0" w:noHBand="1" w:noVBand="1"/>
      </w:tblPr>
      <w:tblGrid>
        <w:gridCol w:w="2970"/>
        <w:gridCol w:w="5330"/>
      </w:tblGrid>
      <w:tr w:rsidR="00AA57BC" w:rsidRPr="004F7834" w:rsidTr="00AB5E1D">
        <w:tc>
          <w:tcPr>
            <w:tcW w:w="1789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Risk factor</w:t>
            </w:r>
          </w:p>
        </w:tc>
        <w:tc>
          <w:tcPr>
            <w:tcW w:w="3211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Mean or proportion (%)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321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mass index</w:t>
            </w:r>
          </w:p>
        </w:tc>
        <w:tc>
          <w:tcPr>
            <w:tcW w:w="321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29.4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Femoral neck T-score</w:t>
            </w:r>
          </w:p>
        </w:tc>
        <w:tc>
          <w:tcPr>
            <w:tcW w:w="321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-3.0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Previous fracture</w:t>
            </w:r>
          </w:p>
        </w:tc>
        <w:tc>
          <w:tcPr>
            <w:tcW w:w="321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Parent fractured hip</w:t>
            </w:r>
          </w:p>
        </w:tc>
        <w:tc>
          <w:tcPr>
            <w:tcW w:w="3211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22%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321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18%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Glucocorticoids</w:t>
            </w:r>
          </w:p>
        </w:tc>
        <w:tc>
          <w:tcPr>
            <w:tcW w:w="321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5%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Alcohol 3 or more units/day</w:t>
            </w:r>
          </w:p>
        </w:tc>
        <w:tc>
          <w:tcPr>
            <w:tcW w:w="321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1%</w:t>
            </w:r>
          </w:p>
        </w:tc>
      </w:tr>
      <w:tr w:rsidR="00AA57BC" w:rsidRPr="004F7834" w:rsidTr="00AB5E1D">
        <w:tc>
          <w:tcPr>
            <w:tcW w:w="1789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3211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3%</w:t>
            </w:r>
          </w:p>
        </w:tc>
      </w:tr>
    </w:tbl>
    <w:p w:rsidR="00AA57BC" w:rsidRPr="004F7834" w:rsidRDefault="00AA57BC" w:rsidP="00AA57BC">
      <w:pPr>
        <w:spacing w:line="360" w:lineRule="auto"/>
        <w:rPr>
          <w:rFonts w:ascii="Times New Roman" w:hAnsi="Times New Roman"/>
          <w:lang w:val="en-US"/>
        </w:rPr>
      </w:pP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4F7834">
        <w:rPr>
          <w:lang w:val="en-US"/>
        </w:rPr>
        <w:t xml:space="preserve">Supplementary Table </w:t>
      </w:r>
      <w:r w:rsidRPr="004F7834">
        <w:rPr>
          <w:noProof/>
          <w:lang w:val="en-US"/>
        </w:rPr>
        <w:t>3</w:t>
      </w:r>
      <w:r w:rsidRPr="004F7834">
        <w:rPr>
          <w:lang w:val="en-US"/>
        </w:rPr>
        <w:t xml:space="preserve">. </w:t>
      </w:r>
      <w:r w:rsidRPr="004F7834">
        <w:rPr>
          <w:rFonts w:cstheme="minorHAnsi"/>
          <w:lang w:val="en-US"/>
        </w:rPr>
        <w:t>Population tariff values for UK</w:t>
      </w:r>
    </w:p>
    <w:tbl>
      <w:tblPr>
        <w:tblStyle w:val="PlainTable41"/>
        <w:tblW w:w="5000" w:type="pct"/>
        <w:tblLook w:val="0600" w:firstRow="0" w:lastRow="0" w:firstColumn="0" w:lastColumn="0" w:noHBand="1" w:noVBand="1"/>
      </w:tblPr>
      <w:tblGrid>
        <w:gridCol w:w="2719"/>
        <w:gridCol w:w="5581"/>
      </w:tblGrid>
      <w:tr w:rsidR="00AA57BC" w:rsidRPr="004F7834" w:rsidTr="00AB5E1D">
        <w:tc>
          <w:tcPr>
            <w:tcW w:w="1638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3362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General population utility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3362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0.849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</w:t>
            </w:r>
          </w:p>
        </w:tc>
        <w:tc>
          <w:tcPr>
            <w:tcW w:w="3362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0.804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3362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0.804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</w:t>
            </w:r>
          </w:p>
        </w:tc>
        <w:tc>
          <w:tcPr>
            <w:tcW w:w="3362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0.785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</w:t>
            </w:r>
          </w:p>
        </w:tc>
        <w:tc>
          <w:tcPr>
            <w:tcW w:w="3362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0.785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</w:t>
            </w:r>
          </w:p>
        </w:tc>
        <w:tc>
          <w:tcPr>
            <w:tcW w:w="3362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0.734</w:t>
            </w:r>
          </w:p>
        </w:tc>
      </w:tr>
      <w:tr w:rsidR="00AA57BC" w:rsidRPr="004F7834" w:rsidTr="00AB5E1D">
        <w:tc>
          <w:tcPr>
            <w:tcW w:w="1638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3362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0.734</w:t>
            </w:r>
          </w:p>
        </w:tc>
      </w:tr>
    </w:tbl>
    <w:p w:rsidR="00AA57BC" w:rsidRPr="004F7834" w:rsidRDefault="00AA57BC" w:rsidP="00AA57BC">
      <w:pPr>
        <w:pStyle w:val="Caption"/>
        <w:spacing w:line="360" w:lineRule="auto"/>
        <w:rPr>
          <w:rFonts w:ascii="Times New Roman" w:eastAsia="Times New Roman" w:hAnsi="Times New Roman" w:cs="Times New Roman"/>
          <w:b w:val="0"/>
          <w:lang w:val="en-US" w:eastAsia="ja-JP"/>
        </w:rPr>
      </w:pPr>
      <w:r w:rsidRPr="004F7834">
        <w:rPr>
          <w:rFonts w:eastAsia="Times New Roman" w:cstheme="minorHAnsi"/>
          <w:lang w:val="en-US" w:eastAsia="ja-JP"/>
        </w:rPr>
        <w:lastRenderedPageBreak/>
        <w:t>Abbreviations:</w:t>
      </w:r>
      <w:r w:rsidRPr="004F7834">
        <w:rPr>
          <w:rFonts w:eastAsia="Times New Roman" w:cstheme="minorHAnsi"/>
          <w:b w:val="0"/>
          <w:lang w:val="en-US" w:eastAsia="ja-JP"/>
        </w:rPr>
        <w:t xml:space="preserve"> UK: United Kingdom</w:t>
      </w:r>
      <w:r w:rsidRPr="004F7834">
        <w:rPr>
          <w:rFonts w:eastAsia="Times New Roman" w:cstheme="minorHAnsi"/>
          <w:b w:val="0"/>
          <w:lang w:val="en-US" w:eastAsia="ja-JP"/>
        </w:rPr>
        <w:br/>
      </w:r>
      <w:r w:rsidRPr="004F7834">
        <w:rPr>
          <w:rFonts w:eastAsia="Times New Roman" w:cstheme="minorHAnsi"/>
          <w:lang w:val="en-US" w:eastAsia="ja-JP"/>
        </w:rPr>
        <w:t xml:space="preserve">Source: </w:t>
      </w:r>
      <w:proofErr w:type="spellStart"/>
      <w:r w:rsidRPr="004F7834">
        <w:rPr>
          <w:rFonts w:eastAsia="Times New Roman" w:cstheme="minorHAnsi"/>
          <w:b w:val="0"/>
          <w:lang w:val="en-US" w:eastAsia="ja-JP"/>
        </w:rPr>
        <w:t>Szende</w:t>
      </w:r>
      <w:proofErr w:type="spellEnd"/>
      <w:r w:rsidRPr="004F7834">
        <w:rPr>
          <w:rFonts w:eastAsia="Times New Roman" w:cstheme="minorHAnsi"/>
          <w:b w:val="0"/>
          <w:lang w:val="en-US" w:eastAsia="ja-JP"/>
        </w:rPr>
        <w:t xml:space="preserve"> et al. 2014 </w:t>
      </w:r>
      <w:r w:rsidRPr="004F7834">
        <w:rPr>
          <w:rFonts w:eastAsia="Times New Roman" w:cstheme="minorHAnsi"/>
          <w:b w:val="0"/>
          <w:noProof/>
          <w:lang w:val="en-US" w:eastAsia="ja-JP"/>
        </w:rPr>
        <w:t>[</w:t>
      </w:r>
      <w:r w:rsidR="002D0F00">
        <w:rPr>
          <w:rFonts w:eastAsia="Times New Roman" w:cstheme="minorHAnsi"/>
          <w:b w:val="0"/>
          <w:noProof/>
          <w:lang w:val="en-US" w:eastAsia="ja-JP"/>
        </w:rPr>
        <w:t>2</w:t>
      </w:r>
      <w:r w:rsidRPr="004F7834">
        <w:rPr>
          <w:rFonts w:eastAsia="Times New Roman" w:cstheme="minorHAnsi"/>
          <w:b w:val="0"/>
          <w:noProof/>
          <w:lang w:val="en-US" w:eastAsia="ja-JP"/>
        </w:rPr>
        <w:t>]</w:t>
      </w:r>
    </w:p>
    <w:p w:rsidR="00AA57BC" w:rsidRPr="004F7834" w:rsidRDefault="00AA57BC" w:rsidP="00AA57BC">
      <w:pPr>
        <w:spacing w:line="360" w:lineRule="auto"/>
        <w:rPr>
          <w:rFonts w:ascii="Times New Roman" w:hAnsi="Times New Roman"/>
          <w:lang w:val="en-US" w:eastAsia="ja-JP"/>
        </w:rPr>
      </w:pP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4F7834">
        <w:rPr>
          <w:lang w:val="en-US"/>
        </w:rPr>
        <w:t xml:space="preserve">Supplementary Table </w:t>
      </w:r>
      <w:r w:rsidRPr="004F7834">
        <w:rPr>
          <w:noProof/>
          <w:lang w:val="en-US"/>
        </w:rPr>
        <w:t>4</w:t>
      </w:r>
      <w:r w:rsidRPr="004F7834">
        <w:rPr>
          <w:lang w:val="en-US"/>
        </w:rPr>
        <w:t xml:space="preserve">. </w:t>
      </w:r>
      <w:r w:rsidRPr="004F7834">
        <w:rPr>
          <w:rFonts w:cstheme="minorHAnsi"/>
          <w:lang w:val="en-US"/>
        </w:rPr>
        <w:t>Utility multipliers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57"/>
        <w:gridCol w:w="3443"/>
      </w:tblGrid>
      <w:tr w:rsidR="00AA57BC" w:rsidRPr="004F7834" w:rsidTr="00AB5E1D">
        <w:tc>
          <w:tcPr>
            <w:tcW w:w="2926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Fracture type/period</w:t>
            </w:r>
          </w:p>
        </w:tc>
        <w:tc>
          <w:tcPr>
            <w:tcW w:w="2074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Utility multiplier</w:t>
            </w:r>
          </w:p>
        </w:tc>
      </w:tr>
      <w:tr w:rsidR="00AA57BC" w:rsidRPr="004F7834" w:rsidTr="00AB5E1D">
        <w:tc>
          <w:tcPr>
            <w:tcW w:w="5000" w:type="pct"/>
            <w:gridSpan w:val="2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First year after fracture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fracture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0.545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vertebral fracture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0.671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(NHNV) fractures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0.791</w:t>
            </w:r>
          </w:p>
        </w:tc>
      </w:tr>
      <w:tr w:rsidR="00AA57BC" w:rsidRPr="004F7834" w:rsidTr="00AB5E1D">
        <w:tc>
          <w:tcPr>
            <w:tcW w:w="5000" w:type="pct"/>
            <w:gridSpan w:val="2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Second and following years after fracture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fracture</w:t>
            </w:r>
          </w:p>
        </w:tc>
        <w:tc>
          <w:tcPr>
            <w:tcW w:w="2074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0.857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Clinical vertebral fracture </w:t>
            </w:r>
          </w:p>
        </w:tc>
        <w:tc>
          <w:tcPr>
            <w:tcW w:w="2074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0.841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(NHNV) fractures</w:t>
            </w:r>
          </w:p>
        </w:tc>
        <w:tc>
          <w:tcPr>
            <w:tcW w:w="2074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0.952</w:t>
            </w:r>
          </w:p>
        </w:tc>
      </w:tr>
    </w:tbl>
    <w:p w:rsidR="00AA57BC" w:rsidRPr="004F7834" w:rsidRDefault="00AA57BC" w:rsidP="00AA57BC">
      <w:pPr>
        <w:spacing w:line="360" w:lineRule="auto"/>
        <w:rPr>
          <w:rFonts w:ascii="Times New Roman" w:eastAsia="Times New Roman" w:hAnsi="Times New Roman"/>
          <w:sz w:val="18"/>
          <w:szCs w:val="18"/>
          <w:lang w:val="en-US" w:eastAsia="ja-JP"/>
        </w:rPr>
      </w:pPr>
      <w:r w:rsidRPr="004F7834">
        <w:rPr>
          <w:rFonts w:asciiTheme="minorHAnsi" w:eastAsia="Times New Roman" w:hAnsiTheme="minorHAnsi" w:cstheme="minorHAnsi"/>
          <w:b/>
          <w:sz w:val="18"/>
          <w:szCs w:val="18"/>
          <w:lang w:val="en-US" w:eastAsia="ja-JP"/>
        </w:rPr>
        <w:t>Abbreviations:</w:t>
      </w:r>
      <w:r w:rsidRPr="004F7834">
        <w:rPr>
          <w:rFonts w:asciiTheme="minorHAnsi" w:eastAsia="Times New Roman" w:hAnsiTheme="minorHAnsi" w:cstheme="minorHAnsi"/>
          <w:sz w:val="18"/>
          <w:szCs w:val="18"/>
          <w:lang w:val="en-US" w:eastAsia="ja-JP"/>
        </w:rPr>
        <w:t xml:space="preserve"> NHNV: non-hip non-vertebral</w:t>
      </w:r>
      <w:r w:rsidRPr="004F7834">
        <w:rPr>
          <w:rFonts w:asciiTheme="minorHAnsi" w:eastAsia="Times New Roman" w:hAnsiTheme="minorHAnsi" w:cstheme="minorHAnsi"/>
          <w:sz w:val="18"/>
          <w:szCs w:val="18"/>
          <w:lang w:val="en-US" w:eastAsia="ja-JP"/>
        </w:rPr>
        <w:br/>
      </w:r>
      <w:r w:rsidRPr="004F7834">
        <w:rPr>
          <w:rFonts w:asciiTheme="minorHAnsi" w:eastAsia="Times New Roman" w:hAnsiTheme="minorHAnsi" w:cstheme="minorHAnsi"/>
          <w:b/>
          <w:sz w:val="18"/>
          <w:szCs w:val="18"/>
          <w:lang w:val="en-US" w:eastAsia="ja-JP"/>
        </w:rPr>
        <w:t>Source:</w:t>
      </w:r>
      <w:r w:rsidRPr="004F7834">
        <w:rPr>
          <w:rFonts w:asciiTheme="minorHAnsi" w:eastAsia="Times New Roman" w:hAnsiTheme="minorHAnsi" w:cstheme="minorHAnsi"/>
          <w:sz w:val="18"/>
          <w:szCs w:val="18"/>
          <w:lang w:val="en-US" w:eastAsia="ja-JP"/>
        </w:rPr>
        <w:t xml:space="preserve"> International Costs and Utilities Related to Osteoporotic Fractures Study (ICUROS) 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[</w:t>
      </w:r>
      <w:r w:rsidR="002D0F00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3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]</w:t>
      </w:r>
    </w:p>
    <w:p w:rsidR="00AA57BC" w:rsidRPr="004F7834" w:rsidRDefault="00AA57BC" w:rsidP="00AA57BC">
      <w:pPr>
        <w:spacing w:line="360" w:lineRule="auto"/>
        <w:rPr>
          <w:rFonts w:ascii="Times New Roman" w:eastAsia="Times New Roman" w:hAnsi="Times New Roman"/>
          <w:sz w:val="18"/>
          <w:szCs w:val="18"/>
          <w:lang w:val="en-US" w:eastAsia="ja-JP"/>
        </w:rPr>
      </w:pPr>
    </w:p>
    <w:p w:rsidR="00AA57BC" w:rsidRPr="004F7834" w:rsidRDefault="00AA57BC" w:rsidP="00AA57BC">
      <w:pPr>
        <w:pStyle w:val="Caption"/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4F7834">
        <w:rPr>
          <w:lang w:val="en-US"/>
        </w:rPr>
        <w:t xml:space="preserve">Supplementary Table </w:t>
      </w:r>
      <w:r w:rsidRPr="004F7834">
        <w:rPr>
          <w:noProof/>
          <w:lang w:val="en-US"/>
        </w:rPr>
        <w:t>5</w:t>
      </w:r>
      <w:r w:rsidRPr="004F7834">
        <w:rPr>
          <w:lang w:val="en-US"/>
        </w:rPr>
        <w:t xml:space="preserve">. </w:t>
      </w:r>
      <w:r w:rsidRPr="004F7834">
        <w:rPr>
          <w:rFonts w:cstheme="minorHAnsi"/>
          <w:lang w:val="en-US"/>
        </w:rPr>
        <w:t>Cost of fractures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57"/>
        <w:gridCol w:w="3443"/>
      </w:tblGrid>
      <w:tr w:rsidR="00AA57BC" w:rsidRPr="004F7834" w:rsidTr="00AB5E1D">
        <w:tc>
          <w:tcPr>
            <w:tcW w:w="2926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Fracture type/period</w:t>
            </w:r>
          </w:p>
        </w:tc>
        <w:tc>
          <w:tcPr>
            <w:tcW w:w="2074" w:type="pct"/>
            <w:shd w:val="clear" w:color="auto" w:fill="D9D9D9" w:themeFill="background1" w:themeFillShade="D9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Cost (£, 2019)</w:t>
            </w:r>
          </w:p>
        </w:tc>
      </w:tr>
      <w:tr w:rsidR="00AA57BC" w:rsidRPr="004F7834" w:rsidTr="00AB5E1D">
        <w:tc>
          <w:tcPr>
            <w:tcW w:w="5000" w:type="pct"/>
            <w:gridSpan w:val="2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First year after fracture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fracture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13,080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vertebral fracture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2,870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(NHNV) fractures</w:t>
            </w:r>
          </w:p>
        </w:tc>
        <w:tc>
          <w:tcPr>
            <w:tcW w:w="2074" w:type="pct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2,005</w:t>
            </w:r>
          </w:p>
        </w:tc>
      </w:tr>
      <w:tr w:rsidR="00AA57BC" w:rsidRPr="004F7834" w:rsidTr="00AB5E1D">
        <w:tc>
          <w:tcPr>
            <w:tcW w:w="5000" w:type="pct"/>
            <w:gridSpan w:val="2"/>
          </w:tcPr>
          <w:p w:rsidR="00AA57BC" w:rsidRPr="004F7834" w:rsidDel="00702F7A" w:rsidRDefault="00AA57BC" w:rsidP="00AB5E1D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Second and following years after fracture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fracture</w:t>
            </w:r>
          </w:p>
        </w:tc>
        <w:tc>
          <w:tcPr>
            <w:tcW w:w="2074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</w:t>
            </w:r>
          </w:p>
        </w:tc>
      </w:tr>
      <w:tr w:rsidR="00AA57BC" w:rsidRPr="004F7834" w:rsidTr="00AB5E1D">
        <w:tc>
          <w:tcPr>
            <w:tcW w:w="2926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Clinical vertebral fracture </w:t>
            </w:r>
          </w:p>
        </w:tc>
        <w:tc>
          <w:tcPr>
            <w:tcW w:w="2074" w:type="pct"/>
          </w:tcPr>
          <w:p w:rsidR="00AA57BC" w:rsidRPr="004F7834" w:rsidRDefault="00AA57BC" w:rsidP="00AB5E1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8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367</w:t>
            </w:r>
          </w:p>
        </w:tc>
      </w:tr>
    </w:tbl>
    <w:p w:rsidR="00AA57BC" w:rsidRPr="004F7834" w:rsidRDefault="00AA57BC" w:rsidP="00AA57BC">
      <w:pPr>
        <w:spacing w:line="360" w:lineRule="auto"/>
        <w:rPr>
          <w:rFonts w:ascii="Times New Roman" w:hAnsi="Times New Roman"/>
          <w:sz w:val="18"/>
          <w:lang w:val="en-US"/>
        </w:rPr>
      </w:pPr>
      <w:r w:rsidRPr="004F7834">
        <w:rPr>
          <w:rFonts w:asciiTheme="minorHAnsi" w:hAnsiTheme="minorHAnsi"/>
          <w:b/>
          <w:sz w:val="18"/>
          <w:lang w:val="en-US"/>
        </w:rPr>
        <w:t>Abbreviations:</w:t>
      </w:r>
      <w:r w:rsidRPr="004F7834">
        <w:rPr>
          <w:rFonts w:asciiTheme="minorHAnsi" w:hAnsiTheme="minorHAnsi"/>
          <w:sz w:val="18"/>
          <w:lang w:val="en-US"/>
        </w:rPr>
        <w:t xml:space="preserve"> NHNV: non-hip non-vertebral</w:t>
      </w:r>
      <w:r w:rsidRPr="004F7834">
        <w:rPr>
          <w:rFonts w:asciiTheme="minorHAnsi" w:hAnsiTheme="minorHAnsi"/>
          <w:sz w:val="18"/>
          <w:lang w:val="en-US"/>
        </w:rPr>
        <w:br/>
      </w:r>
      <w:r w:rsidRPr="004F7834">
        <w:rPr>
          <w:rFonts w:asciiTheme="minorHAnsi" w:hAnsiTheme="minorHAnsi"/>
          <w:b/>
          <w:sz w:val="18"/>
          <w:lang w:val="en-US"/>
        </w:rPr>
        <w:t>Source:</w:t>
      </w:r>
      <w:r w:rsidRPr="004F7834">
        <w:rPr>
          <w:rFonts w:asciiTheme="minorHAnsi" w:hAnsiTheme="minorHAnsi"/>
          <w:sz w:val="18"/>
          <w:lang w:val="en-US"/>
        </w:rPr>
        <w:t xml:space="preserve"> Gutierrez, L., et al 2012 and 2011, Davis, S., 2015</w:t>
      </w:r>
      <w:r w:rsidRPr="004F7834">
        <w:rPr>
          <w:rFonts w:asciiTheme="minorHAnsi" w:hAnsiTheme="minorHAnsi"/>
          <w:lang w:val="en-US"/>
        </w:rPr>
        <w:t xml:space="preserve"> 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[</w:t>
      </w:r>
      <w:r w:rsidR="002D0F00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4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 xml:space="preserve">, </w:t>
      </w:r>
      <w:r w:rsidR="002D0F00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5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 xml:space="preserve">, </w:t>
      </w:r>
      <w:r w:rsidR="002D0F00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6</w:t>
      </w:r>
      <w:r w:rsidRPr="004F7834">
        <w:rPr>
          <w:rFonts w:asciiTheme="minorHAnsi" w:eastAsia="Times New Roman" w:hAnsiTheme="minorHAnsi" w:cstheme="minorHAnsi"/>
          <w:noProof/>
          <w:sz w:val="18"/>
          <w:szCs w:val="18"/>
          <w:lang w:val="en-US" w:eastAsia="ja-JP"/>
        </w:rPr>
        <w:t>]</w:t>
      </w:r>
    </w:p>
    <w:p w:rsidR="00AA57BC" w:rsidRPr="004F7834" w:rsidRDefault="00AA57BC" w:rsidP="00AA57BC">
      <w:pPr>
        <w:spacing w:line="360" w:lineRule="auto"/>
        <w:rPr>
          <w:rFonts w:ascii="Times New Roman" w:hAnsi="Times New Roman"/>
          <w:sz w:val="18"/>
          <w:lang w:val="en-US"/>
        </w:rPr>
      </w:pPr>
    </w:p>
    <w:p w:rsidR="00AA57BC" w:rsidRPr="004F7834" w:rsidRDefault="00AA57BC" w:rsidP="00AA57BC">
      <w:pPr>
        <w:spacing w:line="360" w:lineRule="auto"/>
        <w:rPr>
          <w:rFonts w:ascii="Times New Roman" w:hAnsi="Times New Roman"/>
          <w:sz w:val="18"/>
          <w:lang w:val="en-US"/>
        </w:rPr>
      </w:pPr>
    </w:p>
    <w:p w:rsidR="002D0F00" w:rsidRPr="002D0F00" w:rsidRDefault="002D0F00" w:rsidP="002D0F00">
      <w:pPr>
        <w:pStyle w:val="Manuscriptbodytitle"/>
      </w:pPr>
      <w:r w:rsidRPr="002D0F00">
        <w:t>References</w:t>
      </w:r>
    </w:p>
    <w:p w:rsidR="002D0F00" w:rsidRDefault="002D0F00" w:rsidP="002D0F00">
      <w:pPr>
        <w:rPr>
          <w:rFonts w:asciiTheme="minorHAnsi" w:eastAsia="Times New Roman" w:hAnsiTheme="minorHAnsi" w:cstheme="minorHAnsi"/>
          <w:color w:val="111111"/>
          <w:spacing w:val="5"/>
          <w:lang w:eastAsia="en-GB"/>
        </w:rPr>
      </w:pPr>
      <w:r w:rsidRPr="002D0F00">
        <w:rPr>
          <w:rFonts w:asciiTheme="minorHAnsi" w:hAnsiTheme="minorHAnsi" w:cstheme="minorHAnsi"/>
        </w:rPr>
        <w:t xml:space="preserve"> 1. </w:t>
      </w:r>
      <w:r w:rsidRPr="002D0F00">
        <w:rPr>
          <w:rFonts w:asciiTheme="minorHAnsi" w:eastAsia="Times New Roman" w:hAnsiTheme="minorHAnsi" w:cstheme="minorHAnsi"/>
          <w:color w:val="111111"/>
          <w:spacing w:val="5"/>
          <w:shd w:val="clear" w:color="auto" w:fill="FFFFFF"/>
          <w:lang w:eastAsia="en-GB"/>
        </w:rPr>
        <w:t> </w:t>
      </w:r>
      <w:r w:rsidRPr="002D0F00">
        <w:rPr>
          <w:rFonts w:asciiTheme="minorHAnsi" w:eastAsia="Times New Roman" w:hAnsiTheme="minorHAnsi" w:cstheme="minorHAnsi"/>
          <w:color w:val="111111"/>
          <w:spacing w:val="5"/>
          <w:lang w:eastAsia="en-GB"/>
        </w:rPr>
        <w:t xml:space="preserve">Singer BR, </w:t>
      </w:r>
      <w:proofErr w:type="spellStart"/>
      <w:r w:rsidRPr="002D0F00">
        <w:rPr>
          <w:rFonts w:asciiTheme="minorHAnsi" w:eastAsia="Times New Roman" w:hAnsiTheme="minorHAnsi" w:cstheme="minorHAnsi"/>
          <w:color w:val="111111"/>
          <w:spacing w:val="5"/>
          <w:lang w:eastAsia="en-GB"/>
        </w:rPr>
        <w:t>McLauchlan</w:t>
      </w:r>
      <w:proofErr w:type="spellEnd"/>
      <w:r w:rsidRPr="002D0F00">
        <w:rPr>
          <w:rFonts w:asciiTheme="minorHAnsi" w:eastAsia="Times New Roman" w:hAnsiTheme="minorHAnsi" w:cstheme="minorHAnsi"/>
          <w:color w:val="111111"/>
          <w:spacing w:val="5"/>
          <w:lang w:eastAsia="en-GB"/>
        </w:rPr>
        <w:t xml:space="preserve"> GJ, Robinson CM, Christie J (1998) Epidemiology of fractures in 15,000 adults: the influence of age and gender. J Bone Joint </w:t>
      </w:r>
      <w:proofErr w:type="spellStart"/>
      <w:r w:rsidRPr="002D0F00">
        <w:rPr>
          <w:rFonts w:asciiTheme="minorHAnsi" w:eastAsia="Times New Roman" w:hAnsiTheme="minorHAnsi" w:cstheme="minorHAnsi"/>
          <w:color w:val="111111"/>
          <w:spacing w:val="5"/>
          <w:lang w:eastAsia="en-GB"/>
        </w:rPr>
        <w:t>Surg</w:t>
      </w:r>
      <w:proofErr w:type="spellEnd"/>
      <w:r w:rsidRPr="002D0F00">
        <w:rPr>
          <w:rFonts w:asciiTheme="minorHAnsi" w:eastAsia="Times New Roman" w:hAnsiTheme="minorHAnsi" w:cstheme="minorHAnsi"/>
          <w:color w:val="111111"/>
          <w:spacing w:val="5"/>
          <w:lang w:eastAsia="en-GB"/>
        </w:rPr>
        <w:t xml:space="preserve"> (Br) 80(2):243–248</w:t>
      </w:r>
    </w:p>
    <w:p w:rsidR="002D0F00" w:rsidRPr="002D0F00" w:rsidRDefault="002D0F00" w:rsidP="002D0F00">
      <w:pPr>
        <w:rPr>
          <w:rFonts w:asciiTheme="minorHAnsi" w:eastAsia="Times New Roman" w:hAnsiTheme="minorHAnsi" w:cstheme="minorHAnsi"/>
          <w:lang w:eastAsia="en-GB"/>
        </w:rPr>
      </w:pP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  <w:r w:rsidRPr="002D0F00">
        <w:rPr>
          <w:rFonts w:asciiTheme="minorHAnsi" w:hAnsiTheme="minorHAnsi" w:cstheme="minorHAnsi"/>
        </w:rPr>
        <w:t xml:space="preserve">2.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Szende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A, Janssen B,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Cabases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J (2014) Self-reported population health: an international perspective based on EQ-5D. Springer, Dordrecht</w:t>
      </w:r>
    </w:p>
    <w:p w:rsidR="002D0F00" w:rsidRP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lastRenderedPageBreak/>
        <w:t xml:space="preserve">3.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Borgstrom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F,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Lekander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I,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Ivergard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M, Strom O,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Svedbom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A,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Alekna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V, Bianchi ML, Clark P, Curiel MD,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Dimai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HP,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Jurisson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M,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Kallikorm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R,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Lesnyak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O, McCloskey E,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Nassonov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E, Sanders KM, Silverman S,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Tamulaitiene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M, Thomas T,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Tosteson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AN, Jonsson B,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Kanis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JA (2013) The international costs and utilities related to osteoporotic fractures study (ICUROS)--quality of life during the first 4 months after fracture.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Osteoporos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Int 24(3):811–823</w:t>
      </w: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p w:rsidR="002D0F00" w:rsidRDefault="002D0F00" w:rsidP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  <w:r>
        <w:rPr>
          <w:rFonts w:asciiTheme="minorHAnsi" w:hAnsiTheme="minorHAnsi" w:cstheme="minorHAnsi"/>
          <w:color w:val="111111"/>
          <w:spacing w:val="5"/>
          <w:shd w:val="clear" w:color="auto" w:fill="FFFFFF"/>
        </w:rPr>
        <w:t>4</w:t>
      </w:r>
      <w:bookmarkStart w:id="0" w:name="_GoBack"/>
      <w:bookmarkEnd w:id="0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. Gutierrez L,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Roskell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N,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Castellsague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J, Beard S, Rycroft C, Abeysinghe S, Shannon P, Gitlin M, Robbins S (2012) Clinical burden and incremental cost of fractures in postmenopausal women in the United Kingdom. Bone 51(3):324–331</w:t>
      </w: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p w:rsidR="002D0F00" w:rsidRPr="002D0F00" w:rsidRDefault="002D0F00" w:rsidP="002D0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  <w:spacing w:val="5"/>
          <w:shd w:val="clear" w:color="auto" w:fill="FFFFFF"/>
        </w:rPr>
        <w:t>5</w:t>
      </w:r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. Gutierrez L,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Roskell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N, </w:t>
      </w:r>
      <w:proofErr w:type="spellStart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Castellsague</w:t>
      </w:r>
      <w:proofErr w:type="spellEnd"/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 J, Beard S, Rycroft C, Abeysinghe S, Shannon P, Robbins S, Gitlin M (2011) Study of the incremental cost and clinical burden of hip fractures in postmenopausal women in the United Kingdom. J Med Econ 14(1):99–107</w:t>
      </w: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p w:rsid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  <w:r>
        <w:rPr>
          <w:rFonts w:asciiTheme="minorHAnsi" w:hAnsiTheme="minorHAnsi" w:cstheme="minorHAnsi"/>
          <w:color w:val="111111"/>
          <w:spacing w:val="5"/>
          <w:shd w:val="clear" w:color="auto" w:fill="FFFFFF"/>
        </w:rPr>
        <w:t>6</w:t>
      </w:r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 xml:space="preserve">. </w:t>
      </w:r>
      <w:r w:rsidRPr="002D0F00">
        <w:rPr>
          <w:rFonts w:asciiTheme="minorHAnsi" w:hAnsiTheme="minorHAnsi" w:cstheme="minorHAnsi"/>
          <w:color w:val="111111"/>
          <w:spacing w:val="5"/>
          <w:shd w:val="clear" w:color="auto" w:fill="FFFFFF"/>
        </w:rPr>
        <w:t>Davis S (2015) Bisphosphonates for preventing osteoporotic fragility fractures (including a partial update of NICE technology appraisal guidance 160 and 161). Assessment report. Table 32., National Institute for Health and Care Excellence (NICE), Editor</w:t>
      </w:r>
    </w:p>
    <w:p w:rsidR="002D0F00" w:rsidRP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p w:rsidR="002D0F00" w:rsidRPr="002D0F00" w:rsidRDefault="002D0F00">
      <w:pPr>
        <w:rPr>
          <w:rFonts w:asciiTheme="minorHAnsi" w:hAnsiTheme="minorHAnsi" w:cstheme="minorHAnsi"/>
          <w:color w:val="111111"/>
          <w:spacing w:val="5"/>
          <w:shd w:val="clear" w:color="auto" w:fill="FFFFFF"/>
        </w:rPr>
      </w:pPr>
    </w:p>
    <w:sectPr w:rsidR="002D0F00" w:rsidRPr="002D0F00" w:rsidSect="00956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A6" w:rsidRDefault="00B76E4F">
      <w:r>
        <w:separator/>
      </w:r>
    </w:p>
  </w:endnote>
  <w:endnote w:type="continuationSeparator" w:id="0">
    <w:p w:rsidR="00B133A6" w:rsidRDefault="00B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34" w:rsidRPr="004F7834" w:rsidRDefault="002D0F00" w:rsidP="004F7834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37310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:rsidR="00BF7480" w:rsidRPr="004F7834" w:rsidRDefault="00AA57BC" w:rsidP="004F7834">
        <w:pPr>
          <w:pStyle w:val="Footer"/>
          <w:spacing w:line="360" w:lineRule="auto"/>
          <w:jc w:val="right"/>
          <w:rPr>
            <w:rFonts w:ascii="Tahoma" w:hAnsi="Tahoma" w:cs="Tahoma"/>
            <w:sz w:val="20"/>
          </w:rPr>
        </w:pPr>
        <w:r w:rsidRPr="004F7834">
          <w:rPr>
            <w:rFonts w:ascii="Tahoma" w:hAnsi="Tahoma" w:cs="Tahoma"/>
            <w:sz w:val="20"/>
          </w:rPr>
          <w:fldChar w:fldCharType="begin"/>
        </w:r>
        <w:r w:rsidRPr="004F7834">
          <w:rPr>
            <w:rFonts w:ascii="Tahoma" w:hAnsi="Tahoma" w:cs="Tahoma"/>
            <w:sz w:val="20"/>
          </w:rPr>
          <w:instrText xml:space="preserve"> PAGE   \* MERGEFORMAT </w:instrText>
        </w:r>
        <w:r w:rsidRPr="004F7834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2</w:t>
        </w:r>
        <w:r w:rsidRPr="004F7834">
          <w:rPr>
            <w:rFonts w:ascii="Tahoma" w:hAnsi="Tahoma" w:cs="Tahoma"/>
            <w:noProof/>
            <w:sz w:val="20"/>
          </w:rPr>
          <w:fldChar w:fldCharType="end"/>
        </w:r>
      </w:p>
    </w:sdtContent>
  </w:sdt>
  <w:p w:rsidR="00BF7480" w:rsidRPr="004F7834" w:rsidRDefault="002D0F00" w:rsidP="004F7834">
    <w:pPr>
      <w:pStyle w:val="Footer"/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34" w:rsidRPr="004F7834" w:rsidRDefault="002D0F00" w:rsidP="004F7834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A6" w:rsidRDefault="00B76E4F">
      <w:r>
        <w:separator/>
      </w:r>
    </w:p>
  </w:footnote>
  <w:footnote w:type="continuationSeparator" w:id="0">
    <w:p w:rsidR="00B133A6" w:rsidRDefault="00B7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34" w:rsidRPr="004F7834" w:rsidRDefault="002D0F00" w:rsidP="004F7834">
    <w:pPr>
      <w:pStyle w:val="Header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80" w:rsidRPr="004F7834" w:rsidRDefault="002D0F00" w:rsidP="004F7834">
    <w:pPr>
      <w:pStyle w:val="Header"/>
      <w:tabs>
        <w:tab w:val="clear" w:pos="9026"/>
        <w:tab w:val="right" w:pos="8364"/>
      </w:tabs>
      <w:spacing w:line="360" w:lineRule="auto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34" w:rsidRPr="004F7834" w:rsidRDefault="002D0F00" w:rsidP="004F7834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17F"/>
    <w:multiLevelType w:val="hybridMultilevel"/>
    <w:tmpl w:val="BFC6A018"/>
    <w:lvl w:ilvl="0" w:tplc="EB5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33C9B"/>
    <w:multiLevelType w:val="multilevel"/>
    <w:tmpl w:val="39B415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7E0C78B3"/>
    <w:multiLevelType w:val="multilevel"/>
    <w:tmpl w:val="30E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C"/>
    <w:rsid w:val="002D0F00"/>
    <w:rsid w:val="004603F2"/>
    <w:rsid w:val="005E1EEF"/>
    <w:rsid w:val="006055C4"/>
    <w:rsid w:val="00904589"/>
    <w:rsid w:val="00AA57BC"/>
    <w:rsid w:val="00B133A6"/>
    <w:rsid w:val="00B76E4F"/>
    <w:rsid w:val="00BA38FA"/>
    <w:rsid w:val="00DE7017"/>
    <w:rsid w:val="00E62C61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99C5"/>
  <w15:docId w15:val="{4B7E99F7-1CD4-4397-B282-442A679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57BC"/>
    <w:pPr>
      <w:spacing w:after="0" w:line="240" w:lineRule="auto"/>
    </w:pPr>
    <w:rPr>
      <w:rFonts w:ascii="Cambria" w:eastAsia="MS ??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101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101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101"/>
    <w:pPr>
      <w:keepNext/>
      <w:keepLines/>
      <w:bidi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P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101"/>
    <w:pPr>
      <w:keepNext/>
      <w:keepLines/>
      <w:bidi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101"/>
    <w:pPr>
      <w:keepNext/>
      <w:keepLines/>
      <w:bidi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P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5101"/>
    <w:pPr>
      <w:keepNext/>
      <w:keepLines/>
      <w:bidi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P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5101"/>
    <w:pPr>
      <w:keepNext/>
      <w:keepLines/>
      <w:bidi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P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5101"/>
    <w:pPr>
      <w:keepNext/>
      <w:keepLines/>
      <w:bidi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PH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5101"/>
    <w:pPr>
      <w:keepNext/>
      <w:keepLines/>
      <w:bidi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uiPriority w:val="1"/>
    <w:rsid w:val="00DE7017"/>
    <w:rPr>
      <w:b w:val="0"/>
      <w:color w:val="auto"/>
      <w:shd w:val="clear" w:color="auto" w:fill="FFFF00"/>
    </w:rPr>
  </w:style>
  <w:style w:type="character" w:customStyle="1" w:styleId="Heading1Char">
    <w:name w:val="Heading 1 Char"/>
    <w:basedOn w:val="DefaultParagraphFont"/>
    <w:link w:val="Heading1"/>
    <w:uiPriority w:val="9"/>
    <w:rsid w:val="00EF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5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51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5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5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51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5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EF5101"/>
    <w:pPr>
      <w:bidi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PH"/>
    </w:rPr>
  </w:style>
  <w:style w:type="paragraph" w:styleId="Title">
    <w:name w:val="Title"/>
    <w:basedOn w:val="Normal"/>
    <w:next w:val="Normal"/>
    <w:link w:val="TitleChar"/>
    <w:uiPriority w:val="10"/>
    <w:qFormat/>
    <w:rsid w:val="00EF5101"/>
    <w:pPr>
      <w:pBdr>
        <w:bottom w:val="single" w:sz="8" w:space="4" w:color="4F81B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EF5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01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PH"/>
    </w:rPr>
  </w:style>
  <w:style w:type="character" w:customStyle="1" w:styleId="SubtitleChar">
    <w:name w:val="Subtitle Char"/>
    <w:basedOn w:val="DefaultParagraphFont"/>
    <w:link w:val="Subtitle"/>
    <w:uiPriority w:val="11"/>
    <w:rsid w:val="00EF5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01"/>
    <w:rPr>
      <w:b/>
      <w:bCs/>
    </w:rPr>
  </w:style>
  <w:style w:type="character" w:styleId="Emphasis">
    <w:name w:val="Emphasis"/>
    <w:basedOn w:val="DefaultParagraphFont"/>
    <w:uiPriority w:val="20"/>
    <w:qFormat/>
    <w:rsid w:val="00EF5101"/>
    <w:rPr>
      <w:i/>
      <w:iCs/>
    </w:rPr>
  </w:style>
  <w:style w:type="paragraph" w:styleId="NoSpacing">
    <w:name w:val="No Spacing"/>
    <w:uiPriority w:val="1"/>
    <w:qFormat/>
    <w:rsid w:val="00EF5101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101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Quote">
    <w:name w:val="Quote"/>
    <w:basedOn w:val="Normal"/>
    <w:next w:val="Normal"/>
    <w:link w:val="QuoteChar"/>
    <w:uiPriority w:val="29"/>
    <w:qFormat/>
    <w:rsid w:val="00EF5101"/>
    <w:pPr>
      <w:bidi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PH"/>
    </w:rPr>
  </w:style>
  <w:style w:type="character" w:customStyle="1" w:styleId="QuoteChar">
    <w:name w:val="Quote Char"/>
    <w:basedOn w:val="DefaultParagraphFont"/>
    <w:link w:val="Quote"/>
    <w:uiPriority w:val="29"/>
    <w:rsid w:val="00EF51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01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P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0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51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510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51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51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51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51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BC"/>
    <w:rPr>
      <w:rFonts w:ascii="Cambria" w:eastAsia="MS ??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5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BC"/>
    <w:rPr>
      <w:rFonts w:ascii="Cambria" w:eastAsia="MS ??" w:hAnsi="Cambria" w:cs="Times New Roman"/>
      <w:sz w:val="24"/>
      <w:szCs w:val="24"/>
      <w:lang w:val="en-GB"/>
    </w:rPr>
  </w:style>
  <w:style w:type="paragraph" w:customStyle="1" w:styleId="Manuscriptbody">
    <w:name w:val="Manuscript body"/>
    <w:basedOn w:val="NormalWeb"/>
    <w:link w:val="ManuscriptbodyChar"/>
    <w:qFormat/>
    <w:rsid w:val="00AA57BC"/>
    <w:pPr>
      <w:spacing w:after="100" w:afterAutospacing="1" w:line="360" w:lineRule="auto"/>
    </w:pPr>
    <w:rPr>
      <w:rFonts w:asciiTheme="minorHAnsi" w:eastAsia="Times New Roman" w:hAnsiTheme="minorHAnsi"/>
      <w:sz w:val="22"/>
      <w:lang w:eastAsia="ja-JP"/>
    </w:rPr>
  </w:style>
  <w:style w:type="paragraph" w:customStyle="1" w:styleId="Manuscriptbodytitle">
    <w:name w:val="Manuscript body title"/>
    <w:basedOn w:val="Normal"/>
    <w:next w:val="Manuscriptbody"/>
    <w:link w:val="ManuscriptbodytitleChar"/>
    <w:qFormat/>
    <w:rsid w:val="00AA57BC"/>
    <w:pPr>
      <w:spacing w:line="480" w:lineRule="auto"/>
      <w:outlineLvl w:val="0"/>
    </w:pPr>
    <w:rPr>
      <w:rFonts w:ascii="Tahoma" w:hAnsi="Tahoma" w:cs="Tahoma"/>
      <w:b/>
      <w:sz w:val="22"/>
      <w:szCs w:val="22"/>
      <w:lang w:val="en-US"/>
    </w:rPr>
  </w:style>
  <w:style w:type="character" w:customStyle="1" w:styleId="ManuscriptbodyChar">
    <w:name w:val="Manuscript body Char"/>
    <w:basedOn w:val="DefaultParagraphFont"/>
    <w:link w:val="Manuscriptbody"/>
    <w:rsid w:val="00AA57BC"/>
    <w:rPr>
      <w:rFonts w:eastAsia="Times New Roman" w:cs="Times New Roman"/>
      <w:szCs w:val="24"/>
      <w:lang w:val="en-GB" w:eastAsia="ja-JP"/>
    </w:rPr>
  </w:style>
  <w:style w:type="character" w:customStyle="1" w:styleId="ManuscriptbodytitleChar">
    <w:name w:val="Manuscript body title Char"/>
    <w:basedOn w:val="DefaultParagraphFont"/>
    <w:link w:val="Manuscriptbodytitle"/>
    <w:rsid w:val="00AA57BC"/>
    <w:rPr>
      <w:rFonts w:ascii="Tahoma" w:eastAsia="MS ??" w:hAnsi="Tahoma" w:cs="Tahoma"/>
      <w:b/>
      <w:lang w:val="en-US"/>
    </w:rPr>
  </w:style>
  <w:style w:type="table" w:customStyle="1" w:styleId="PlainTable41">
    <w:name w:val="Plain Table 41"/>
    <w:basedOn w:val="TableNormal"/>
    <w:uiPriority w:val="44"/>
    <w:rsid w:val="00AA57BC"/>
    <w:pPr>
      <w:spacing w:after="0" w:line="240" w:lineRule="auto"/>
    </w:pPr>
    <w:rPr>
      <w:rFonts w:ascii="Cambria" w:eastAsia="MS ??" w:hAnsi="Cambria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ptionChar">
    <w:name w:val="Caption Char"/>
    <w:link w:val="Caption"/>
    <w:rsid w:val="00AA57BC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7B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BC"/>
    <w:rPr>
      <w:rFonts w:ascii="Tahoma" w:eastAsia="MS ??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KSARAGA</dc:creator>
  <cp:lastModifiedBy>Will Cherry</cp:lastModifiedBy>
  <cp:revision>2</cp:revision>
  <dcterms:created xsi:type="dcterms:W3CDTF">2020-12-01T18:01:00Z</dcterms:created>
  <dcterms:modified xsi:type="dcterms:W3CDTF">2020-12-01T18:01:00Z</dcterms:modified>
</cp:coreProperties>
</file>