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559AC1" w14:textId="7D54EC62" w:rsidR="0069392B" w:rsidRPr="0069392B" w:rsidRDefault="0069392B">
      <w:pPr>
        <w:rPr>
          <w:b/>
          <w:bCs/>
          <w:sz w:val="28"/>
          <w:szCs w:val="28"/>
        </w:rPr>
      </w:pPr>
      <w:r w:rsidRPr="0069392B">
        <w:rPr>
          <w:b/>
          <w:bCs/>
          <w:sz w:val="28"/>
          <w:szCs w:val="28"/>
        </w:rPr>
        <w:t>Feasibility and diagnostic accuracy of using brain attenuation changes on CT to estimate time of ischemic stroke onset</w:t>
      </w:r>
    </w:p>
    <w:p w14:paraId="48CB8E92" w14:textId="3DFD5686" w:rsidR="0069392B" w:rsidRDefault="0069392B">
      <w:pPr>
        <w:rPr>
          <w:b/>
          <w:bCs/>
          <w:sz w:val="24"/>
          <w:szCs w:val="24"/>
          <w:u w:val="single"/>
        </w:rPr>
      </w:pPr>
    </w:p>
    <w:p w14:paraId="3AED3450" w14:textId="77777777" w:rsidR="0069392B" w:rsidRDefault="0069392B">
      <w:pPr>
        <w:rPr>
          <w:b/>
          <w:bCs/>
          <w:sz w:val="24"/>
          <w:szCs w:val="24"/>
          <w:u w:val="single"/>
        </w:rPr>
      </w:pPr>
    </w:p>
    <w:p w14:paraId="09232FCF" w14:textId="3A1EC07F" w:rsidR="00CE2C3D" w:rsidRPr="00362799" w:rsidRDefault="00AA3109">
      <w:pPr>
        <w:rPr>
          <w:b/>
          <w:bCs/>
          <w:sz w:val="24"/>
          <w:szCs w:val="24"/>
          <w:u w:val="single"/>
        </w:rPr>
      </w:pPr>
      <w:r w:rsidRPr="00362799">
        <w:rPr>
          <w:b/>
          <w:bCs/>
          <w:sz w:val="24"/>
          <w:szCs w:val="24"/>
          <w:u w:val="single"/>
        </w:rPr>
        <w:t>Supplementary Material</w:t>
      </w:r>
    </w:p>
    <w:p w14:paraId="3062BB1D" w14:textId="56B11D54" w:rsidR="00AA3109" w:rsidRPr="00362799" w:rsidRDefault="00AA3109">
      <w:pPr>
        <w:rPr>
          <w:sz w:val="24"/>
          <w:szCs w:val="24"/>
        </w:rPr>
      </w:pPr>
    </w:p>
    <w:p w14:paraId="63BEF887" w14:textId="04CE2B16" w:rsidR="00AA3109" w:rsidRPr="00362799" w:rsidRDefault="00AA3109">
      <w:pPr>
        <w:rPr>
          <w:b/>
          <w:bCs/>
          <w:sz w:val="24"/>
          <w:szCs w:val="24"/>
        </w:rPr>
      </w:pPr>
      <w:r w:rsidRPr="00362799">
        <w:rPr>
          <w:b/>
          <w:bCs/>
          <w:sz w:val="24"/>
          <w:szCs w:val="24"/>
        </w:rPr>
        <w:t>Development and testing of our CT attenuation measurement method for time estimation</w:t>
      </w:r>
    </w:p>
    <w:p w14:paraId="0C841307" w14:textId="6853CC61" w:rsidR="00AA3109" w:rsidRPr="00362799" w:rsidRDefault="00AA3109">
      <w:pPr>
        <w:rPr>
          <w:sz w:val="24"/>
          <w:szCs w:val="24"/>
        </w:rPr>
      </w:pPr>
    </w:p>
    <w:p w14:paraId="71D48D03" w14:textId="76BD68C1" w:rsidR="000C2305" w:rsidRPr="00362799" w:rsidRDefault="00892B4D">
      <w:pPr>
        <w:rPr>
          <w:sz w:val="24"/>
          <w:szCs w:val="24"/>
        </w:rPr>
      </w:pPr>
      <w:r w:rsidRPr="00362799">
        <w:rPr>
          <w:sz w:val="24"/>
          <w:szCs w:val="24"/>
        </w:rPr>
        <w:t>We initially tested different methods for determining attenuation change in ischemic brain tissue that might limit the effect of variability caused by between-scanner and between-patient differences such as poor CT scanner calibration or background leukoaraiosis of brain.</w:t>
      </w:r>
    </w:p>
    <w:p w14:paraId="598168B1" w14:textId="77777777" w:rsidR="00892B4D" w:rsidRPr="00362799" w:rsidRDefault="00892B4D" w:rsidP="00691B17">
      <w:pPr>
        <w:rPr>
          <w:i/>
          <w:iCs/>
          <w:sz w:val="24"/>
          <w:szCs w:val="24"/>
        </w:rPr>
      </w:pPr>
    </w:p>
    <w:p w14:paraId="2E5EA8EF" w14:textId="5B68AB53" w:rsidR="00691B17" w:rsidRPr="00362799" w:rsidRDefault="00691B17" w:rsidP="00691B17">
      <w:pPr>
        <w:rPr>
          <w:i/>
          <w:iCs/>
          <w:sz w:val="24"/>
          <w:szCs w:val="24"/>
        </w:rPr>
      </w:pPr>
      <w:r w:rsidRPr="00362799">
        <w:rPr>
          <w:i/>
          <w:iCs/>
          <w:sz w:val="24"/>
          <w:szCs w:val="24"/>
        </w:rPr>
        <w:t>Development of attenuation measurement method:</w:t>
      </w:r>
    </w:p>
    <w:p w14:paraId="0083A63B" w14:textId="2075A453" w:rsidR="00691B17" w:rsidRPr="00362799" w:rsidRDefault="00691B17" w:rsidP="00691B17">
      <w:pPr>
        <w:rPr>
          <w:sz w:val="24"/>
          <w:szCs w:val="24"/>
        </w:rPr>
      </w:pPr>
      <w:r w:rsidRPr="00362799">
        <w:rPr>
          <w:sz w:val="24"/>
          <w:szCs w:val="24"/>
        </w:rPr>
        <w:t xml:space="preserve">For a subset comprised of the first 120 scans, we compared absolute </w:t>
      </w:r>
      <w:r w:rsidR="00E53F76" w:rsidRPr="00362799">
        <w:rPr>
          <w:sz w:val="24"/>
          <w:szCs w:val="24"/>
        </w:rPr>
        <w:t xml:space="preserve">tissue attenuation (Hounsfield Units, </w:t>
      </w:r>
      <w:r w:rsidRPr="00362799">
        <w:rPr>
          <w:sz w:val="24"/>
          <w:szCs w:val="24"/>
        </w:rPr>
        <w:t>HU</w:t>
      </w:r>
      <w:r w:rsidR="00E53F76" w:rsidRPr="00362799">
        <w:rPr>
          <w:sz w:val="24"/>
          <w:szCs w:val="24"/>
        </w:rPr>
        <w:t>)</w:t>
      </w:r>
      <w:r w:rsidRPr="00362799">
        <w:rPr>
          <w:sz w:val="24"/>
          <w:szCs w:val="24"/>
        </w:rPr>
        <w:t xml:space="preserve"> derived solely from within the ischemic lesion to HU values corrected for scanner calibration errors by air offset (air surrounding the patient should always be exactly -1000 HU, e.g. if air measured -995 HU, we would adjust attenuation measurements of brain by +5 HU for that scan) and/or normalised to one of: contralateral normal brain mirrored on sagittal midline (i.e. including equivalent volumes of grey and white matter), contralateral thalamus, contralateral cortex, contralateral white matter (Figure). For each ROI attenuation pair, an attenuation</w:t>
      </w:r>
      <w:r w:rsidR="00E53F76" w:rsidRPr="00362799">
        <w:rPr>
          <w:sz w:val="24"/>
          <w:szCs w:val="24"/>
        </w:rPr>
        <w:t xml:space="preserve"> (HU)</w:t>
      </w:r>
      <w:r w:rsidRPr="00362799">
        <w:rPr>
          <w:sz w:val="24"/>
          <w:szCs w:val="24"/>
        </w:rPr>
        <w:t xml:space="preserve"> ratio was derived as ischemic lesion attenuation/other. We plotted corrected/uncorrected HU values and attenuation ratios against known time of symptom onset and derived best-fit curves for each. We used R</w:t>
      </w:r>
      <w:r w:rsidRPr="00362799">
        <w:rPr>
          <w:sz w:val="24"/>
          <w:szCs w:val="24"/>
          <w:vertAlign w:val="superscript"/>
        </w:rPr>
        <w:t>2</w:t>
      </w:r>
      <w:r w:rsidRPr="00362799">
        <w:rPr>
          <w:sz w:val="24"/>
          <w:szCs w:val="24"/>
        </w:rPr>
        <w:t xml:space="preserve"> values for curve estimation to determine which method of normalising/calibrating brain attenuation change (and which type of curve) produced the least variability (greatest R</w:t>
      </w:r>
      <w:r w:rsidRPr="00362799">
        <w:rPr>
          <w:sz w:val="24"/>
          <w:szCs w:val="24"/>
          <w:vertAlign w:val="superscript"/>
        </w:rPr>
        <w:t>2</w:t>
      </w:r>
      <w:r w:rsidRPr="00362799">
        <w:rPr>
          <w:sz w:val="24"/>
          <w:szCs w:val="24"/>
        </w:rPr>
        <w:t xml:space="preserve"> value) and selected this as our preferred method.  </w:t>
      </w:r>
    </w:p>
    <w:p w14:paraId="558CCAE6" w14:textId="77777777" w:rsidR="00691B17" w:rsidRPr="00362799" w:rsidRDefault="00691B17" w:rsidP="00691B17">
      <w:pPr>
        <w:rPr>
          <w:sz w:val="24"/>
          <w:szCs w:val="24"/>
        </w:rPr>
      </w:pPr>
    </w:p>
    <w:p w14:paraId="1550AC81" w14:textId="77777777" w:rsidR="00691B17" w:rsidRPr="00362799" w:rsidRDefault="00691B17" w:rsidP="00691B17">
      <w:pPr>
        <w:rPr>
          <w:i/>
          <w:iCs/>
          <w:sz w:val="24"/>
          <w:szCs w:val="24"/>
        </w:rPr>
      </w:pPr>
      <w:r w:rsidRPr="00362799">
        <w:rPr>
          <w:i/>
          <w:iCs/>
          <w:sz w:val="24"/>
          <w:szCs w:val="24"/>
        </w:rPr>
        <w:t>Testing of attenuation measurement method:</w:t>
      </w:r>
    </w:p>
    <w:p w14:paraId="542794C5" w14:textId="6231059F" w:rsidR="00691B17" w:rsidRPr="00362799" w:rsidRDefault="009C56AF" w:rsidP="00691B17">
      <w:pPr>
        <w:rPr>
          <w:sz w:val="24"/>
          <w:szCs w:val="24"/>
        </w:rPr>
      </w:pPr>
      <w:r w:rsidRPr="00362799">
        <w:rPr>
          <w:sz w:val="24"/>
          <w:szCs w:val="24"/>
        </w:rPr>
        <w:t>Based on this testing</w:t>
      </w:r>
      <w:r w:rsidR="00691B17" w:rsidRPr="00362799">
        <w:rPr>
          <w:sz w:val="24"/>
          <w:szCs w:val="24"/>
        </w:rPr>
        <w:t>, we selected ischemic lesion to contralateral normal brain attenuation ratio (without air calibration) as our preferred method, and we selected a logarithmic curve for fitting data (best fit R</w:t>
      </w:r>
      <w:r w:rsidR="00691B17" w:rsidRPr="00362799">
        <w:rPr>
          <w:sz w:val="24"/>
          <w:szCs w:val="24"/>
          <w:vertAlign w:val="superscript"/>
        </w:rPr>
        <w:t>2</w:t>
      </w:r>
      <w:r w:rsidR="00691B17" w:rsidRPr="00362799">
        <w:rPr>
          <w:sz w:val="24"/>
          <w:szCs w:val="24"/>
        </w:rPr>
        <w:t xml:space="preserve"> = 0.71), Table. </w:t>
      </w:r>
    </w:p>
    <w:p w14:paraId="483FE937" w14:textId="77777777" w:rsidR="00832B41" w:rsidRPr="00362799" w:rsidRDefault="00832B41" w:rsidP="00CB2CAF">
      <w:pPr>
        <w:rPr>
          <w:sz w:val="24"/>
          <w:szCs w:val="24"/>
        </w:rPr>
      </w:pPr>
    </w:p>
    <w:p w14:paraId="5F7FE15B" w14:textId="6E354F16" w:rsidR="00CB2CAF" w:rsidRPr="00362799" w:rsidRDefault="00CB2CAF" w:rsidP="00CB2CAF">
      <w:pPr>
        <w:rPr>
          <w:sz w:val="24"/>
          <w:szCs w:val="24"/>
        </w:rPr>
      </w:pPr>
      <w:r w:rsidRPr="00362799">
        <w:rPr>
          <w:sz w:val="24"/>
          <w:szCs w:val="24"/>
        </w:rPr>
        <w:t>We then used only our preferred method for assessing brain attenuation change in all subsequent scans for the remainder of the study population and in all analyses.</w:t>
      </w:r>
    </w:p>
    <w:p w14:paraId="273D01AB" w14:textId="6A75B251" w:rsidR="00691B17" w:rsidRPr="00362799" w:rsidRDefault="00691B17" w:rsidP="00691B17">
      <w:pPr>
        <w:rPr>
          <w:sz w:val="24"/>
          <w:szCs w:val="24"/>
        </w:rPr>
      </w:pPr>
    </w:p>
    <w:p w14:paraId="4046CC48" w14:textId="52DF2CFE" w:rsidR="00691B17" w:rsidRPr="00362799" w:rsidRDefault="00691B17" w:rsidP="00691B17">
      <w:pPr>
        <w:rPr>
          <w:sz w:val="24"/>
          <w:szCs w:val="24"/>
        </w:rPr>
      </w:pPr>
      <w:r w:rsidRPr="00362799">
        <w:rPr>
          <w:sz w:val="24"/>
          <w:szCs w:val="24"/>
        </w:rPr>
        <w:br w:type="page"/>
      </w:r>
    </w:p>
    <w:p w14:paraId="6E6A4D75" w14:textId="77777777" w:rsidR="00691B17" w:rsidRPr="00362799" w:rsidRDefault="00691B17" w:rsidP="00691B17">
      <w:pPr>
        <w:rPr>
          <w:rFonts w:cstheme="minorHAnsi"/>
          <w:sz w:val="24"/>
          <w:szCs w:val="24"/>
        </w:rPr>
      </w:pPr>
      <w:r w:rsidRPr="00362799">
        <w:rPr>
          <w:b/>
          <w:bCs/>
          <w:sz w:val="24"/>
          <w:szCs w:val="24"/>
        </w:rPr>
        <w:lastRenderedPageBreak/>
        <w:t>Table.</w:t>
      </w:r>
      <w:r w:rsidRPr="00362799">
        <w:rPr>
          <w:rFonts w:cstheme="minorHAnsi"/>
          <w:sz w:val="24"/>
          <w:szCs w:val="24"/>
        </w:rPr>
        <w:t xml:space="preserve"> Comparison of CT attenuation measurement techniques and best-fit curve type, n=120.</w:t>
      </w:r>
    </w:p>
    <w:p w14:paraId="7F2A81ED" w14:textId="77777777" w:rsidR="00691B17" w:rsidRPr="00362799" w:rsidRDefault="00691B17" w:rsidP="00691B17">
      <w:pPr>
        <w:rPr>
          <w:rFonts w:cstheme="minorHAnsi"/>
          <w:sz w:val="24"/>
          <w:szCs w:val="24"/>
        </w:rPr>
      </w:pPr>
    </w:p>
    <w:tbl>
      <w:tblPr>
        <w:tblStyle w:val="TableGridLight"/>
        <w:tblW w:w="0" w:type="auto"/>
        <w:tblLook w:val="04A0" w:firstRow="1" w:lastRow="0" w:firstColumn="1" w:lastColumn="0" w:noHBand="0" w:noVBand="1"/>
      </w:tblPr>
      <w:tblGrid>
        <w:gridCol w:w="3964"/>
        <w:gridCol w:w="2268"/>
        <w:gridCol w:w="2268"/>
      </w:tblGrid>
      <w:tr w:rsidR="00691B17" w:rsidRPr="00362799" w14:paraId="1E1996DF" w14:textId="77777777" w:rsidTr="00587E29">
        <w:tc>
          <w:tcPr>
            <w:tcW w:w="3964" w:type="dxa"/>
            <w:shd w:val="clear" w:color="auto" w:fill="F2F2F2" w:themeFill="background1" w:themeFillShade="F2"/>
            <w:vAlign w:val="center"/>
          </w:tcPr>
          <w:p w14:paraId="1CC76E31" w14:textId="77777777" w:rsidR="00691B17" w:rsidRPr="00362799" w:rsidRDefault="00691B17" w:rsidP="00691B17">
            <w:pPr>
              <w:spacing w:before="120" w:after="120"/>
              <w:rPr>
                <w:rFonts w:cstheme="minorHAnsi"/>
                <w:b/>
                <w:sz w:val="24"/>
                <w:szCs w:val="24"/>
              </w:rPr>
            </w:pPr>
            <w:r w:rsidRPr="00362799">
              <w:rPr>
                <w:rFonts w:cstheme="minorHAnsi"/>
                <w:b/>
                <w:sz w:val="24"/>
                <w:szCs w:val="24"/>
              </w:rPr>
              <w:t>CT attenuation measurement technique</w:t>
            </w:r>
          </w:p>
        </w:tc>
        <w:tc>
          <w:tcPr>
            <w:tcW w:w="2268" w:type="dxa"/>
            <w:shd w:val="clear" w:color="auto" w:fill="F2F2F2" w:themeFill="background1" w:themeFillShade="F2"/>
            <w:vAlign w:val="center"/>
          </w:tcPr>
          <w:p w14:paraId="29DB027A" w14:textId="77777777" w:rsidR="00691B17" w:rsidRPr="00362799" w:rsidRDefault="00691B17" w:rsidP="00691B17">
            <w:pPr>
              <w:spacing w:before="120" w:after="120"/>
              <w:jc w:val="center"/>
              <w:rPr>
                <w:rFonts w:cstheme="minorHAnsi"/>
                <w:b/>
                <w:sz w:val="24"/>
                <w:szCs w:val="24"/>
              </w:rPr>
            </w:pPr>
            <w:r w:rsidRPr="00362799">
              <w:rPr>
                <w:rFonts w:cstheme="minorHAnsi"/>
                <w:b/>
                <w:sz w:val="24"/>
                <w:szCs w:val="24"/>
              </w:rPr>
              <w:t>With air calibration</w:t>
            </w:r>
          </w:p>
        </w:tc>
        <w:tc>
          <w:tcPr>
            <w:tcW w:w="2268" w:type="dxa"/>
            <w:shd w:val="clear" w:color="auto" w:fill="F2F2F2" w:themeFill="background1" w:themeFillShade="F2"/>
            <w:vAlign w:val="center"/>
          </w:tcPr>
          <w:p w14:paraId="51FAD065" w14:textId="77777777" w:rsidR="00691B17" w:rsidRPr="00362799" w:rsidRDefault="00691B17" w:rsidP="00691B17">
            <w:pPr>
              <w:spacing w:before="120" w:after="120"/>
              <w:jc w:val="center"/>
              <w:rPr>
                <w:rFonts w:cstheme="minorHAnsi"/>
                <w:b/>
                <w:sz w:val="24"/>
                <w:szCs w:val="24"/>
              </w:rPr>
            </w:pPr>
            <w:r w:rsidRPr="00362799">
              <w:rPr>
                <w:rFonts w:cstheme="minorHAnsi"/>
                <w:b/>
                <w:sz w:val="24"/>
                <w:szCs w:val="24"/>
              </w:rPr>
              <w:t>R-squared (R</w:t>
            </w:r>
            <w:r w:rsidRPr="00362799">
              <w:rPr>
                <w:rFonts w:cstheme="minorHAnsi"/>
                <w:b/>
                <w:sz w:val="24"/>
                <w:szCs w:val="24"/>
                <w:vertAlign w:val="superscript"/>
              </w:rPr>
              <w:t>2</w:t>
            </w:r>
            <w:r w:rsidRPr="00362799">
              <w:rPr>
                <w:rFonts w:cstheme="minorHAnsi"/>
                <w:b/>
                <w:sz w:val="24"/>
                <w:szCs w:val="24"/>
              </w:rPr>
              <w:t>)</w:t>
            </w:r>
          </w:p>
        </w:tc>
      </w:tr>
      <w:tr w:rsidR="00691B17" w:rsidRPr="00362799" w14:paraId="226EDAA7" w14:textId="77777777" w:rsidTr="00691B17">
        <w:tc>
          <w:tcPr>
            <w:tcW w:w="3964" w:type="dxa"/>
            <w:vMerge w:val="restart"/>
            <w:vAlign w:val="center"/>
          </w:tcPr>
          <w:p w14:paraId="56BDBD3B" w14:textId="77777777" w:rsidR="00691B17" w:rsidRPr="00362799" w:rsidRDefault="00691B17" w:rsidP="00691B17">
            <w:pPr>
              <w:spacing w:before="120" w:after="120"/>
              <w:rPr>
                <w:rFonts w:cstheme="minorHAnsi"/>
                <w:sz w:val="24"/>
                <w:szCs w:val="24"/>
              </w:rPr>
            </w:pPr>
            <w:r w:rsidRPr="00362799">
              <w:rPr>
                <w:rFonts w:cstheme="minorHAnsi"/>
                <w:sz w:val="24"/>
                <w:szCs w:val="24"/>
              </w:rPr>
              <w:t>Absolute attenuation of lesion</w:t>
            </w:r>
          </w:p>
        </w:tc>
        <w:tc>
          <w:tcPr>
            <w:tcW w:w="2268" w:type="dxa"/>
            <w:vAlign w:val="center"/>
          </w:tcPr>
          <w:p w14:paraId="48116091" w14:textId="77777777" w:rsidR="00691B17" w:rsidRPr="00362799" w:rsidRDefault="00691B17" w:rsidP="00691B17">
            <w:pPr>
              <w:spacing w:before="120" w:after="120"/>
              <w:jc w:val="center"/>
              <w:rPr>
                <w:rFonts w:cstheme="minorHAnsi"/>
                <w:sz w:val="24"/>
                <w:szCs w:val="24"/>
              </w:rPr>
            </w:pPr>
            <w:r w:rsidRPr="00362799">
              <w:rPr>
                <w:rFonts w:cstheme="minorHAnsi"/>
                <w:sz w:val="24"/>
                <w:szCs w:val="24"/>
              </w:rPr>
              <w:t>No</w:t>
            </w:r>
          </w:p>
        </w:tc>
        <w:tc>
          <w:tcPr>
            <w:tcW w:w="2268" w:type="dxa"/>
            <w:vAlign w:val="center"/>
          </w:tcPr>
          <w:p w14:paraId="5DB2763D" w14:textId="77777777" w:rsidR="00691B17" w:rsidRPr="00362799" w:rsidRDefault="00691B17" w:rsidP="00691B17">
            <w:pPr>
              <w:spacing w:before="120" w:after="120"/>
              <w:jc w:val="center"/>
              <w:rPr>
                <w:rFonts w:cstheme="minorHAnsi"/>
                <w:sz w:val="24"/>
                <w:szCs w:val="24"/>
              </w:rPr>
            </w:pPr>
            <w:r w:rsidRPr="00362799">
              <w:rPr>
                <w:rFonts w:cstheme="minorHAnsi"/>
                <w:sz w:val="24"/>
                <w:szCs w:val="24"/>
              </w:rPr>
              <w:t>0.59</w:t>
            </w:r>
          </w:p>
        </w:tc>
      </w:tr>
      <w:tr w:rsidR="00691B17" w:rsidRPr="00362799" w14:paraId="600AC60E" w14:textId="77777777" w:rsidTr="00691B17">
        <w:tc>
          <w:tcPr>
            <w:tcW w:w="3964" w:type="dxa"/>
            <w:vMerge/>
            <w:vAlign w:val="center"/>
          </w:tcPr>
          <w:p w14:paraId="11C70001" w14:textId="77777777" w:rsidR="00691B17" w:rsidRPr="00362799" w:rsidRDefault="00691B17" w:rsidP="00691B17">
            <w:pPr>
              <w:spacing w:before="120" w:after="120"/>
              <w:rPr>
                <w:rFonts w:cstheme="minorHAnsi"/>
                <w:sz w:val="24"/>
                <w:szCs w:val="24"/>
              </w:rPr>
            </w:pPr>
          </w:p>
        </w:tc>
        <w:tc>
          <w:tcPr>
            <w:tcW w:w="2268" w:type="dxa"/>
            <w:vAlign w:val="center"/>
          </w:tcPr>
          <w:p w14:paraId="1A57D6D8" w14:textId="77777777" w:rsidR="00691B17" w:rsidRPr="00362799" w:rsidRDefault="00691B17" w:rsidP="00691B17">
            <w:pPr>
              <w:spacing w:before="120" w:after="120"/>
              <w:jc w:val="center"/>
              <w:rPr>
                <w:rFonts w:cstheme="minorHAnsi"/>
                <w:sz w:val="24"/>
                <w:szCs w:val="24"/>
              </w:rPr>
            </w:pPr>
            <w:r w:rsidRPr="00362799">
              <w:rPr>
                <w:rFonts w:cstheme="minorHAnsi"/>
                <w:sz w:val="24"/>
                <w:szCs w:val="24"/>
              </w:rPr>
              <w:t>Yes</w:t>
            </w:r>
          </w:p>
        </w:tc>
        <w:tc>
          <w:tcPr>
            <w:tcW w:w="2268" w:type="dxa"/>
            <w:vAlign w:val="center"/>
          </w:tcPr>
          <w:p w14:paraId="36D9E3F4" w14:textId="77777777" w:rsidR="00691B17" w:rsidRPr="00362799" w:rsidRDefault="00691B17" w:rsidP="00691B17">
            <w:pPr>
              <w:spacing w:before="120" w:after="120"/>
              <w:jc w:val="center"/>
              <w:rPr>
                <w:rFonts w:cstheme="minorHAnsi"/>
                <w:sz w:val="24"/>
                <w:szCs w:val="24"/>
              </w:rPr>
            </w:pPr>
            <w:r w:rsidRPr="00362799">
              <w:rPr>
                <w:rFonts w:cstheme="minorHAnsi"/>
                <w:sz w:val="24"/>
                <w:szCs w:val="24"/>
              </w:rPr>
              <w:t>0.50</w:t>
            </w:r>
          </w:p>
        </w:tc>
      </w:tr>
      <w:tr w:rsidR="00691B17" w:rsidRPr="00362799" w14:paraId="64DAF810" w14:textId="77777777" w:rsidTr="00691B17">
        <w:tc>
          <w:tcPr>
            <w:tcW w:w="3964" w:type="dxa"/>
            <w:vMerge w:val="restart"/>
            <w:vAlign w:val="center"/>
          </w:tcPr>
          <w:p w14:paraId="185CECB1" w14:textId="77777777" w:rsidR="00691B17" w:rsidRPr="00362799" w:rsidRDefault="00691B17" w:rsidP="00691B17">
            <w:pPr>
              <w:spacing w:before="120" w:after="120"/>
              <w:rPr>
                <w:rFonts w:cstheme="minorHAnsi"/>
                <w:sz w:val="24"/>
                <w:szCs w:val="24"/>
              </w:rPr>
            </w:pPr>
            <w:r w:rsidRPr="00362799">
              <w:rPr>
                <w:rFonts w:cstheme="minorHAnsi"/>
                <w:sz w:val="24"/>
                <w:szCs w:val="24"/>
              </w:rPr>
              <w:t>Ischemic lesion to contralateral normal brain attenuation ratio</w:t>
            </w:r>
          </w:p>
        </w:tc>
        <w:tc>
          <w:tcPr>
            <w:tcW w:w="2268" w:type="dxa"/>
            <w:vAlign w:val="center"/>
          </w:tcPr>
          <w:p w14:paraId="3FF10177" w14:textId="77777777" w:rsidR="00691B17" w:rsidRPr="00362799" w:rsidRDefault="00691B17" w:rsidP="00691B17">
            <w:pPr>
              <w:spacing w:before="120" w:after="120"/>
              <w:jc w:val="center"/>
              <w:rPr>
                <w:rFonts w:cstheme="minorHAnsi"/>
                <w:sz w:val="24"/>
                <w:szCs w:val="24"/>
              </w:rPr>
            </w:pPr>
            <w:r w:rsidRPr="00362799">
              <w:rPr>
                <w:rFonts w:cstheme="minorHAnsi"/>
                <w:sz w:val="24"/>
                <w:szCs w:val="24"/>
              </w:rPr>
              <w:t>No</w:t>
            </w:r>
          </w:p>
        </w:tc>
        <w:tc>
          <w:tcPr>
            <w:tcW w:w="2268" w:type="dxa"/>
            <w:vAlign w:val="center"/>
          </w:tcPr>
          <w:p w14:paraId="1BD210CB" w14:textId="77777777" w:rsidR="00691B17" w:rsidRPr="00362799" w:rsidRDefault="00691B17" w:rsidP="00691B17">
            <w:pPr>
              <w:spacing w:before="120" w:after="120"/>
              <w:jc w:val="center"/>
              <w:rPr>
                <w:rFonts w:cstheme="minorHAnsi"/>
                <w:sz w:val="24"/>
                <w:szCs w:val="24"/>
              </w:rPr>
            </w:pPr>
            <w:r w:rsidRPr="00362799">
              <w:rPr>
                <w:rFonts w:cstheme="minorHAnsi"/>
                <w:sz w:val="24"/>
                <w:szCs w:val="24"/>
              </w:rPr>
              <w:t>0.71</w:t>
            </w:r>
          </w:p>
        </w:tc>
      </w:tr>
      <w:tr w:rsidR="00691B17" w:rsidRPr="00362799" w14:paraId="7714D0C5" w14:textId="77777777" w:rsidTr="00691B17">
        <w:tc>
          <w:tcPr>
            <w:tcW w:w="3964" w:type="dxa"/>
            <w:vMerge/>
            <w:vAlign w:val="center"/>
          </w:tcPr>
          <w:p w14:paraId="3F6B601E" w14:textId="77777777" w:rsidR="00691B17" w:rsidRPr="00362799" w:rsidRDefault="00691B17" w:rsidP="00691B17">
            <w:pPr>
              <w:spacing w:before="120" w:after="120"/>
              <w:rPr>
                <w:rFonts w:cstheme="minorHAnsi"/>
                <w:sz w:val="24"/>
                <w:szCs w:val="24"/>
              </w:rPr>
            </w:pPr>
          </w:p>
        </w:tc>
        <w:tc>
          <w:tcPr>
            <w:tcW w:w="2268" w:type="dxa"/>
            <w:vAlign w:val="center"/>
          </w:tcPr>
          <w:p w14:paraId="155344BB" w14:textId="77777777" w:rsidR="00691B17" w:rsidRPr="00362799" w:rsidRDefault="00691B17" w:rsidP="00691B17">
            <w:pPr>
              <w:spacing w:before="120" w:after="120"/>
              <w:jc w:val="center"/>
              <w:rPr>
                <w:rFonts w:cstheme="minorHAnsi"/>
                <w:sz w:val="24"/>
                <w:szCs w:val="24"/>
              </w:rPr>
            </w:pPr>
            <w:r w:rsidRPr="00362799">
              <w:rPr>
                <w:rFonts w:cstheme="minorHAnsi"/>
                <w:sz w:val="24"/>
                <w:szCs w:val="24"/>
              </w:rPr>
              <w:t>Yes</w:t>
            </w:r>
          </w:p>
        </w:tc>
        <w:tc>
          <w:tcPr>
            <w:tcW w:w="2268" w:type="dxa"/>
            <w:vAlign w:val="center"/>
          </w:tcPr>
          <w:p w14:paraId="368067A4" w14:textId="77777777" w:rsidR="00691B17" w:rsidRPr="00362799" w:rsidRDefault="00691B17" w:rsidP="00691B17">
            <w:pPr>
              <w:spacing w:before="120" w:after="120"/>
              <w:jc w:val="center"/>
              <w:rPr>
                <w:rFonts w:cstheme="minorHAnsi"/>
                <w:sz w:val="24"/>
                <w:szCs w:val="24"/>
              </w:rPr>
            </w:pPr>
            <w:r w:rsidRPr="00362799">
              <w:rPr>
                <w:rFonts w:cstheme="minorHAnsi"/>
                <w:sz w:val="24"/>
                <w:szCs w:val="24"/>
              </w:rPr>
              <w:t>0.54</w:t>
            </w:r>
          </w:p>
        </w:tc>
      </w:tr>
      <w:tr w:rsidR="00691B17" w:rsidRPr="00362799" w14:paraId="62391B49" w14:textId="77777777" w:rsidTr="00691B17">
        <w:tc>
          <w:tcPr>
            <w:tcW w:w="3964" w:type="dxa"/>
            <w:vMerge w:val="restart"/>
            <w:vAlign w:val="center"/>
          </w:tcPr>
          <w:p w14:paraId="749A1FBB" w14:textId="77777777" w:rsidR="00691B17" w:rsidRPr="00362799" w:rsidRDefault="00691B17" w:rsidP="00691B17">
            <w:pPr>
              <w:spacing w:before="120" w:after="120"/>
              <w:rPr>
                <w:rFonts w:cstheme="minorHAnsi"/>
                <w:sz w:val="24"/>
                <w:szCs w:val="24"/>
              </w:rPr>
            </w:pPr>
            <w:r w:rsidRPr="00362799">
              <w:rPr>
                <w:rFonts w:cstheme="minorHAnsi"/>
                <w:sz w:val="24"/>
                <w:szCs w:val="24"/>
              </w:rPr>
              <w:t>Ischemic lesion to contralateral thalamus attenuation ratio</w:t>
            </w:r>
          </w:p>
        </w:tc>
        <w:tc>
          <w:tcPr>
            <w:tcW w:w="2268" w:type="dxa"/>
            <w:vAlign w:val="center"/>
          </w:tcPr>
          <w:p w14:paraId="57C04709" w14:textId="77777777" w:rsidR="00691B17" w:rsidRPr="00362799" w:rsidRDefault="00691B17" w:rsidP="00691B17">
            <w:pPr>
              <w:spacing w:before="120" w:after="120"/>
              <w:jc w:val="center"/>
              <w:rPr>
                <w:rFonts w:cstheme="minorHAnsi"/>
                <w:sz w:val="24"/>
                <w:szCs w:val="24"/>
              </w:rPr>
            </w:pPr>
            <w:r w:rsidRPr="00362799">
              <w:rPr>
                <w:rFonts w:cstheme="minorHAnsi"/>
                <w:sz w:val="24"/>
                <w:szCs w:val="24"/>
              </w:rPr>
              <w:t>No</w:t>
            </w:r>
          </w:p>
        </w:tc>
        <w:tc>
          <w:tcPr>
            <w:tcW w:w="2268" w:type="dxa"/>
            <w:vAlign w:val="center"/>
          </w:tcPr>
          <w:p w14:paraId="06721916" w14:textId="77777777" w:rsidR="00691B17" w:rsidRPr="00362799" w:rsidRDefault="00691B17" w:rsidP="00691B17">
            <w:pPr>
              <w:spacing w:before="120" w:after="120"/>
              <w:jc w:val="center"/>
              <w:rPr>
                <w:rFonts w:cstheme="minorHAnsi"/>
                <w:sz w:val="24"/>
                <w:szCs w:val="24"/>
              </w:rPr>
            </w:pPr>
            <w:r w:rsidRPr="00362799">
              <w:rPr>
                <w:rFonts w:cstheme="minorHAnsi"/>
                <w:sz w:val="24"/>
                <w:szCs w:val="24"/>
              </w:rPr>
              <w:t>0.61</w:t>
            </w:r>
          </w:p>
        </w:tc>
      </w:tr>
      <w:tr w:rsidR="00691B17" w:rsidRPr="00362799" w14:paraId="2E56DB3F" w14:textId="77777777" w:rsidTr="00691B17">
        <w:tc>
          <w:tcPr>
            <w:tcW w:w="3964" w:type="dxa"/>
            <w:vMerge/>
            <w:vAlign w:val="center"/>
          </w:tcPr>
          <w:p w14:paraId="43D8A57F" w14:textId="77777777" w:rsidR="00691B17" w:rsidRPr="00362799" w:rsidRDefault="00691B17" w:rsidP="00691B17">
            <w:pPr>
              <w:spacing w:before="120" w:after="120"/>
              <w:rPr>
                <w:rFonts w:cstheme="minorHAnsi"/>
                <w:sz w:val="24"/>
                <w:szCs w:val="24"/>
              </w:rPr>
            </w:pPr>
          </w:p>
        </w:tc>
        <w:tc>
          <w:tcPr>
            <w:tcW w:w="2268" w:type="dxa"/>
            <w:vAlign w:val="center"/>
          </w:tcPr>
          <w:p w14:paraId="6951DB24" w14:textId="77777777" w:rsidR="00691B17" w:rsidRPr="00362799" w:rsidRDefault="00691B17" w:rsidP="00691B17">
            <w:pPr>
              <w:spacing w:before="120" w:after="120"/>
              <w:jc w:val="center"/>
              <w:rPr>
                <w:rFonts w:cstheme="minorHAnsi"/>
                <w:sz w:val="24"/>
                <w:szCs w:val="24"/>
              </w:rPr>
            </w:pPr>
            <w:r w:rsidRPr="00362799">
              <w:rPr>
                <w:rFonts w:cstheme="minorHAnsi"/>
                <w:sz w:val="24"/>
                <w:szCs w:val="24"/>
              </w:rPr>
              <w:t>Yes</w:t>
            </w:r>
          </w:p>
        </w:tc>
        <w:tc>
          <w:tcPr>
            <w:tcW w:w="2268" w:type="dxa"/>
            <w:vAlign w:val="center"/>
          </w:tcPr>
          <w:p w14:paraId="0450E466" w14:textId="77777777" w:rsidR="00691B17" w:rsidRPr="00362799" w:rsidRDefault="00691B17" w:rsidP="00691B17">
            <w:pPr>
              <w:spacing w:before="120" w:after="120"/>
              <w:jc w:val="center"/>
              <w:rPr>
                <w:rFonts w:cstheme="minorHAnsi"/>
                <w:sz w:val="24"/>
                <w:szCs w:val="24"/>
              </w:rPr>
            </w:pPr>
            <w:r w:rsidRPr="00362799">
              <w:rPr>
                <w:rFonts w:cstheme="minorHAnsi"/>
                <w:sz w:val="24"/>
                <w:szCs w:val="24"/>
              </w:rPr>
              <w:t>0.48</w:t>
            </w:r>
          </w:p>
        </w:tc>
      </w:tr>
      <w:tr w:rsidR="00691B17" w:rsidRPr="00362799" w14:paraId="2BF3937F" w14:textId="77777777" w:rsidTr="00691B17">
        <w:tc>
          <w:tcPr>
            <w:tcW w:w="3964" w:type="dxa"/>
            <w:vMerge w:val="restart"/>
            <w:vAlign w:val="center"/>
          </w:tcPr>
          <w:p w14:paraId="5525D095" w14:textId="77777777" w:rsidR="00691B17" w:rsidRPr="00362799" w:rsidRDefault="00691B17" w:rsidP="00691B17">
            <w:pPr>
              <w:spacing w:before="120" w:after="120"/>
              <w:rPr>
                <w:rFonts w:cstheme="minorHAnsi"/>
                <w:sz w:val="24"/>
                <w:szCs w:val="24"/>
              </w:rPr>
            </w:pPr>
            <w:r w:rsidRPr="00362799">
              <w:rPr>
                <w:rFonts w:cstheme="minorHAnsi"/>
                <w:sz w:val="24"/>
                <w:szCs w:val="24"/>
              </w:rPr>
              <w:t>Ischemic lesion to contralateral white matter attenuation ratio</w:t>
            </w:r>
          </w:p>
        </w:tc>
        <w:tc>
          <w:tcPr>
            <w:tcW w:w="2268" w:type="dxa"/>
            <w:vAlign w:val="center"/>
          </w:tcPr>
          <w:p w14:paraId="26BFD606" w14:textId="77777777" w:rsidR="00691B17" w:rsidRPr="00362799" w:rsidRDefault="00691B17" w:rsidP="00691B17">
            <w:pPr>
              <w:spacing w:before="120" w:after="120"/>
              <w:jc w:val="center"/>
              <w:rPr>
                <w:rFonts w:cstheme="minorHAnsi"/>
                <w:sz w:val="24"/>
                <w:szCs w:val="24"/>
              </w:rPr>
            </w:pPr>
            <w:r w:rsidRPr="00362799">
              <w:rPr>
                <w:rFonts w:cstheme="minorHAnsi"/>
                <w:sz w:val="24"/>
                <w:szCs w:val="24"/>
              </w:rPr>
              <w:t>No</w:t>
            </w:r>
          </w:p>
        </w:tc>
        <w:tc>
          <w:tcPr>
            <w:tcW w:w="2268" w:type="dxa"/>
            <w:vAlign w:val="center"/>
          </w:tcPr>
          <w:p w14:paraId="28825B41" w14:textId="77777777" w:rsidR="00691B17" w:rsidRPr="00362799" w:rsidRDefault="00691B17" w:rsidP="00691B17">
            <w:pPr>
              <w:spacing w:before="120" w:after="120"/>
              <w:jc w:val="center"/>
              <w:rPr>
                <w:rFonts w:cstheme="minorHAnsi"/>
                <w:sz w:val="24"/>
                <w:szCs w:val="24"/>
              </w:rPr>
            </w:pPr>
            <w:r w:rsidRPr="00362799">
              <w:rPr>
                <w:rFonts w:cstheme="minorHAnsi"/>
                <w:sz w:val="24"/>
                <w:szCs w:val="24"/>
              </w:rPr>
              <w:t>0.66</w:t>
            </w:r>
          </w:p>
        </w:tc>
      </w:tr>
      <w:tr w:rsidR="00691B17" w:rsidRPr="00362799" w14:paraId="65C3070B" w14:textId="77777777" w:rsidTr="00691B17">
        <w:tc>
          <w:tcPr>
            <w:tcW w:w="3964" w:type="dxa"/>
            <w:vMerge/>
            <w:vAlign w:val="center"/>
          </w:tcPr>
          <w:p w14:paraId="3A6E4288" w14:textId="77777777" w:rsidR="00691B17" w:rsidRPr="00362799" w:rsidRDefault="00691B17" w:rsidP="00691B17">
            <w:pPr>
              <w:spacing w:before="120" w:after="120"/>
              <w:rPr>
                <w:rFonts w:cstheme="minorHAnsi"/>
                <w:sz w:val="24"/>
                <w:szCs w:val="24"/>
              </w:rPr>
            </w:pPr>
          </w:p>
        </w:tc>
        <w:tc>
          <w:tcPr>
            <w:tcW w:w="2268" w:type="dxa"/>
            <w:vAlign w:val="center"/>
          </w:tcPr>
          <w:p w14:paraId="32FB3B9E" w14:textId="77777777" w:rsidR="00691B17" w:rsidRPr="00362799" w:rsidRDefault="00691B17" w:rsidP="00691B17">
            <w:pPr>
              <w:spacing w:before="120" w:after="120"/>
              <w:jc w:val="center"/>
              <w:rPr>
                <w:rFonts w:cstheme="minorHAnsi"/>
                <w:sz w:val="24"/>
                <w:szCs w:val="24"/>
              </w:rPr>
            </w:pPr>
            <w:r w:rsidRPr="00362799">
              <w:rPr>
                <w:rFonts w:cstheme="minorHAnsi"/>
                <w:sz w:val="24"/>
                <w:szCs w:val="24"/>
              </w:rPr>
              <w:t>Yes</w:t>
            </w:r>
          </w:p>
        </w:tc>
        <w:tc>
          <w:tcPr>
            <w:tcW w:w="2268" w:type="dxa"/>
            <w:vAlign w:val="center"/>
          </w:tcPr>
          <w:p w14:paraId="6B2AD890" w14:textId="77777777" w:rsidR="00691B17" w:rsidRPr="00362799" w:rsidRDefault="00691B17" w:rsidP="00691B17">
            <w:pPr>
              <w:spacing w:before="120" w:after="120"/>
              <w:jc w:val="center"/>
              <w:rPr>
                <w:rFonts w:cstheme="minorHAnsi"/>
                <w:sz w:val="24"/>
                <w:szCs w:val="24"/>
              </w:rPr>
            </w:pPr>
            <w:r w:rsidRPr="00362799">
              <w:rPr>
                <w:rFonts w:cstheme="minorHAnsi"/>
                <w:sz w:val="24"/>
                <w:szCs w:val="24"/>
              </w:rPr>
              <w:t>0.45</w:t>
            </w:r>
          </w:p>
        </w:tc>
      </w:tr>
      <w:tr w:rsidR="00691B17" w:rsidRPr="00362799" w14:paraId="03D5D8F0" w14:textId="77777777" w:rsidTr="00691B17">
        <w:tc>
          <w:tcPr>
            <w:tcW w:w="3964" w:type="dxa"/>
            <w:vMerge w:val="restart"/>
            <w:vAlign w:val="center"/>
          </w:tcPr>
          <w:p w14:paraId="05F21F38" w14:textId="77777777" w:rsidR="00691B17" w:rsidRPr="00362799" w:rsidRDefault="00691B17" w:rsidP="00691B17">
            <w:pPr>
              <w:spacing w:before="120" w:after="120"/>
              <w:rPr>
                <w:rFonts w:cstheme="minorHAnsi"/>
                <w:sz w:val="24"/>
                <w:szCs w:val="24"/>
              </w:rPr>
            </w:pPr>
            <w:r w:rsidRPr="00362799">
              <w:rPr>
                <w:rFonts w:cstheme="minorHAnsi"/>
                <w:sz w:val="24"/>
                <w:szCs w:val="24"/>
              </w:rPr>
              <w:t>Ischemic lesion to contralateral cortical grey matter attenuation ratio</w:t>
            </w:r>
          </w:p>
        </w:tc>
        <w:tc>
          <w:tcPr>
            <w:tcW w:w="2268" w:type="dxa"/>
            <w:vAlign w:val="center"/>
          </w:tcPr>
          <w:p w14:paraId="34A4623D" w14:textId="77777777" w:rsidR="00691B17" w:rsidRPr="00362799" w:rsidRDefault="00691B17" w:rsidP="00691B17">
            <w:pPr>
              <w:spacing w:before="120" w:after="120"/>
              <w:jc w:val="center"/>
              <w:rPr>
                <w:rFonts w:cstheme="minorHAnsi"/>
                <w:sz w:val="24"/>
                <w:szCs w:val="24"/>
              </w:rPr>
            </w:pPr>
            <w:r w:rsidRPr="00362799">
              <w:rPr>
                <w:rFonts w:cstheme="minorHAnsi"/>
                <w:sz w:val="24"/>
                <w:szCs w:val="24"/>
              </w:rPr>
              <w:t>No</w:t>
            </w:r>
          </w:p>
        </w:tc>
        <w:tc>
          <w:tcPr>
            <w:tcW w:w="2268" w:type="dxa"/>
            <w:vAlign w:val="center"/>
          </w:tcPr>
          <w:p w14:paraId="21598F29" w14:textId="77777777" w:rsidR="00691B17" w:rsidRPr="00362799" w:rsidRDefault="00691B17" w:rsidP="00691B17">
            <w:pPr>
              <w:spacing w:before="120" w:after="120"/>
              <w:jc w:val="center"/>
              <w:rPr>
                <w:rFonts w:cstheme="minorHAnsi"/>
                <w:sz w:val="24"/>
                <w:szCs w:val="24"/>
              </w:rPr>
            </w:pPr>
            <w:r w:rsidRPr="00362799">
              <w:rPr>
                <w:rFonts w:cstheme="minorHAnsi"/>
                <w:sz w:val="24"/>
                <w:szCs w:val="24"/>
              </w:rPr>
              <w:t>0.58</w:t>
            </w:r>
          </w:p>
        </w:tc>
      </w:tr>
      <w:tr w:rsidR="00691B17" w:rsidRPr="00362799" w14:paraId="79CAD60B" w14:textId="77777777" w:rsidTr="00691B17">
        <w:tc>
          <w:tcPr>
            <w:tcW w:w="3964" w:type="dxa"/>
            <w:vMerge/>
            <w:vAlign w:val="center"/>
          </w:tcPr>
          <w:p w14:paraId="3DF015C7" w14:textId="77777777" w:rsidR="00691B17" w:rsidRPr="00362799" w:rsidRDefault="00691B17" w:rsidP="00691B17">
            <w:pPr>
              <w:spacing w:before="120" w:after="120"/>
              <w:rPr>
                <w:rFonts w:cstheme="minorHAnsi"/>
                <w:sz w:val="24"/>
                <w:szCs w:val="24"/>
              </w:rPr>
            </w:pPr>
          </w:p>
        </w:tc>
        <w:tc>
          <w:tcPr>
            <w:tcW w:w="2268" w:type="dxa"/>
            <w:vAlign w:val="center"/>
          </w:tcPr>
          <w:p w14:paraId="3E803BAD" w14:textId="77777777" w:rsidR="00691B17" w:rsidRPr="00362799" w:rsidRDefault="00691B17" w:rsidP="00691B17">
            <w:pPr>
              <w:spacing w:before="120" w:after="120"/>
              <w:jc w:val="center"/>
              <w:rPr>
                <w:rFonts w:cstheme="minorHAnsi"/>
                <w:sz w:val="24"/>
                <w:szCs w:val="24"/>
              </w:rPr>
            </w:pPr>
            <w:r w:rsidRPr="00362799">
              <w:rPr>
                <w:rFonts w:cstheme="minorHAnsi"/>
                <w:sz w:val="24"/>
                <w:szCs w:val="24"/>
              </w:rPr>
              <w:t>Yes</w:t>
            </w:r>
          </w:p>
        </w:tc>
        <w:tc>
          <w:tcPr>
            <w:tcW w:w="2268" w:type="dxa"/>
            <w:vAlign w:val="center"/>
          </w:tcPr>
          <w:p w14:paraId="587E2128" w14:textId="77777777" w:rsidR="00691B17" w:rsidRPr="00362799" w:rsidRDefault="00691B17" w:rsidP="00691B17">
            <w:pPr>
              <w:spacing w:before="120" w:after="120"/>
              <w:jc w:val="center"/>
              <w:rPr>
                <w:rFonts w:cstheme="minorHAnsi"/>
                <w:sz w:val="24"/>
                <w:szCs w:val="24"/>
              </w:rPr>
            </w:pPr>
            <w:r w:rsidRPr="00362799">
              <w:rPr>
                <w:rFonts w:cstheme="minorHAnsi"/>
                <w:sz w:val="24"/>
                <w:szCs w:val="24"/>
              </w:rPr>
              <w:t>0.47</w:t>
            </w:r>
          </w:p>
        </w:tc>
      </w:tr>
      <w:tr w:rsidR="00691B17" w:rsidRPr="00362799" w14:paraId="22F7F08F" w14:textId="77777777" w:rsidTr="00691B17">
        <w:tc>
          <w:tcPr>
            <w:tcW w:w="8500" w:type="dxa"/>
            <w:gridSpan w:val="3"/>
            <w:shd w:val="clear" w:color="auto" w:fill="F2F2F2" w:themeFill="background1" w:themeFillShade="F2"/>
            <w:vAlign w:val="center"/>
          </w:tcPr>
          <w:p w14:paraId="75824E04" w14:textId="77777777" w:rsidR="00691B17" w:rsidRPr="00362799" w:rsidRDefault="00691B17" w:rsidP="00691B17">
            <w:pPr>
              <w:spacing w:before="120" w:after="120"/>
              <w:jc w:val="center"/>
              <w:rPr>
                <w:rFonts w:cstheme="minorHAnsi"/>
                <w:sz w:val="24"/>
                <w:szCs w:val="24"/>
              </w:rPr>
            </w:pPr>
            <w:r w:rsidRPr="00362799">
              <w:rPr>
                <w:rFonts w:cstheme="minorHAnsi"/>
                <w:b/>
                <w:sz w:val="24"/>
                <w:szCs w:val="24"/>
              </w:rPr>
              <w:t>Best-fit curve type</w:t>
            </w:r>
          </w:p>
        </w:tc>
      </w:tr>
      <w:tr w:rsidR="00691B17" w:rsidRPr="00362799" w14:paraId="4A01F77C" w14:textId="77777777" w:rsidTr="00691B17">
        <w:tc>
          <w:tcPr>
            <w:tcW w:w="3964" w:type="dxa"/>
            <w:vAlign w:val="center"/>
          </w:tcPr>
          <w:p w14:paraId="1CD4503B" w14:textId="77777777" w:rsidR="00691B17" w:rsidRPr="00362799" w:rsidRDefault="00691B17" w:rsidP="00691B17">
            <w:pPr>
              <w:spacing w:before="120" w:after="120"/>
              <w:rPr>
                <w:rFonts w:cstheme="minorHAnsi"/>
                <w:sz w:val="24"/>
                <w:szCs w:val="24"/>
              </w:rPr>
            </w:pPr>
            <w:r w:rsidRPr="00362799">
              <w:rPr>
                <w:rFonts w:cstheme="minorHAnsi"/>
                <w:sz w:val="24"/>
                <w:szCs w:val="24"/>
              </w:rPr>
              <w:t>Logarithmic</w:t>
            </w:r>
          </w:p>
        </w:tc>
        <w:tc>
          <w:tcPr>
            <w:tcW w:w="2268" w:type="dxa"/>
            <w:vAlign w:val="center"/>
          </w:tcPr>
          <w:p w14:paraId="18169657" w14:textId="77777777" w:rsidR="00691B17" w:rsidRPr="00362799" w:rsidRDefault="00691B17" w:rsidP="00691B17">
            <w:pPr>
              <w:spacing w:before="120" w:after="120"/>
              <w:jc w:val="center"/>
              <w:rPr>
                <w:rFonts w:cstheme="minorHAnsi"/>
                <w:sz w:val="24"/>
                <w:szCs w:val="24"/>
              </w:rPr>
            </w:pPr>
            <w:r w:rsidRPr="00362799">
              <w:rPr>
                <w:rFonts w:cstheme="minorHAnsi"/>
                <w:sz w:val="24"/>
                <w:szCs w:val="24"/>
              </w:rPr>
              <w:t>-</w:t>
            </w:r>
          </w:p>
        </w:tc>
        <w:tc>
          <w:tcPr>
            <w:tcW w:w="2268" w:type="dxa"/>
            <w:vAlign w:val="center"/>
          </w:tcPr>
          <w:p w14:paraId="35925635" w14:textId="77777777" w:rsidR="00691B17" w:rsidRPr="00362799" w:rsidRDefault="00691B17" w:rsidP="00691B17">
            <w:pPr>
              <w:spacing w:before="120" w:after="120"/>
              <w:jc w:val="center"/>
              <w:rPr>
                <w:rFonts w:cstheme="minorHAnsi"/>
                <w:sz w:val="24"/>
                <w:szCs w:val="24"/>
              </w:rPr>
            </w:pPr>
            <w:r w:rsidRPr="00362799">
              <w:rPr>
                <w:rFonts w:cstheme="minorHAnsi"/>
                <w:sz w:val="24"/>
                <w:szCs w:val="24"/>
              </w:rPr>
              <w:t>0.71</w:t>
            </w:r>
          </w:p>
        </w:tc>
      </w:tr>
      <w:tr w:rsidR="00691B17" w:rsidRPr="00362799" w14:paraId="3700AFA7" w14:textId="77777777" w:rsidTr="00691B17">
        <w:tc>
          <w:tcPr>
            <w:tcW w:w="3964" w:type="dxa"/>
            <w:vAlign w:val="center"/>
          </w:tcPr>
          <w:p w14:paraId="48802DC8" w14:textId="77777777" w:rsidR="00691B17" w:rsidRPr="00362799" w:rsidRDefault="00691B17" w:rsidP="00691B17">
            <w:pPr>
              <w:spacing w:before="120" w:after="120"/>
              <w:rPr>
                <w:rFonts w:cstheme="minorHAnsi"/>
                <w:sz w:val="24"/>
                <w:szCs w:val="24"/>
              </w:rPr>
            </w:pPr>
            <w:r w:rsidRPr="00362799">
              <w:rPr>
                <w:rFonts w:cstheme="minorHAnsi"/>
                <w:sz w:val="24"/>
                <w:szCs w:val="24"/>
              </w:rPr>
              <w:t>Inverse</w:t>
            </w:r>
          </w:p>
        </w:tc>
        <w:tc>
          <w:tcPr>
            <w:tcW w:w="2268" w:type="dxa"/>
            <w:vAlign w:val="center"/>
          </w:tcPr>
          <w:p w14:paraId="78693469" w14:textId="77777777" w:rsidR="00691B17" w:rsidRPr="00362799" w:rsidRDefault="00691B17" w:rsidP="00691B17">
            <w:pPr>
              <w:spacing w:before="120" w:after="120"/>
              <w:jc w:val="center"/>
              <w:rPr>
                <w:rFonts w:cstheme="minorHAnsi"/>
                <w:sz w:val="24"/>
                <w:szCs w:val="24"/>
              </w:rPr>
            </w:pPr>
            <w:r w:rsidRPr="00362799">
              <w:rPr>
                <w:rFonts w:cstheme="minorHAnsi"/>
                <w:sz w:val="24"/>
                <w:szCs w:val="24"/>
              </w:rPr>
              <w:t>-</w:t>
            </w:r>
          </w:p>
        </w:tc>
        <w:tc>
          <w:tcPr>
            <w:tcW w:w="2268" w:type="dxa"/>
            <w:vAlign w:val="center"/>
          </w:tcPr>
          <w:p w14:paraId="770C896A" w14:textId="77777777" w:rsidR="00691B17" w:rsidRPr="00362799" w:rsidRDefault="00691B17" w:rsidP="00691B17">
            <w:pPr>
              <w:spacing w:before="120" w:after="120"/>
              <w:jc w:val="center"/>
              <w:rPr>
                <w:rFonts w:cstheme="minorHAnsi"/>
                <w:sz w:val="24"/>
                <w:szCs w:val="24"/>
              </w:rPr>
            </w:pPr>
            <w:r w:rsidRPr="00362799">
              <w:rPr>
                <w:rFonts w:cstheme="minorHAnsi"/>
                <w:sz w:val="24"/>
                <w:szCs w:val="24"/>
              </w:rPr>
              <w:t>0.30</w:t>
            </w:r>
          </w:p>
        </w:tc>
      </w:tr>
      <w:tr w:rsidR="00691B17" w:rsidRPr="00362799" w14:paraId="6EFCF199" w14:textId="77777777" w:rsidTr="00691B17">
        <w:tc>
          <w:tcPr>
            <w:tcW w:w="3964" w:type="dxa"/>
            <w:vAlign w:val="center"/>
          </w:tcPr>
          <w:p w14:paraId="305F7528" w14:textId="77777777" w:rsidR="00691B17" w:rsidRPr="00362799" w:rsidRDefault="00691B17" w:rsidP="00691B17">
            <w:pPr>
              <w:spacing w:before="120" w:after="120"/>
              <w:rPr>
                <w:rFonts w:cstheme="minorHAnsi"/>
                <w:sz w:val="24"/>
                <w:szCs w:val="24"/>
              </w:rPr>
            </w:pPr>
            <w:r w:rsidRPr="00362799">
              <w:rPr>
                <w:rFonts w:cstheme="minorHAnsi"/>
                <w:sz w:val="24"/>
                <w:szCs w:val="24"/>
              </w:rPr>
              <w:t>Exponential</w:t>
            </w:r>
          </w:p>
        </w:tc>
        <w:tc>
          <w:tcPr>
            <w:tcW w:w="2268" w:type="dxa"/>
            <w:vAlign w:val="center"/>
          </w:tcPr>
          <w:p w14:paraId="591E510D" w14:textId="77777777" w:rsidR="00691B17" w:rsidRPr="00362799" w:rsidRDefault="00691B17" w:rsidP="00691B17">
            <w:pPr>
              <w:spacing w:before="120" w:after="120"/>
              <w:jc w:val="center"/>
              <w:rPr>
                <w:rFonts w:cstheme="minorHAnsi"/>
                <w:sz w:val="24"/>
                <w:szCs w:val="24"/>
              </w:rPr>
            </w:pPr>
            <w:r w:rsidRPr="00362799">
              <w:rPr>
                <w:rFonts w:cstheme="minorHAnsi"/>
                <w:sz w:val="24"/>
                <w:szCs w:val="24"/>
              </w:rPr>
              <w:t>-</w:t>
            </w:r>
          </w:p>
        </w:tc>
        <w:tc>
          <w:tcPr>
            <w:tcW w:w="2268" w:type="dxa"/>
            <w:vAlign w:val="center"/>
          </w:tcPr>
          <w:p w14:paraId="7B185189" w14:textId="77777777" w:rsidR="00691B17" w:rsidRPr="00362799" w:rsidRDefault="00691B17" w:rsidP="00691B17">
            <w:pPr>
              <w:spacing w:before="120" w:after="120"/>
              <w:jc w:val="center"/>
              <w:rPr>
                <w:rFonts w:cstheme="minorHAnsi"/>
                <w:sz w:val="24"/>
                <w:szCs w:val="24"/>
              </w:rPr>
            </w:pPr>
            <w:r w:rsidRPr="00362799">
              <w:rPr>
                <w:rFonts w:cstheme="minorHAnsi"/>
                <w:sz w:val="24"/>
                <w:szCs w:val="24"/>
              </w:rPr>
              <w:t>0.53</w:t>
            </w:r>
          </w:p>
        </w:tc>
      </w:tr>
      <w:tr w:rsidR="00691B17" w:rsidRPr="00362799" w14:paraId="41A48B9F" w14:textId="77777777" w:rsidTr="00691B17">
        <w:tc>
          <w:tcPr>
            <w:tcW w:w="3964" w:type="dxa"/>
            <w:vAlign w:val="center"/>
          </w:tcPr>
          <w:p w14:paraId="78CD6C18" w14:textId="77777777" w:rsidR="00691B17" w:rsidRPr="00362799" w:rsidRDefault="00691B17" w:rsidP="00691B17">
            <w:pPr>
              <w:spacing w:before="120" w:after="120"/>
              <w:rPr>
                <w:rFonts w:cstheme="minorHAnsi"/>
                <w:sz w:val="24"/>
                <w:szCs w:val="24"/>
              </w:rPr>
            </w:pPr>
            <w:r w:rsidRPr="00362799">
              <w:rPr>
                <w:rFonts w:cstheme="minorHAnsi"/>
                <w:sz w:val="24"/>
                <w:szCs w:val="24"/>
              </w:rPr>
              <w:t>Logistic</w:t>
            </w:r>
          </w:p>
        </w:tc>
        <w:tc>
          <w:tcPr>
            <w:tcW w:w="2268" w:type="dxa"/>
            <w:vAlign w:val="center"/>
          </w:tcPr>
          <w:p w14:paraId="7BB8DC1C" w14:textId="77777777" w:rsidR="00691B17" w:rsidRPr="00362799" w:rsidRDefault="00691B17" w:rsidP="00691B17">
            <w:pPr>
              <w:spacing w:before="120" w:after="120"/>
              <w:jc w:val="center"/>
              <w:rPr>
                <w:rFonts w:cstheme="minorHAnsi"/>
                <w:sz w:val="24"/>
                <w:szCs w:val="24"/>
              </w:rPr>
            </w:pPr>
            <w:r w:rsidRPr="00362799">
              <w:rPr>
                <w:rFonts w:cstheme="minorHAnsi"/>
                <w:sz w:val="24"/>
                <w:szCs w:val="24"/>
              </w:rPr>
              <w:t>-</w:t>
            </w:r>
          </w:p>
        </w:tc>
        <w:tc>
          <w:tcPr>
            <w:tcW w:w="2268" w:type="dxa"/>
            <w:vAlign w:val="center"/>
          </w:tcPr>
          <w:p w14:paraId="7DE12710" w14:textId="77777777" w:rsidR="00691B17" w:rsidRPr="00362799" w:rsidRDefault="00691B17" w:rsidP="00691B17">
            <w:pPr>
              <w:spacing w:before="120" w:after="120"/>
              <w:jc w:val="center"/>
              <w:rPr>
                <w:rFonts w:cstheme="minorHAnsi"/>
                <w:sz w:val="24"/>
                <w:szCs w:val="24"/>
              </w:rPr>
            </w:pPr>
            <w:r w:rsidRPr="00362799">
              <w:rPr>
                <w:rFonts w:cstheme="minorHAnsi"/>
                <w:sz w:val="24"/>
                <w:szCs w:val="24"/>
              </w:rPr>
              <w:t>0.51</w:t>
            </w:r>
          </w:p>
        </w:tc>
      </w:tr>
    </w:tbl>
    <w:p w14:paraId="608D2182" w14:textId="77777777" w:rsidR="00691B17" w:rsidRPr="00362799" w:rsidRDefault="00691B17" w:rsidP="00691B17">
      <w:pPr>
        <w:rPr>
          <w:rFonts w:cstheme="minorHAnsi"/>
          <w:sz w:val="24"/>
          <w:szCs w:val="24"/>
        </w:rPr>
      </w:pPr>
    </w:p>
    <w:p w14:paraId="214B74C2" w14:textId="77777777" w:rsidR="00691B17" w:rsidRPr="00362799" w:rsidRDefault="00691B17" w:rsidP="00691B17">
      <w:pPr>
        <w:rPr>
          <w:rFonts w:cstheme="minorHAnsi"/>
          <w:sz w:val="24"/>
          <w:szCs w:val="24"/>
        </w:rPr>
      </w:pPr>
      <w:r w:rsidRPr="00362799">
        <w:rPr>
          <w:rFonts w:cstheme="minorHAnsi"/>
          <w:b/>
          <w:bCs/>
          <w:sz w:val="24"/>
          <w:szCs w:val="24"/>
        </w:rPr>
        <w:t>Note:</w:t>
      </w:r>
      <w:r w:rsidRPr="00362799">
        <w:rPr>
          <w:rFonts w:cstheme="minorHAnsi"/>
          <w:sz w:val="24"/>
          <w:szCs w:val="24"/>
        </w:rPr>
        <w:t xml:space="preserve"> Best-fit curve type results are presented here only for the measurement technique that provided the best results, </w:t>
      </w:r>
      <w:r w:rsidRPr="00362799">
        <w:rPr>
          <w:rFonts w:cstheme="minorHAnsi"/>
          <w:i/>
          <w:iCs/>
          <w:sz w:val="24"/>
          <w:szCs w:val="24"/>
        </w:rPr>
        <w:t>Ischaemic lesion to contralateral</w:t>
      </w:r>
      <w:r w:rsidRPr="00362799">
        <w:rPr>
          <w:rFonts w:cstheme="minorHAnsi"/>
          <w:sz w:val="24"/>
          <w:szCs w:val="24"/>
        </w:rPr>
        <w:t>.</w:t>
      </w:r>
    </w:p>
    <w:p w14:paraId="56CDDC85" w14:textId="66CB0BF8" w:rsidR="00691B17" w:rsidRPr="00362799" w:rsidRDefault="00691B17" w:rsidP="00691B17">
      <w:pPr>
        <w:rPr>
          <w:sz w:val="24"/>
          <w:szCs w:val="24"/>
        </w:rPr>
      </w:pPr>
    </w:p>
    <w:p w14:paraId="762FC265" w14:textId="10F55074" w:rsidR="00691B17" w:rsidRPr="00362799" w:rsidRDefault="00691B17" w:rsidP="00691B17">
      <w:pPr>
        <w:rPr>
          <w:sz w:val="24"/>
          <w:szCs w:val="24"/>
        </w:rPr>
      </w:pPr>
    </w:p>
    <w:p w14:paraId="2E1C3368" w14:textId="3B31D7D0" w:rsidR="00691B17" w:rsidRPr="00362799" w:rsidRDefault="00691B17" w:rsidP="00691B17">
      <w:pPr>
        <w:rPr>
          <w:sz w:val="24"/>
          <w:szCs w:val="24"/>
        </w:rPr>
      </w:pPr>
      <w:r w:rsidRPr="00362799">
        <w:rPr>
          <w:sz w:val="24"/>
          <w:szCs w:val="24"/>
        </w:rPr>
        <w:br w:type="page"/>
      </w:r>
    </w:p>
    <w:p w14:paraId="1BE22E4E" w14:textId="77777777" w:rsidR="00691B17" w:rsidRPr="00362799" w:rsidRDefault="00691B17" w:rsidP="00691B17">
      <w:pPr>
        <w:rPr>
          <w:sz w:val="24"/>
          <w:szCs w:val="24"/>
        </w:rPr>
      </w:pPr>
      <w:r w:rsidRPr="00362799">
        <w:rPr>
          <w:b/>
          <w:bCs/>
          <w:sz w:val="24"/>
          <w:szCs w:val="24"/>
        </w:rPr>
        <w:lastRenderedPageBreak/>
        <w:t>Figure.</w:t>
      </w:r>
      <w:r w:rsidRPr="00362799">
        <w:rPr>
          <w:sz w:val="24"/>
          <w:szCs w:val="24"/>
        </w:rPr>
        <w:t xml:space="preserve"> Region of interested sampling locations in subgroup (n=120) to test attenuation correction with air offset and normalisation using different locations within contralateral normal brain.</w:t>
      </w:r>
    </w:p>
    <w:p w14:paraId="4F171551" w14:textId="77777777" w:rsidR="00691B17" w:rsidRPr="00362799" w:rsidRDefault="00691B17" w:rsidP="00691B17">
      <w:pPr>
        <w:rPr>
          <w:sz w:val="24"/>
          <w:szCs w:val="24"/>
        </w:rPr>
      </w:pPr>
    </w:p>
    <w:p w14:paraId="439999FE" w14:textId="4BE4BE72" w:rsidR="00691B17" w:rsidRPr="00362799" w:rsidRDefault="00832B41" w:rsidP="00691B17">
      <w:pPr>
        <w:rPr>
          <w:sz w:val="24"/>
          <w:szCs w:val="24"/>
        </w:rPr>
      </w:pPr>
      <w:r w:rsidRPr="00362799">
        <w:rPr>
          <w:noProof/>
          <w:sz w:val="24"/>
          <w:szCs w:val="24"/>
        </w:rPr>
        <w:drawing>
          <wp:inline distT="0" distB="0" distL="0" distR="0" wp14:anchorId="216AEC6A" wp14:editId="4FC45DA4">
            <wp:extent cx="4333875" cy="5269441"/>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4340203" cy="5277135"/>
                    </a:xfrm>
                    <a:prstGeom prst="rect">
                      <a:avLst/>
                    </a:prstGeom>
                  </pic:spPr>
                </pic:pic>
              </a:graphicData>
            </a:graphic>
          </wp:inline>
        </w:drawing>
      </w:r>
    </w:p>
    <w:p w14:paraId="3844D5F2" w14:textId="77777777" w:rsidR="00832B41" w:rsidRPr="00362799" w:rsidRDefault="00832B41" w:rsidP="00691B17">
      <w:pPr>
        <w:rPr>
          <w:b/>
          <w:bCs/>
          <w:sz w:val="24"/>
          <w:szCs w:val="24"/>
        </w:rPr>
      </w:pPr>
    </w:p>
    <w:p w14:paraId="2D8DA6F7" w14:textId="77777777" w:rsidR="00832B41" w:rsidRPr="00362799" w:rsidRDefault="00832B41" w:rsidP="00691B17">
      <w:pPr>
        <w:rPr>
          <w:b/>
          <w:bCs/>
          <w:sz w:val="24"/>
          <w:szCs w:val="24"/>
        </w:rPr>
      </w:pPr>
    </w:p>
    <w:p w14:paraId="02310D00" w14:textId="43D06A5F" w:rsidR="00691B17" w:rsidRPr="00362799" w:rsidRDefault="00691B17" w:rsidP="00691B17">
      <w:pPr>
        <w:rPr>
          <w:sz w:val="24"/>
          <w:szCs w:val="24"/>
        </w:rPr>
      </w:pPr>
      <w:r w:rsidRPr="00362799">
        <w:rPr>
          <w:b/>
          <w:bCs/>
          <w:sz w:val="24"/>
          <w:szCs w:val="24"/>
        </w:rPr>
        <w:t>Note</w:t>
      </w:r>
      <w:r w:rsidRPr="00362799">
        <w:rPr>
          <w:sz w:val="24"/>
          <w:szCs w:val="24"/>
        </w:rPr>
        <w:t xml:space="preserve">: Sampling locations </w:t>
      </w:r>
      <w:proofErr w:type="gramStart"/>
      <w:r w:rsidRPr="00362799">
        <w:rPr>
          <w:sz w:val="24"/>
          <w:szCs w:val="24"/>
        </w:rPr>
        <w:t>are:</w:t>
      </w:r>
      <w:proofErr w:type="gramEnd"/>
      <w:r w:rsidRPr="00362799">
        <w:rPr>
          <w:sz w:val="24"/>
          <w:szCs w:val="24"/>
        </w:rPr>
        <w:t xml:space="preserve"> a) ischemic lesion, b) contralateral equivalent normal brain mirrored on sagittal midline, c) contralateral thalamus, d) contralateral white matter, e) contralateral cortex, and f) air surrounding the patient.</w:t>
      </w:r>
    </w:p>
    <w:sectPr w:rsidR="00691B17" w:rsidRPr="003627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A3109"/>
    <w:rsid w:val="000C2305"/>
    <w:rsid w:val="001B7A3F"/>
    <w:rsid w:val="00362799"/>
    <w:rsid w:val="006574FE"/>
    <w:rsid w:val="00691B17"/>
    <w:rsid w:val="0069392B"/>
    <w:rsid w:val="00832B41"/>
    <w:rsid w:val="00892B4D"/>
    <w:rsid w:val="009C56AF"/>
    <w:rsid w:val="00AA3109"/>
    <w:rsid w:val="00AE3B30"/>
    <w:rsid w:val="00B73C7D"/>
    <w:rsid w:val="00CB2CAF"/>
    <w:rsid w:val="00CE2C3D"/>
    <w:rsid w:val="00E31875"/>
    <w:rsid w:val="00E53F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17D94"/>
  <w15:chartTrackingRefBased/>
  <w15:docId w15:val="{D94638D4-9A85-49CD-A677-0BA9719E0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B73C7D"/>
    <w:rPr>
      <w:rFonts w:ascii="Times New Roman" w:hAnsi="Times New Roman"/>
      <w:b/>
      <w:iCs/>
      <w:color w:val="000000" w:themeColor="text1"/>
      <w:sz w:val="24"/>
      <w:szCs w:val="18"/>
    </w:rPr>
  </w:style>
  <w:style w:type="table" w:styleId="TableGridLight">
    <w:name w:val="Grid Table Light"/>
    <w:basedOn w:val="TableNormal"/>
    <w:uiPriority w:val="40"/>
    <w:rsid w:val="00691B1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1B7A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7A3F"/>
    <w:rPr>
      <w:rFonts w:ascii="Segoe UI" w:hAnsi="Segoe UI" w:cs="Segoe UI"/>
      <w:sz w:val="18"/>
      <w:szCs w:val="18"/>
    </w:rPr>
  </w:style>
  <w:style w:type="character" w:styleId="CommentReference">
    <w:name w:val="annotation reference"/>
    <w:basedOn w:val="DefaultParagraphFont"/>
    <w:uiPriority w:val="99"/>
    <w:semiHidden/>
    <w:unhideWhenUsed/>
    <w:rsid w:val="001B7A3F"/>
    <w:rPr>
      <w:sz w:val="16"/>
      <w:szCs w:val="16"/>
    </w:rPr>
  </w:style>
  <w:style w:type="paragraph" w:styleId="CommentText">
    <w:name w:val="annotation text"/>
    <w:basedOn w:val="Normal"/>
    <w:link w:val="CommentTextChar"/>
    <w:uiPriority w:val="99"/>
    <w:semiHidden/>
    <w:unhideWhenUsed/>
    <w:rsid w:val="001B7A3F"/>
    <w:rPr>
      <w:sz w:val="20"/>
      <w:szCs w:val="20"/>
    </w:rPr>
  </w:style>
  <w:style w:type="character" w:customStyle="1" w:styleId="CommentTextChar">
    <w:name w:val="Comment Text Char"/>
    <w:basedOn w:val="DefaultParagraphFont"/>
    <w:link w:val="CommentText"/>
    <w:uiPriority w:val="99"/>
    <w:semiHidden/>
    <w:rsid w:val="001B7A3F"/>
    <w:rPr>
      <w:sz w:val="20"/>
      <w:szCs w:val="20"/>
    </w:rPr>
  </w:style>
  <w:style w:type="paragraph" w:styleId="CommentSubject">
    <w:name w:val="annotation subject"/>
    <w:basedOn w:val="CommentText"/>
    <w:next w:val="CommentText"/>
    <w:link w:val="CommentSubjectChar"/>
    <w:uiPriority w:val="99"/>
    <w:semiHidden/>
    <w:unhideWhenUsed/>
    <w:rsid w:val="001B7A3F"/>
    <w:rPr>
      <w:b/>
      <w:bCs/>
    </w:rPr>
  </w:style>
  <w:style w:type="character" w:customStyle="1" w:styleId="CommentSubjectChar">
    <w:name w:val="Comment Subject Char"/>
    <w:basedOn w:val="CommentTextChar"/>
    <w:link w:val="CommentSubject"/>
    <w:uiPriority w:val="99"/>
    <w:semiHidden/>
    <w:rsid w:val="001B7A3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501</Words>
  <Characters>2856</Characters>
  <Application>Microsoft Office Word</Application>
  <DocSecurity>0</DocSecurity>
  <Lines>23</Lines>
  <Paragraphs>6</Paragraphs>
  <ScaleCrop>false</ScaleCrop>
  <Company/>
  <LinksUpToDate>false</LinksUpToDate>
  <CharactersWithSpaces>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Mair</dc:creator>
  <cp:keywords/>
  <dc:description/>
  <cp:lastModifiedBy>Grant Mair</cp:lastModifiedBy>
  <cp:revision>14</cp:revision>
  <dcterms:created xsi:type="dcterms:W3CDTF">2020-10-07T20:10:00Z</dcterms:created>
  <dcterms:modified xsi:type="dcterms:W3CDTF">2020-10-15T11:27:00Z</dcterms:modified>
</cp:coreProperties>
</file>