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C8" w:rsidRPr="006D45C8" w:rsidRDefault="006D45C8" w:rsidP="008F72D1">
      <w:pPr>
        <w:widowControl/>
        <w:suppressAutoHyphens w:val="0"/>
        <w:spacing w:after="0"/>
        <w:ind w:firstLineChars="0" w:firstLine="0"/>
        <w:rPr>
          <w:rFonts w:eastAsiaTheme="minorEastAsia" w:cs="Arial" w:hint="eastAsia"/>
          <w:bCs/>
          <w:sz w:val="22"/>
        </w:rPr>
      </w:pPr>
      <w:r w:rsidRPr="006D45C8">
        <w:rPr>
          <w:rFonts w:cs="Arial"/>
          <w:bCs/>
          <w:sz w:val="22"/>
        </w:rPr>
        <w:t>Ms. No. EJNM-D-20-00913R1</w:t>
      </w:r>
    </w:p>
    <w:p w:rsidR="008F72D1" w:rsidRPr="008F72D1" w:rsidRDefault="008F72D1" w:rsidP="008F72D1">
      <w:pPr>
        <w:widowControl/>
        <w:suppressAutoHyphens w:val="0"/>
        <w:spacing w:after="0"/>
        <w:ind w:firstLineChars="0" w:firstLine="0"/>
        <w:rPr>
          <w:rFonts w:cs="Arial"/>
          <w:b/>
          <w:bCs/>
          <w:sz w:val="22"/>
        </w:rPr>
      </w:pPr>
      <w:r w:rsidRPr="008F72D1">
        <w:rPr>
          <w:rFonts w:cs="Arial"/>
          <w:b/>
          <w:bCs/>
          <w:sz w:val="22"/>
        </w:rPr>
        <w:t xml:space="preserve">A Deep Learning Framework for </w:t>
      </w:r>
      <w:r w:rsidRPr="008F72D1">
        <w:rPr>
          <w:rFonts w:cs="Arial"/>
          <w:b/>
          <w:bCs/>
          <w:sz w:val="22"/>
          <w:vertAlign w:val="superscript"/>
        </w:rPr>
        <w:t>18</w:t>
      </w:r>
      <w:r w:rsidRPr="008F72D1">
        <w:rPr>
          <w:rFonts w:cs="Arial"/>
          <w:b/>
          <w:bCs/>
          <w:sz w:val="22"/>
        </w:rPr>
        <w:t>F-FDG PET Imaging Diagnosis in Pediatric Patients with Temporal Lobe Epilepsy</w:t>
      </w:r>
      <w:bookmarkStart w:id="0" w:name="_GoBack"/>
      <w:bookmarkEnd w:id="0"/>
    </w:p>
    <w:p w:rsidR="008F72D1" w:rsidRDefault="008F72D1">
      <w:pPr>
        <w:widowControl/>
        <w:suppressAutoHyphens w:val="0"/>
        <w:spacing w:after="0"/>
        <w:ind w:firstLineChars="0" w:firstLine="0"/>
        <w:rPr>
          <w:rFonts w:cs="Arial"/>
          <w:b/>
          <w:bCs/>
          <w:sz w:val="22"/>
        </w:rPr>
      </w:pPr>
    </w:p>
    <w:p w:rsidR="008F72D1" w:rsidRPr="008F72D1" w:rsidRDefault="008F72D1">
      <w:pPr>
        <w:widowControl/>
        <w:suppressAutoHyphens w:val="0"/>
        <w:spacing w:after="0"/>
        <w:ind w:firstLineChars="0" w:firstLine="0"/>
        <w:rPr>
          <w:rFonts w:cs="Arial"/>
          <w:b/>
          <w:bCs/>
          <w:sz w:val="22"/>
          <w:u w:val="single"/>
        </w:rPr>
      </w:pPr>
      <w:r w:rsidRPr="008F72D1">
        <w:rPr>
          <w:rFonts w:cs="Arial"/>
          <w:b/>
          <w:bCs/>
          <w:sz w:val="22"/>
          <w:u w:val="single"/>
        </w:rPr>
        <w:t>Supplemental Materials</w:t>
      </w:r>
    </w:p>
    <w:p w:rsidR="008F72D1" w:rsidRDefault="008F72D1">
      <w:pPr>
        <w:widowControl/>
        <w:suppressAutoHyphens w:val="0"/>
        <w:spacing w:after="0"/>
        <w:ind w:firstLineChars="0" w:firstLine="0"/>
        <w:rPr>
          <w:rFonts w:cs="Arial"/>
          <w:b/>
          <w:bCs/>
          <w:sz w:val="22"/>
        </w:rPr>
      </w:pPr>
    </w:p>
    <w:p w:rsidR="00BF2C4E" w:rsidRDefault="0033008C">
      <w:pPr>
        <w:widowControl/>
        <w:suppressAutoHyphens w:val="0"/>
        <w:spacing w:after="0"/>
        <w:ind w:firstLineChars="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Materials and Methods</w:t>
      </w:r>
    </w:p>
    <w:p w:rsidR="00BF2C4E" w:rsidRDefault="0033008C">
      <w:pPr>
        <w:widowControl/>
        <w:suppressAutoHyphens w:val="0"/>
        <w:spacing w:after="0"/>
        <w:ind w:firstLineChars="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Radiomics-based </w:t>
      </w:r>
      <w:r>
        <w:rPr>
          <w:rFonts w:cs="Arial"/>
          <w:b/>
          <w:bCs/>
          <w:sz w:val="22"/>
          <w:vertAlign w:val="superscript"/>
        </w:rPr>
        <w:t>18</w:t>
      </w:r>
      <w:r>
        <w:rPr>
          <w:rFonts w:cs="Arial"/>
          <w:b/>
          <w:bCs/>
          <w:sz w:val="22"/>
        </w:rPr>
        <w:t>F-FDG PET image analysis</w:t>
      </w:r>
    </w:p>
    <w:p w:rsidR="00BF2C4E" w:rsidRDefault="0033008C">
      <w:pPr>
        <w:widowControl/>
        <w:suppressAutoHyphens w:val="0"/>
        <w:spacing w:after="0"/>
        <w:ind w:firstLine="440"/>
        <w:rPr>
          <w:rFonts w:cs="Arial"/>
          <w:bCs/>
          <w:color w:val="000000"/>
          <w:sz w:val="22"/>
        </w:rPr>
      </w:pPr>
      <w:r>
        <w:rPr>
          <w:rFonts w:cs="Arial"/>
          <w:sz w:val="22"/>
        </w:rPr>
        <w:t xml:space="preserve">A total 386 features, including 344 multiscale wavelet features, 36 texture features and 6 intensity features, were shown in Table S1. The </w:t>
      </w:r>
      <w:bookmarkStart w:id="1" w:name="_Hlk52636229"/>
      <w:r>
        <w:rPr>
          <w:rFonts w:cs="Arial"/>
          <w:sz w:val="22"/>
        </w:rPr>
        <w:t>multiscale</w:t>
      </w:r>
      <w:bookmarkEnd w:id="1"/>
      <w:r>
        <w:rPr>
          <w:rFonts w:cs="Arial"/>
          <w:sz w:val="22"/>
        </w:rPr>
        <w:t xml:space="preserve"> wavelet features included the textures</w:t>
      </w:r>
      <w:r>
        <w:rPr>
          <w:rFonts w:eastAsia="宋体" w:cs="Arial"/>
          <w:sz w:val="22"/>
        </w:rPr>
        <w:t xml:space="preserve"> </w:t>
      </w:r>
      <w:r>
        <w:rPr>
          <w:rFonts w:cs="Arial"/>
          <w:sz w:val="22"/>
        </w:rPr>
        <w:t xml:space="preserve">and </w:t>
      </w:r>
      <w:r>
        <w:rPr>
          <w:rFonts w:eastAsia="宋体" w:cs="Arial"/>
          <w:sz w:val="22"/>
        </w:rPr>
        <w:t>i</w:t>
      </w:r>
      <w:r>
        <w:rPr>
          <w:rFonts w:cs="Arial"/>
          <w:sz w:val="22"/>
        </w:rPr>
        <w:t>ntensities of coif1 wavelet transformed images. The texture features were calculated based on histogram, gray level co-occurrence matrix (GLCM), neighborhood gray-tone difference matrix (NGTDM) and gray level zone size matrix (GLZSM). The intensity fe</w:t>
      </w:r>
      <w:r>
        <w:rPr>
          <w:rFonts w:cs="Arial"/>
          <w:sz w:val="22"/>
        </w:rPr>
        <w:t>atures included mean, variance, skewness, kurtosis, energy, entropy.</w:t>
      </w:r>
    </w:p>
    <w:p w:rsidR="00BF2C4E" w:rsidRDefault="00BF2C4E">
      <w:pPr>
        <w:widowControl/>
        <w:suppressAutoHyphens w:val="0"/>
        <w:spacing w:after="0"/>
        <w:ind w:firstLine="442"/>
        <w:rPr>
          <w:rFonts w:cs="Arial"/>
          <w:b/>
          <w:sz w:val="22"/>
        </w:rPr>
      </w:pPr>
    </w:p>
    <w:p w:rsidR="00BF2C4E" w:rsidRDefault="0033008C">
      <w:pPr>
        <w:widowControl/>
        <w:suppressAutoHyphens w:val="0"/>
        <w:ind w:firstLineChars="0" w:firstLine="0"/>
        <w:rPr>
          <w:rFonts w:eastAsia="等线" w:cs="Arial"/>
          <w:color w:val="000000"/>
          <w:sz w:val="22"/>
          <w:u w:color="000000"/>
        </w:rPr>
      </w:pPr>
      <w:r>
        <w:rPr>
          <w:rFonts w:cs="Arial"/>
          <w:b/>
          <w:sz w:val="22"/>
        </w:rPr>
        <w:t xml:space="preserve">Table </w:t>
      </w:r>
      <w:r>
        <w:rPr>
          <w:rFonts w:eastAsia="宋体" w:cs="Arial" w:hint="eastAsia"/>
          <w:b/>
          <w:sz w:val="22"/>
        </w:rPr>
        <w:t>S</w:t>
      </w:r>
      <w:r>
        <w:rPr>
          <w:rFonts w:cs="Arial"/>
          <w:b/>
          <w:sz w:val="22"/>
        </w:rPr>
        <w:fldChar w:fldCharType="begin"/>
      </w:r>
      <w:r>
        <w:rPr>
          <w:rFonts w:cs="Arial"/>
          <w:b/>
          <w:sz w:val="22"/>
        </w:rPr>
        <w:instrText xml:space="preserve"> SEQ Table \* ARABIC </w:instrText>
      </w:r>
      <w:r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t>1</w:t>
      </w:r>
      <w:r>
        <w:rPr>
          <w:rFonts w:cs="Arial"/>
          <w:b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eastAsia="等线" w:cs="Arial"/>
          <w:color w:val="000000"/>
          <w:sz w:val="22"/>
          <w:u w:color="000000"/>
        </w:rPr>
        <w:t xml:space="preserve"> </w:t>
      </w:r>
      <w:r>
        <w:rPr>
          <w:rFonts w:eastAsia="等线" w:cs="Arial" w:hint="eastAsia"/>
          <w:color w:val="000000"/>
          <w:sz w:val="22"/>
          <w:u w:color="000000"/>
        </w:rPr>
        <w:t xml:space="preserve">Summary of </w:t>
      </w:r>
      <w:r>
        <w:rPr>
          <w:rFonts w:eastAsia="等线" w:cs="Arial"/>
          <w:color w:val="000000"/>
          <w:sz w:val="22"/>
          <w:u w:color="000000"/>
        </w:rPr>
        <w:t xml:space="preserve">radiomic </w:t>
      </w:r>
      <w:r>
        <w:rPr>
          <w:rFonts w:eastAsia="等线" w:cs="Arial" w:hint="eastAsia"/>
          <w:color w:val="000000"/>
          <w:sz w:val="22"/>
          <w:u w:color="000000"/>
        </w:rPr>
        <w:t xml:space="preserve">features </w:t>
      </w:r>
      <w:r>
        <w:rPr>
          <w:rFonts w:eastAsia="等线" w:cs="Arial"/>
          <w:color w:val="000000"/>
          <w:sz w:val="22"/>
          <w:u w:color="000000"/>
        </w:rPr>
        <w:t xml:space="preserve">for </w:t>
      </w:r>
      <w:r>
        <w:rPr>
          <w:rFonts w:eastAsia="等线" w:cs="Arial" w:hint="eastAsia"/>
          <w:color w:val="000000"/>
          <w:sz w:val="22"/>
          <w:u w:color="000000"/>
        </w:rPr>
        <w:t>symmetricity</w:t>
      </w:r>
      <w:r>
        <w:rPr>
          <w:rFonts w:eastAsia="等线" w:cs="Arial"/>
          <w:color w:val="000000"/>
          <w:sz w:val="22"/>
          <w:u w:color="000000"/>
        </w:rPr>
        <w:t xml:space="preserve"> analysis</w:t>
      </w:r>
      <w:r>
        <w:rPr>
          <w:rFonts w:eastAsia="等线" w:cs="Arial" w:hint="eastAsia"/>
          <w:color w:val="000000"/>
          <w:sz w:val="22"/>
          <w:u w:color="000000"/>
        </w:rPr>
        <w:t>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5953"/>
      </w:tblGrid>
      <w:tr w:rsidR="00BF2C4E">
        <w:trPr>
          <w:cantSplit/>
          <w:trHeight w:val="442"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2D1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b/>
                <w:bCs/>
                <w:sz w:val="22"/>
              </w:rPr>
            </w:pPr>
            <w:r>
              <w:rPr>
                <w:rFonts w:eastAsiaTheme="minorEastAsia" w:cs="Arial"/>
                <w:b/>
                <w:bCs/>
                <w:sz w:val="22"/>
              </w:rPr>
              <w:t xml:space="preserve">Feature Category </w:t>
            </w:r>
          </w:p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b/>
                <w:bCs/>
                <w:sz w:val="22"/>
              </w:rPr>
            </w:pPr>
            <w:r>
              <w:rPr>
                <w:rFonts w:eastAsiaTheme="minorEastAsia" w:cs="Arial"/>
                <w:b/>
                <w:bCs/>
                <w:sz w:val="22"/>
              </w:rPr>
              <w:t>(</w:t>
            </w:r>
            <w:r>
              <w:rPr>
                <w:rFonts w:eastAsiaTheme="minorEastAsia" w:cs="Arial"/>
                <w:b/>
                <w:bCs/>
                <w:sz w:val="22"/>
              </w:rPr>
              <w:t>count</w:t>
            </w:r>
            <w:r>
              <w:rPr>
                <w:rFonts w:eastAsiaTheme="minorEastAsia" w:cs="Arial"/>
                <w:b/>
                <w:bCs/>
                <w:sz w:val="22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eastAsiaTheme="minorEastAsia" w:cs="Arial"/>
                <w:b/>
                <w:bCs/>
                <w:sz w:val="22"/>
              </w:rPr>
              <w:t>S</w:t>
            </w:r>
            <w:r>
              <w:rPr>
                <w:rFonts w:eastAsiaTheme="minorEastAsia" w:cs="Arial"/>
                <w:b/>
                <w:bCs/>
                <w:sz w:val="22"/>
              </w:rPr>
              <w:t>pecific Feature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Style w:val="aa"/>
                <w:rFonts w:eastAsia="宋体" w:cs="Arial"/>
                <w:sz w:val="22"/>
              </w:rPr>
              <w:t>M</w:t>
            </w:r>
            <w:r>
              <w:rPr>
                <w:rStyle w:val="aa"/>
                <w:rFonts w:cs="Arial"/>
                <w:sz w:val="22"/>
              </w:rPr>
              <w:t>ultiscale wavelet features (</w:t>
            </w:r>
            <w:r>
              <w:rPr>
                <w:rFonts w:eastAsiaTheme="minorEastAsia" w:cs="Arial"/>
                <w:sz w:val="22"/>
              </w:rPr>
              <w:t>344</w:t>
            </w:r>
            <w:r>
              <w:rPr>
                <w:rStyle w:val="aa"/>
                <w:rFonts w:cs="Arial"/>
                <w:sz w:val="22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Mean of wavelet transform </w:t>
            </w:r>
            <w:r>
              <w:rPr>
                <w:rFonts w:cs="Arial" w:hint="eastAsia"/>
                <w:bCs/>
                <w:color w:val="000000"/>
                <w:sz w:val="22"/>
              </w:rPr>
              <w:t>d</w:t>
            </w:r>
            <w:r>
              <w:rPr>
                <w:rFonts w:cs="Arial"/>
                <w:bCs/>
                <w:color w:val="000000"/>
                <w:sz w:val="22"/>
              </w:rPr>
              <w:t>ec2*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Style w:val="aa"/>
                <w:rFonts w:eastAsia="宋体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bCs/>
                <w:color w:val="000000"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Mean of wavelet transform </w:t>
            </w:r>
            <w:r>
              <w:rPr>
                <w:rFonts w:cs="Arial" w:hint="eastAsia"/>
                <w:bCs/>
                <w:color w:val="000000"/>
                <w:sz w:val="22"/>
              </w:rPr>
              <w:t>d</w:t>
            </w:r>
            <w:r>
              <w:rPr>
                <w:rFonts w:cs="Arial"/>
                <w:bCs/>
                <w:color w:val="000000"/>
                <w:sz w:val="22"/>
              </w:rPr>
              <w:t>ec6*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Style w:val="aa"/>
                <w:rFonts w:eastAsia="宋体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bCs/>
                <w:color w:val="000000"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Variance of wavelet </w:t>
            </w:r>
            <w:r>
              <w:rPr>
                <w:rFonts w:cs="Arial" w:hint="eastAsia"/>
                <w:bCs/>
                <w:color w:val="000000"/>
                <w:sz w:val="22"/>
              </w:rPr>
              <w:t>t</w:t>
            </w:r>
            <w:r>
              <w:rPr>
                <w:rFonts w:cs="Arial"/>
                <w:bCs/>
                <w:color w:val="000000"/>
                <w:sz w:val="22"/>
              </w:rPr>
              <w:t xml:space="preserve">ransform </w:t>
            </w:r>
            <w:r>
              <w:rPr>
                <w:rFonts w:cs="Arial" w:hint="eastAsia"/>
                <w:bCs/>
                <w:color w:val="000000"/>
                <w:sz w:val="22"/>
              </w:rPr>
              <w:t>d</w:t>
            </w:r>
            <w:r>
              <w:rPr>
                <w:rFonts w:cs="Arial"/>
                <w:bCs/>
                <w:color w:val="000000"/>
                <w:sz w:val="22"/>
              </w:rPr>
              <w:t>ec2*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Style w:val="aa"/>
                <w:rFonts w:eastAsia="宋体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bCs/>
                <w:color w:val="000000"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Variance of wavelet </w:t>
            </w:r>
            <w:r>
              <w:rPr>
                <w:rFonts w:cs="Arial" w:hint="eastAsia"/>
                <w:bCs/>
                <w:color w:val="000000"/>
                <w:sz w:val="22"/>
              </w:rPr>
              <w:t>t</w:t>
            </w:r>
            <w:r>
              <w:rPr>
                <w:rFonts w:cs="Arial"/>
                <w:bCs/>
                <w:color w:val="000000"/>
                <w:sz w:val="22"/>
              </w:rPr>
              <w:t xml:space="preserve">ransform </w:t>
            </w:r>
            <w:r>
              <w:rPr>
                <w:rFonts w:cs="Arial" w:hint="eastAsia"/>
                <w:bCs/>
                <w:color w:val="000000"/>
                <w:sz w:val="22"/>
              </w:rPr>
              <w:t>d</w:t>
            </w:r>
            <w:r>
              <w:rPr>
                <w:rFonts w:cs="Arial"/>
                <w:bCs/>
                <w:color w:val="000000"/>
                <w:sz w:val="22"/>
              </w:rPr>
              <w:t>ec7*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Style w:val="aa"/>
                <w:rFonts w:eastAsia="宋体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bCs/>
                <w:color w:val="000000"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Contrast 1 of wavelet </w:t>
            </w:r>
            <w:r>
              <w:rPr>
                <w:rFonts w:cs="Arial" w:hint="eastAsia"/>
                <w:bCs/>
                <w:color w:val="000000"/>
                <w:sz w:val="22"/>
              </w:rPr>
              <w:t>t</w:t>
            </w:r>
            <w:r>
              <w:rPr>
                <w:rFonts w:cs="Arial"/>
                <w:bCs/>
                <w:color w:val="000000"/>
                <w:sz w:val="22"/>
              </w:rPr>
              <w:t xml:space="preserve">ransform </w:t>
            </w:r>
            <w:r>
              <w:rPr>
                <w:rFonts w:cs="Arial" w:hint="eastAsia"/>
                <w:bCs/>
                <w:color w:val="000000"/>
                <w:sz w:val="22"/>
              </w:rPr>
              <w:t>d</w:t>
            </w:r>
            <w:r>
              <w:rPr>
                <w:rFonts w:cs="Arial"/>
                <w:bCs/>
                <w:color w:val="000000"/>
                <w:sz w:val="22"/>
              </w:rPr>
              <w:t>ec4*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Style w:val="aa"/>
                <w:rFonts w:eastAsia="宋体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bCs/>
                <w:color w:val="000000"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Contrast 1 of wavelet </w:t>
            </w:r>
            <w:r>
              <w:rPr>
                <w:rFonts w:cs="Arial" w:hint="eastAsia"/>
                <w:bCs/>
                <w:color w:val="000000"/>
                <w:sz w:val="22"/>
              </w:rPr>
              <w:t>t</w:t>
            </w:r>
            <w:r>
              <w:rPr>
                <w:rFonts w:cs="Arial"/>
                <w:bCs/>
                <w:color w:val="000000"/>
                <w:sz w:val="22"/>
              </w:rPr>
              <w:t xml:space="preserve">ransform </w:t>
            </w:r>
            <w:r>
              <w:rPr>
                <w:rFonts w:cs="Arial" w:hint="eastAsia"/>
                <w:bCs/>
                <w:color w:val="000000"/>
                <w:sz w:val="22"/>
              </w:rPr>
              <w:t>d</w:t>
            </w:r>
            <w:r>
              <w:rPr>
                <w:rFonts w:cs="Arial"/>
                <w:bCs/>
                <w:color w:val="000000"/>
                <w:sz w:val="22"/>
              </w:rPr>
              <w:t>ec6*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left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bCs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Dissimilarity of wavelet </w:t>
            </w:r>
            <w:r>
              <w:rPr>
                <w:rFonts w:cs="Arial" w:hint="eastAsia"/>
                <w:bCs/>
                <w:color w:val="000000"/>
                <w:sz w:val="22"/>
              </w:rPr>
              <w:t>t</w:t>
            </w:r>
            <w:r>
              <w:rPr>
                <w:rFonts w:cs="Arial"/>
                <w:bCs/>
                <w:color w:val="000000"/>
                <w:sz w:val="22"/>
              </w:rPr>
              <w:t>ransform dec4*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left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bCs/>
                <w:color w:val="000000"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Sum of squares variance of wavelet </w:t>
            </w:r>
            <w:r>
              <w:rPr>
                <w:rFonts w:cs="Arial" w:hint="eastAsia"/>
                <w:bCs/>
                <w:color w:val="000000"/>
                <w:sz w:val="22"/>
              </w:rPr>
              <w:t>t</w:t>
            </w:r>
            <w:r>
              <w:rPr>
                <w:rFonts w:cs="Arial"/>
                <w:bCs/>
                <w:color w:val="000000"/>
                <w:sz w:val="22"/>
              </w:rPr>
              <w:t>ransform dec2*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left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color w:val="000000"/>
                <w:sz w:val="22"/>
              </w:rPr>
            </w:pPr>
            <w:r>
              <w:rPr>
                <w:rFonts w:eastAsiaTheme="minorEastAsia" w:cs="Arial"/>
                <w:color w:val="000000"/>
                <w:sz w:val="22"/>
              </w:rPr>
              <w:t>a</w:t>
            </w:r>
            <w:r>
              <w:rPr>
                <w:rFonts w:eastAsiaTheme="minorEastAsia" w:cs="Arial" w:hint="eastAsia"/>
                <w:color w:val="000000"/>
                <w:sz w:val="22"/>
              </w:rPr>
              <w:t>nd</w:t>
            </w:r>
            <w:r>
              <w:rPr>
                <w:rFonts w:eastAsiaTheme="minorEastAsia" w:cs="Arial"/>
                <w:color w:val="000000"/>
                <w:sz w:val="22"/>
              </w:rPr>
              <w:t xml:space="preserve"> 336 other features</w:t>
            </w:r>
          </w:p>
        </w:tc>
      </w:tr>
      <w:tr w:rsidR="00BF2C4E">
        <w:trPr>
          <w:cantSplit/>
          <w:trHeight w:val="20"/>
        </w:trPr>
        <w:tc>
          <w:tcPr>
            <w:tcW w:w="3119" w:type="dxa"/>
            <w:tcBorders>
              <w:bottom w:val="single" w:sz="8" w:space="0" w:color="auto"/>
            </w:tcBorders>
          </w:tcPr>
          <w:p w:rsidR="00BF2C4E" w:rsidRDefault="00BF2C4E">
            <w:pPr>
              <w:widowControl/>
              <w:suppressAutoHyphens w:val="0"/>
              <w:spacing w:after="0" w:line="80" w:lineRule="exact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BF2C4E" w:rsidRDefault="00BF2C4E">
            <w:pPr>
              <w:widowControl/>
              <w:suppressAutoHyphens w:val="0"/>
              <w:spacing w:after="0" w:line="80" w:lineRule="exact"/>
              <w:ind w:firstLineChars="0" w:firstLine="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F2C4E" w:rsidRDefault="00BF2C4E">
            <w:pPr>
              <w:widowControl/>
              <w:suppressAutoHyphens w:val="0"/>
              <w:spacing w:after="0" w:line="80" w:lineRule="exact"/>
              <w:ind w:firstLineChars="0" w:firstLine="0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BF2C4E">
        <w:trPr>
          <w:cantSplit/>
          <w:trHeight w:val="340"/>
        </w:trPr>
        <w:tc>
          <w:tcPr>
            <w:tcW w:w="3119" w:type="dxa"/>
            <w:vMerge w:val="restart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Style w:val="aa"/>
                <w:rFonts w:eastAsia="宋体" w:cs="Arial"/>
                <w:sz w:val="22"/>
              </w:rPr>
              <w:t>T</w:t>
            </w:r>
            <w:r>
              <w:rPr>
                <w:rStyle w:val="aa"/>
                <w:rFonts w:cs="Arial"/>
                <w:sz w:val="22"/>
              </w:rPr>
              <w:t xml:space="preserve">exture features </w:t>
            </w:r>
            <w:r>
              <w:rPr>
                <w:rFonts w:eastAsiaTheme="minorEastAsia" w:cs="Arial"/>
                <w:sz w:val="22"/>
              </w:rPr>
              <w:t>(36)</w:t>
            </w: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bCs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 xml:space="preserve">High gray-level zone emphasis* 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bCs/>
                <w:color w:val="000000"/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>Large zone / high gray emphasis*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Angular second moment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Contrast 1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Correlation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Sum of squares </w:t>
            </w:r>
            <w:r>
              <w:rPr>
                <w:rFonts w:cs="Arial"/>
                <w:color w:val="000000"/>
                <w:sz w:val="22"/>
              </w:rPr>
              <w:t>variance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Inverse difference moment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Sum average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Sum variance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Sum entropy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Entropy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Difference variance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Difference entropy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Information correlation 1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Information correlation 2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Maximal correlation coefficient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Autocorrelation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Dissimilarity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Cluster shade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Cluster prominence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Maximum probability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Inverse difference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Coarseness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Contrast 2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Busyness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Complexity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Texture strength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Small zone size emphasis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Large zone size emphasis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Low gray-level zone emphasis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Small zone / low </w:t>
            </w:r>
            <w:r>
              <w:rPr>
                <w:rFonts w:cs="Arial"/>
                <w:color w:val="000000"/>
                <w:sz w:val="22"/>
              </w:rPr>
              <w:t>gray emphasis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Small zone / high gray emphasis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Large zone / low gray emphasis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Gray-level non-uniformity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Zone size non-uniformity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Zone size percentage</w:t>
            </w:r>
          </w:p>
        </w:tc>
      </w:tr>
      <w:tr w:rsidR="00BF2C4E">
        <w:trPr>
          <w:cantSplit/>
          <w:trHeight w:val="20"/>
        </w:trPr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:rsidR="00BF2C4E" w:rsidRDefault="00BF2C4E">
            <w:pPr>
              <w:widowControl/>
              <w:suppressAutoHyphens w:val="0"/>
              <w:spacing w:after="0" w:line="80" w:lineRule="exact"/>
              <w:ind w:firstLineChars="0" w:firstLine="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F2C4E" w:rsidRDefault="00BF2C4E">
            <w:pPr>
              <w:widowControl/>
              <w:suppressAutoHyphens w:val="0"/>
              <w:spacing w:after="0" w:line="80" w:lineRule="exact"/>
              <w:ind w:firstLineChars="0" w:firstLine="0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BF2C4E">
        <w:trPr>
          <w:cantSplit/>
          <w:trHeight w:val="340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Intensity </w:t>
            </w:r>
            <w:r>
              <w:rPr>
                <w:rStyle w:val="aa"/>
                <w:rFonts w:cs="Arial"/>
                <w:sz w:val="22"/>
              </w:rPr>
              <w:t>features</w:t>
            </w:r>
            <w:r>
              <w:rPr>
                <w:rStyle w:val="aa"/>
                <w:rFonts w:cs="Arial" w:hint="eastAsia"/>
                <w:sz w:val="22"/>
              </w:rPr>
              <w:t xml:space="preserve"> </w:t>
            </w:r>
            <w:r>
              <w:rPr>
                <w:rFonts w:eastAsiaTheme="minorEastAsia" w:cs="Arial"/>
                <w:sz w:val="22"/>
              </w:rPr>
              <w:t>(6)</w:t>
            </w: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Mean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Variance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Skewness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Kurtosis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Energy</w:t>
            </w:r>
          </w:p>
        </w:tc>
      </w:tr>
      <w:tr w:rsidR="00BF2C4E">
        <w:trPr>
          <w:cantSplit/>
          <w:trHeight w:val="340"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BF2C4E" w:rsidRDefault="00BF2C4E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center"/>
          </w:tcPr>
          <w:p w:rsidR="00BF2C4E" w:rsidRDefault="0033008C">
            <w:pPr>
              <w:widowControl/>
              <w:suppressAutoHyphens w:val="0"/>
              <w:spacing w:after="0" w:line="240" w:lineRule="auto"/>
              <w:ind w:firstLineChars="0" w:firstLine="0"/>
              <w:jc w:val="center"/>
              <w:rPr>
                <w:rFonts w:eastAsiaTheme="minorEastAsia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Entropy</w:t>
            </w:r>
          </w:p>
        </w:tc>
      </w:tr>
    </w:tbl>
    <w:p w:rsidR="00BF2C4E" w:rsidRDefault="0033008C">
      <w:pPr>
        <w:spacing w:line="240" w:lineRule="auto"/>
        <w:ind w:firstLineChars="0" w:firstLine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*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 w:hint="eastAsia"/>
          <w:sz w:val="21"/>
          <w:szCs w:val="21"/>
        </w:rPr>
        <w:t>Selected</w:t>
      </w:r>
      <w:r>
        <w:rPr>
          <w:rFonts w:eastAsiaTheme="minorEastAsia"/>
          <w:sz w:val="21"/>
          <w:szCs w:val="21"/>
        </w:rPr>
        <w:t xml:space="preserve"> features in the radiomics model.</w:t>
      </w:r>
    </w:p>
    <w:sectPr w:rsidR="00BF2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8C" w:rsidRDefault="0033008C">
      <w:pPr>
        <w:spacing w:after="0" w:line="240" w:lineRule="auto"/>
        <w:ind w:firstLine="480"/>
      </w:pPr>
      <w:r>
        <w:separator/>
      </w:r>
    </w:p>
  </w:endnote>
  <w:endnote w:type="continuationSeparator" w:id="0">
    <w:p w:rsidR="0033008C" w:rsidRDefault="0033008C">
      <w:pPr>
        <w:spacing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E" w:rsidRDefault="00BF2C4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E" w:rsidRDefault="00BF2C4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E" w:rsidRDefault="00BF2C4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8C" w:rsidRDefault="0033008C">
      <w:pPr>
        <w:spacing w:after="0" w:line="240" w:lineRule="auto"/>
        <w:ind w:firstLine="480"/>
      </w:pPr>
      <w:r>
        <w:separator/>
      </w:r>
    </w:p>
  </w:footnote>
  <w:footnote w:type="continuationSeparator" w:id="0">
    <w:p w:rsidR="0033008C" w:rsidRDefault="0033008C">
      <w:pPr>
        <w:spacing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E" w:rsidRDefault="00BF2C4E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1" w:rsidRPr="008F72D1" w:rsidRDefault="008F72D1">
    <w:pPr>
      <w:pStyle w:val="a7"/>
      <w:ind w:firstLine="420"/>
      <w:rPr>
        <w:sz w:val="21"/>
        <w:szCs w:val="21"/>
      </w:rPr>
    </w:pPr>
    <w:r w:rsidRPr="008F72D1">
      <w:rPr>
        <w:rFonts w:cs="Arial"/>
        <w:bCs/>
        <w:sz w:val="21"/>
        <w:szCs w:val="21"/>
      </w:rPr>
      <w:t>European Journal of Nuclear Medicine and Molecular Imaging</w:t>
    </w:r>
  </w:p>
  <w:p w:rsidR="00BF2C4E" w:rsidRDefault="00BF2C4E">
    <w:pPr>
      <w:pStyle w:val="a7"/>
      <w:pBdr>
        <w:bottom w:val="none" w:sz="0" w:space="0" w:color="auto"/>
      </w:pBdr>
      <w:ind w:firstLineChars="0" w:firstLine="0"/>
      <w:jc w:val="both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E" w:rsidRDefault="00BF2C4E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E"/>
    <w:rsid w:val="000558ED"/>
    <w:rsid w:val="00060B14"/>
    <w:rsid w:val="0006432E"/>
    <w:rsid w:val="00096333"/>
    <w:rsid w:val="0009784D"/>
    <w:rsid w:val="000B52A9"/>
    <w:rsid w:val="000C656A"/>
    <w:rsid w:val="000E61F3"/>
    <w:rsid w:val="00105AB3"/>
    <w:rsid w:val="00111557"/>
    <w:rsid w:val="0012414D"/>
    <w:rsid w:val="0015185D"/>
    <w:rsid w:val="001661E5"/>
    <w:rsid w:val="0018609E"/>
    <w:rsid w:val="00192D25"/>
    <w:rsid w:val="001C030F"/>
    <w:rsid w:val="001C558E"/>
    <w:rsid w:val="001D0A72"/>
    <w:rsid w:val="0020777C"/>
    <w:rsid w:val="00216AF9"/>
    <w:rsid w:val="0022004E"/>
    <w:rsid w:val="002215B0"/>
    <w:rsid w:val="002222AF"/>
    <w:rsid w:val="00231AFF"/>
    <w:rsid w:val="002548A4"/>
    <w:rsid w:val="00271B8D"/>
    <w:rsid w:val="00272153"/>
    <w:rsid w:val="00276A8E"/>
    <w:rsid w:val="002811C0"/>
    <w:rsid w:val="0028356A"/>
    <w:rsid w:val="002917BD"/>
    <w:rsid w:val="002949CD"/>
    <w:rsid w:val="002B74B2"/>
    <w:rsid w:val="002C13F4"/>
    <w:rsid w:val="002C52DC"/>
    <w:rsid w:val="002C5E51"/>
    <w:rsid w:val="002D4884"/>
    <w:rsid w:val="002E6EB5"/>
    <w:rsid w:val="002F0D53"/>
    <w:rsid w:val="003025E2"/>
    <w:rsid w:val="003137C5"/>
    <w:rsid w:val="00325FFE"/>
    <w:rsid w:val="0033008C"/>
    <w:rsid w:val="003504D0"/>
    <w:rsid w:val="00370016"/>
    <w:rsid w:val="0037596A"/>
    <w:rsid w:val="0039795E"/>
    <w:rsid w:val="003E122D"/>
    <w:rsid w:val="003F3C61"/>
    <w:rsid w:val="003F71F6"/>
    <w:rsid w:val="00401785"/>
    <w:rsid w:val="0042182F"/>
    <w:rsid w:val="004308C0"/>
    <w:rsid w:val="00446B6B"/>
    <w:rsid w:val="0045177D"/>
    <w:rsid w:val="0046450D"/>
    <w:rsid w:val="004A51CA"/>
    <w:rsid w:val="004A5B33"/>
    <w:rsid w:val="004D0EF0"/>
    <w:rsid w:val="004D168A"/>
    <w:rsid w:val="00500765"/>
    <w:rsid w:val="00510C00"/>
    <w:rsid w:val="00512959"/>
    <w:rsid w:val="0053478B"/>
    <w:rsid w:val="00541CC6"/>
    <w:rsid w:val="00567379"/>
    <w:rsid w:val="00587D36"/>
    <w:rsid w:val="005A514B"/>
    <w:rsid w:val="005C17C7"/>
    <w:rsid w:val="005C23DE"/>
    <w:rsid w:val="005D1318"/>
    <w:rsid w:val="005D7A9C"/>
    <w:rsid w:val="005E7953"/>
    <w:rsid w:val="00606A56"/>
    <w:rsid w:val="0061606A"/>
    <w:rsid w:val="00617516"/>
    <w:rsid w:val="0062479A"/>
    <w:rsid w:val="006279FB"/>
    <w:rsid w:val="00631D0B"/>
    <w:rsid w:val="00664390"/>
    <w:rsid w:val="00697C10"/>
    <w:rsid w:val="006A7120"/>
    <w:rsid w:val="006B2CB4"/>
    <w:rsid w:val="006B3854"/>
    <w:rsid w:val="006B5A28"/>
    <w:rsid w:val="006C2D28"/>
    <w:rsid w:val="006D45C8"/>
    <w:rsid w:val="006D7A99"/>
    <w:rsid w:val="006F1452"/>
    <w:rsid w:val="006F551D"/>
    <w:rsid w:val="0071192B"/>
    <w:rsid w:val="007129D9"/>
    <w:rsid w:val="00723A8C"/>
    <w:rsid w:val="0075495A"/>
    <w:rsid w:val="00756C3B"/>
    <w:rsid w:val="007A3143"/>
    <w:rsid w:val="007C3E78"/>
    <w:rsid w:val="007C568F"/>
    <w:rsid w:val="007C7703"/>
    <w:rsid w:val="00802362"/>
    <w:rsid w:val="0081451C"/>
    <w:rsid w:val="00814DA0"/>
    <w:rsid w:val="0082377D"/>
    <w:rsid w:val="0085008D"/>
    <w:rsid w:val="00850B15"/>
    <w:rsid w:val="00862250"/>
    <w:rsid w:val="00871EAB"/>
    <w:rsid w:val="0088559A"/>
    <w:rsid w:val="0089219B"/>
    <w:rsid w:val="008A6E25"/>
    <w:rsid w:val="008B4B95"/>
    <w:rsid w:val="008C2C43"/>
    <w:rsid w:val="008E0DCD"/>
    <w:rsid w:val="008F72D1"/>
    <w:rsid w:val="00901C32"/>
    <w:rsid w:val="0091382F"/>
    <w:rsid w:val="009219B2"/>
    <w:rsid w:val="00924A12"/>
    <w:rsid w:val="0094440B"/>
    <w:rsid w:val="00954134"/>
    <w:rsid w:val="00961366"/>
    <w:rsid w:val="009614D9"/>
    <w:rsid w:val="0096265F"/>
    <w:rsid w:val="009754C3"/>
    <w:rsid w:val="00975D7D"/>
    <w:rsid w:val="009814FA"/>
    <w:rsid w:val="00984F3D"/>
    <w:rsid w:val="00986C11"/>
    <w:rsid w:val="00997A9C"/>
    <w:rsid w:val="009A0FF4"/>
    <w:rsid w:val="009A372D"/>
    <w:rsid w:val="009C0C7F"/>
    <w:rsid w:val="009C66AF"/>
    <w:rsid w:val="009F2849"/>
    <w:rsid w:val="009F5C44"/>
    <w:rsid w:val="009F7348"/>
    <w:rsid w:val="00A15F5C"/>
    <w:rsid w:val="00A43CC8"/>
    <w:rsid w:val="00A44119"/>
    <w:rsid w:val="00A84531"/>
    <w:rsid w:val="00A96C1B"/>
    <w:rsid w:val="00AC6B74"/>
    <w:rsid w:val="00AD7423"/>
    <w:rsid w:val="00AE35A5"/>
    <w:rsid w:val="00AE473D"/>
    <w:rsid w:val="00B0570B"/>
    <w:rsid w:val="00B15594"/>
    <w:rsid w:val="00B3088D"/>
    <w:rsid w:val="00B3423A"/>
    <w:rsid w:val="00B51143"/>
    <w:rsid w:val="00B62B4D"/>
    <w:rsid w:val="00B66F14"/>
    <w:rsid w:val="00B7168C"/>
    <w:rsid w:val="00B7790E"/>
    <w:rsid w:val="00B801A7"/>
    <w:rsid w:val="00B94AFA"/>
    <w:rsid w:val="00B957A6"/>
    <w:rsid w:val="00BA54A2"/>
    <w:rsid w:val="00BB6A43"/>
    <w:rsid w:val="00BC56DE"/>
    <w:rsid w:val="00BE58DB"/>
    <w:rsid w:val="00BF2C4E"/>
    <w:rsid w:val="00C10841"/>
    <w:rsid w:val="00C12F47"/>
    <w:rsid w:val="00C17986"/>
    <w:rsid w:val="00C20DC8"/>
    <w:rsid w:val="00C260D6"/>
    <w:rsid w:val="00C363FC"/>
    <w:rsid w:val="00C65644"/>
    <w:rsid w:val="00CA6483"/>
    <w:rsid w:val="00CA78CE"/>
    <w:rsid w:val="00CC4232"/>
    <w:rsid w:val="00CD0E08"/>
    <w:rsid w:val="00CD3E26"/>
    <w:rsid w:val="00CF0ABD"/>
    <w:rsid w:val="00CF3067"/>
    <w:rsid w:val="00CF744D"/>
    <w:rsid w:val="00D05299"/>
    <w:rsid w:val="00D123FA"/>
    <w:rsid w:val="00D12789"/>
    <w:rsid w:val="00D15507"/>
    <w:rsid w:val="00D37FC3"/>
    <w:rsid w:val="00D71638"/>
    <w:rsid w:val="00D72463"/>
    <w:rsid w:val="00D725FD"/>
    <w:rsid w:val="00D75520"/>
    <w:rsid w:val="00D9049B"/>
    <w:rsid w:val="00D93D13"/>
    <w:rsid w:val="00DA7116"/>
    <w:rsid w:val="00DC0922"/>
    <w:rsid w:val="00DD3C5C"/>
    <w:rsid w:val="00E024CA"/>
    <w:rsid w:val="00E21F83"/>
    <w:rsid w:val="00E40B9C"/>
    <w:rsid w:val="00E51B23"/>
    <w:rsid w:val="00E577E5"/>
    <w:rsid w:val="00E65E5E"/>
    <w:rsid w:val="00E760F4"/>
    <w:rsid w:val="00E81F02"/>
    <w:rsid w:val="00E923D7"/>
    <w:rsid w:val="00EC0B36"/>
    <w:rsid w:val="00EC4873"/>
    <w:rsid w:val="00ED1714"/>
    <w:rsid w:val="00EE782F"/>
    <w:rsid w:val="00EF0A22"/>
    <w:rsid w:val="00F05990"/>
    <w:rsid w:val="00F35CF5"/>
    <w:rsid w:val="00F53A3F"/>
    <w:rsid w:val="00F566FF"/>
    <w:rsid w:val="00F7224C"/>
    <w:rsid w:val="00F722CD"/>
    <w:rsid w:val="00F824D8"/>
    <w:rsid w:val="00FA4EB0"/>
    <w:rsid w:val="00FC43D3"/>
    <w:rsid w:val="00FE29C5"/>
    <w:rsid w:val="00FF0AFB"/>
    <w:rsid w:val="00FF6F9A"/>
    <w:rsid w:val="08484D5C"/>
    <w:rsid w:val="159474B5"/>
    <w:rsid w:val="1EE656B5"/>
    <w:rsid w:val="33CB03DE"/>
    <w:rsid w:val="42AF3C55"/>
    <w:rsid w:val="437E13A0"/>
    <w:rsid w:val="43CA0F8E"/>
    <w:rsid w:val="4B8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955CD"/>
  <w15:docId w15:val="{0158D98B-82D6-4083-B2D9-353977C8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80" w:line="360" w:lineRule="auto"/>
      <w:ind w:firstLineChars="200" w:firstLine="200"/>
      <w:jc w:val="both"/>
    </w:pPr>
    <w:rPr>
      <w:rFonts w:ascii="Arial" w:eastAsia="Arial" w:hAnsi="Aria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无"/>
    <w:qFormat/>
  </w:style>
  <w:style w:type="character" w:customStyle="1" w:styleId="a8">
    <w:name w:val="页眉 字符"/>
    <w:basedOn w:val="a0"/>
    <w:link w:val="a7"/>
    <w:uiPriority w:val="99"/>
    <w:qFormat/>
    <w:rPr>
      <w:rFonts w:ascii="Arial" w:eastAsia="Arial" w:hAnsi="Arial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Arial" w:eastAsia="Arial" w:hAnsi="Arial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Arial" w:eastAsia="Arial" w:hAnsi="Arial"/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7AA53-05BF-4157-A429-600675D5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lards</dc:creator>
  <cp:lastModifiedBy>Dr. Mei Tian</cp:lastModifiedBy>
  <cp:revision>3</cp:revision>
  <dcterms:created xsi:type="dcterms:W3CDTF">2020-11-12T05:29:00Z</dcterms:created>
  <dcterms:modified xsi:type="dcterms:W3CDTF">2020-11-12T05:30:00Z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