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7103" w14:textId="193DDFB4" w:rsidR="00450C5D" w:rsidRPr="009967B7" w:rsidRDefault="00A52D49" w:rsidP="00F73660">
      <w:pPr>
        <w:pStyle w:val="Bijschrift"/>
        <w:keepNext/>
        <w:rPr>
          <w:color w:val="auto"/>
          <w:lang w:val="en-GB"/>
        </w:rPr>
      </w:pPr>
      <w:r w:rsidRPr="009967B7">
        <w:rPr>
          <w:color w:val="auto"/>
          <w:lang w:val="en-GB"/>
        </w:rPr>
        <w:t xml:space="preserve">Supplementary </w:t>
      </w:r>
      <w:r w:rsidR="00CF7A5B" w:rsidRPr="009967B7">
        <w:rPr>
          <w:color w:val="auto"/>
          <w:lang w:val="en-GB"/>
        </w:rPr>
        <w:t xml:space="preserve">Table </w:t>
      </w:r>
      <w:r w:rsidR="00CF7A5B" w:rsidRPr="009967B7">
        <w:rPr>
          <w:color w:val="auto"/>
        </w:rPr>
        <w:fldChar w:fldCharType="begin"/>
      </w:r>
      <w:r w:rsidR="00CF7A5B" w:rsidRPr="009967B7">
        <w:rPr>
          <w:color w:val="auto"/>
          <w:lang w:val="en-GB"/>
        </w:rPr>
        <w:instrText xml:space="preserve"> SEQ Table \* ARABIC </w:instrText>
      </w:r>
      <w:r w:rsidR="00CF7A5B" w:rsidRPr="009967B7">
        <w:rPr>
          <w:color w:val="auto"/>
        </w:rPr>
        <w:fldChar w:fldCharType="separate"/>
      </w:r>
      <w:r w:rsidR="00CF7A5B" w:rsidRPr="009967B7">
        <w:rPr>
          <w:noProof/>
          <w:color w:val="auto"/>
          <w:lang w:val="en-GB"/>
        </w:rPr>
        <w:t>1</w:t>
      </w:r>
      <w:r w:rsidR="00CF7A5B" w:rsidRPr="009967B7">
        <w:rPr>
          <w:color w:val="auto"/>
        </w:rPr>
        <w:fldChar w:fldCharType="end"/>
      </w:r>
      <w:r w:rsidR="00CF7A5B" w:rsidRPr="009967B7">
        <w:rPr>
          <w:color w:val="auto"/>
          <w:lang w:val="en-GB"/>
        </w:rPr>
        <w:t xml:space="preserve"> </w:t>
      </w:r>
      <w:r w:rsidR="009967B7" w:rsidRPr="009967B7">
        <w:rPr>
          <w:color w:val="auto"/>
          <w:lang w:val="en-GB"/>
        </w:rPr>
        <w:t>Study population demographics</w:t>
      </w:r>
    </w:p>
    <w:tbl>
      <w:tblPr>
        <w:tblStyle w:val="Tabelraster"/>
        <w:tblpPr w:leftFromText="141" w:rightFromText="141" w:vertAnchor="text" w:horzAnchor="margin" w:tblpY="46"/>
        <w:tblW w:w="537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1009"/>
      </w:tblGrid>
      <w:tr w:rsidR="009967B7" w:rsidRPr="009967B7" w14:paraId="75B4A4EE" w14:textId="77777777" w:rsidTr="009175EF">
        <w:trPr>
          <w:trHeight w:val="442"/>
        </w:trPr>
        <w:tc>
          <w:tcPr>
            <w:tcW w:w="43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73D8C7" w14:textId="77777777" w:rsidR="00F73660" w:rsidRPr="009967B7" w:rsidRDefault="00F73660" w:rsidP="00F73660">
            <w:pPr>
              <w:pStyle w:val="Geenafstand"/>
              <w:rPr>
                <w:b/>
                <w:bCs/>
                <w:lang w:val="en-US"/>
              </w:rPr>
            </w:pPr>
            <w:r w:rsidRPr="009967B7">
              <w:rPr>
                <w:b/>
                <w:bCs/>
                <w:lang w:val="en-US"/>
              </w:rPr>
              <w:t>Demographics</w:t>
            </w:r>
          </w:p>
        </w:tc>
        <w:tc>
          <w:tcPr>
            <w:tcW w:w="10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5032AB" w14:textId="77777777" w:rsidR="00F73660" w:rsidRPr="009967B7" w:rsidRDefault="00F73660" w:rsidP="00F73660">
            <w:pPr>
              <w:pStyle w:val="Geenafstand"/>
              <w:rPr>
                <w:b/>
                <w:bCs/>
                <w:lang w:val="en-US"/>
              </w:rPr>
            </w:pPr>
            <w:r w:rsidRPr="009967B7">
              <w:rPr>
                <w:b/>
                <w:bCs/>
                <w:lang w:val="en-US"/>
              </w:rPr>
              <w:t>Results</w:t>
            </w:r>
          </w:p>
        </w:tc>
      </w:tr>
      <w:tr w:rsidR="009967B7" w:rsidRPr="009967B7" w14:paraId="197191EA" w14:textId="77777777" w:rsidTr="009175EF">
        <w:trPr>
          <w:trHeight w:val="442"/>
        </w:trPr>
        <w:tc>
          <w:tcPr>
            <w:tcW w:w="4369" w:type="dxa"/>
            <w:tcBorders>
              <w:top w:val="single" w:sz="4" w:space="0" w:color="auto"/>
            </w:tcBorders>
            <w:vAlign w:val="center"/>
          </w:tcPr>
          <w:p w14:paraId="2E28445C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Number of patients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59D347AD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30</w:t>
            </w:r>
          </w:p>
        </w:tc>
      </w:tr>
      <w:tr w:rsidR="009967B7" w:rsidRPr="009967B7" w14:paraId="6D2B84A5" w14:textId="77777777" w:rsidTr="009175EF">
        <w:trPr>
          <w:trHeight w:val="442"/>
        </w:trPr>
        <w:tc>
          <w:tcPr>
            <w:tcW w:w="4369" w:type="dxa"/>
            <w:vAlign w:val="center"/>
          </w:tcPr>
          <w:p w14:paraId="34F77E39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Age (years)</w:t>
            </w:r>
          </w:p>
        </w:tc>
        <w:tc>
          <w:tcPr>
            <w:tcW w:w="1009" w:type="dxa"/>
            <w:vAlign w:val="center"/>
          </w:tcPr>
          <w:p w14:paraId="15B21DBC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41</w:t>
            </w:r>
            <w:r w:rsidRPr="009967B7">
              <w:t xml:space="preserve"> </w:t>
            </w:r>
            <w:r w:rsidRPr="009967B7">
              <w:rPr>
                <w:lang w:val="en-US"/>
              </w:rPr>
              <w:t>± 20</w:t>
            </w:r>
          </w:p>
        </w:tc>
      </w:tr>
      <w:tr w:rsidR="009967B7" w:rsidRPr="009967B7" w14:paraId="4FFD42A3" w14:textId="77777777" w:rsidTr="009175EF">
        <w:trPr>
          <w:trHeight w:val="442"/>
        </w:trPr>
        <w:tc>
          <w:tcPr>
            <w:tcW w:w="4369" w:type="dxa"/>
            <w:vAlign w:val="center"/>
          </w:tcPr>
          <w:p w14:paraId="398C957E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Gender, male</w:t>
            </w:r>
          </w:p>
        </w:tc>
        <w:tc>
          <w:tcPr>
            <w:tcW w:w="1009" w:type="dxa"/>
            <w:vAlign w:val="center"/>
          </w:tcPr>
          <w:p w14:paraId="614FDDCF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19 (63%)</w:t>
            </w:r>
          </w:p>
        </w:tc>
      </w:tr>
      <w:tr w:rsidR="009967B7" w:rsidRPr="009967B7" w14:paraId="38780BC7" w14:textId="77777777" w:rsidTr="009175EF">
        <w:trPr>
          <w:trHeight w:val="442"/>
        </w:trPr>
        <w:tc>
          <w:tcPr>
            <w:tcW w:w="4369" w:type="dxa"/>
            <w:vAlign w:val="center"/>
          </w:tcPr>
          <w:p w14:paraId="41F24B65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Weight (kg)</w:t>
            </w:r>
          </w:p>
        </w:tc>
        <w:tc>
          <w:tcPr>
            <w:tcW w:w="1009" w:type="dxa"/>
            <w:vAlign w:val="center"/>
          </w:tcPr>
          <w:p w14:paraId="074335EA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75 ± 20</w:t>
            </w:r>
          </w:p>
        </w:tc>
      </w:tr>
      <w:tr w:rsidR="009967B7" w:rsidRPr="009967B7" w14:paraId="1F0C8822" w14:textId="77777777" w:rsidTr="009175EF">
        <w:trPr>
          <w:trHeight w:val="442"/>
        </w:trPr>
        <w:tc>
          <w:tcPr>
            <w:tcW w:w="4369" w:type="dxa"/>
            <w:vAlign w:val="center"/>
          </w:tcPr>
          <w:p w14:paraId="7068ACDA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Indication for MRA</w:t>
            </w:r>
          </w:p>
        </w:tc>
        <w:tc>
          <w:tcPr>
            <w:tcW w:w="1009" w:type="dxa"/>
            <w:vAlign w:val="center"/>
          </w:tcPr>
          <w:p w14:paraId="7ABC260C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</w:p>
        </w:tc>
      </w:tr>
      <w:tr w:rsidR="009967B7" w:rsidRPr="009967B7" w14:paraId="31CE186D" w14:textId="77777777" w:rsidTr="009175EF">
        <w:trPr>
          <w:trHeight w:val="442"/>
        </w:trPr>
        <w:tc>
          <w:tcPr>
            <w:tcW w:w="4369" w:type="dxa"/>
            <w:vAlign w:val="center"/>
          </w:tcPr>
          <w:p w14:paraId="3ECF37E0" w14:textId="77777777" w:rsidR="00F73660" w:rsidRPr="009967B7" w:rsidRDefault="00F73660" w:rsidP="00F73660">
            <w:pPr>
              <w:pStyle w:val="Geenafstand"/>
              <w:numPr>
                <w:ilvl w:val="0"/>
                <w:numId w:val="2"/>
              </w:numPr>
              <w:rPr>
                <w:lang w:val="en-US"/>
              </w:rPr>
            </w:pPr>
            <w:r w:rsidRPr="009967B7">
              <w:rPr>
                <w:lang w:val="en-US"/>
              </w:rPr>
              <w:t>Follow-up aortic dilatation</w:t>
            </w:r>
          </w:p>
        </w:tc>
        <w:tc>
          <w:tcPr>
            <w:tcW w:w="1009" w:type="dxa"/>
            <w:vAlign w:val="center"/>
          </w:tcPr>
          <w:p w14:paraId="2E9F56B5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15 (50%)</w:t>
            </w:r>
          </w:p>
        </w:tc>
      </w:tr>
      <w:tr w:rsidR="009967B7" w:rsidRPr="009967B7" w14:paraId="00E8BD39" w14:textId="77777777" w:rsidTr="009175EF">
        <w:trPr>
          <w:trHeight w:val="442"/>
        </w:trPr>
        <w:tc>
          <w:tcPr>
            <w:tcW w:w="4369" w:type="dxa"/>
            <w:vAlign w:val="center"/>
          </w:tcPr>
          <w:p w14:paraId="4A8BC9B1" w14:textId="77777777" w:rsidR="00F73660" w:rsidRPr="009967B7" w:rsidRDefault="00F73660" w:rsidP="00F73660">
            <w:pPr>
              <w:pStyle w:val="Geenafstand"/>
              <w:numPr>
                <w:ilvl w:val="0"/>
                <w:numId w:val="2"/>
              </w:numPr>
              <w:rPr>
                <w:lang w:val="en-US"/>
              </w:rPr>
            </w:pPr>
            <w:r w:rsidRPr="009967B7">
              <w:rPr>
                <w:lang w:val="en-US"/>
              </w:rPr>
              <w:t xml:space="preserve">Turner syndrome </w:t>
            </w:r>
          </w:p>
        </w:tc>
        <w:tc>
          <w:tcPr>
            <w:tcW w:w="1009" w:type="dxa"/>
            <w:vAlign w:val="center"/>
          </w:tcPr>
          <w:p w14:paraId="6FC558B3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4 (13%)</w:t>
            </w:r>
          </w:p>
        </w:tc>
      </w:tr>
      <w:tr w:rsidR="009967B7" w:rsidRPr="009967B7" w14:paraId="1661C161" w14:textId="77777777" w:rsidTr="009175EF">
        <w:trPr>
          <w:trHeight w:val="442"/>
        </w:trPr>
        <w:tc>
          <w:tcPr>
            <w:tcW w:w="4369" w:type="dxa"/>
            <w:vAlign w:val="center"/>
          </w:tcPr>
          <w:p w14:paraId="7BAFE049" w14:textId="77777777" w:rsidR="00F73660" w:rsidRPr="009967B7" w:rsidRDefault="00F73660" w:rsidP="00F73660">
            <w:pPr>
              <w:pStyle w:val="Geenafstand"/>
              <w:numPr>
                <w:ilvl w:val="0"/>
                <w:numId w:val="2"/>
              </w:numPr>
              <w:rPr>
                <w:lang w:val="en-US"/>
              </w:rPr>
            </w:pPr>
            <w:r w:rsidRPr="009967B7">
              <w:rPr>
                <w:lang w:val="en-US"/>
              </w:rPr>
              <w:t xml:space="preserve">Follow-up coarctation </w:t>
            </w:r>
          </w:p>
        </w:tc>
        <w:tc>
          <w:tcPr>
            <w:tcW w:w="1009" w:type="dxa"/>
            <w:vAlign w:val="center"/>
          </w:tcPr>
          <w:p w14:paraId="253C53A6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2 (7%)</w:t>
            </w:r>
          </w:p>
        </w:tc>
      </w:tr>
      <w:tr w:rsidR="009967B7" w:rsidRPr="009967B7" w14:paraId="1515B35A" w14:textId="77777777" w:rsidTr="009175EF">
        <w:trPr>
          <w:trHeight w:val="442"/>
        </w:trPr>
        <w:tc>
          <w:tcPr>
            <w:tcW w:w="4369" w:type="dxa"/>
            <w:tcBorders>
              <w:bottom w:val="nil"/>
            </w:tcBorders>
            <w:vAlign w:val="center"/>
          </w:tcPr>
          <w:p w14:paraId="3F4450F3" w14:textId="77777777" w:rsidR="00F73660" w:rsidRPr="009967B7" w:rsidRDefault="00F73660" w:rsidP="00F73660">
            <w:pPr>
              <w:pStyle w:val="Geenafstand"/>
              <w:numPr>
                <w:ilvl w:val="0"/>
                <w:numId w:val="2"/>
              </w:numPr>
              <w:rPr>
                <w:lang w:val="en-US"/>
              </w:rPr>
            </w:pPr>
            <w:r w:rsidRPr="009967B7">
              <w:rPr>
                <w:lang w:val="en-US"/>
              </w:rPr>
              <w:t>Syndrome of Marfan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14:paraId="3AE24249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1 (3%)</w:t>
            </w:r>
          </w:p>
        </w:tc>
      </w:tr>
      <w:tr w:rsidR="009967B7" w:rsidRPr="009967B7" w14:paraId="7C2AD384" w14:textId="77777777" w:rsidTr="009175EF">
        <w:trPr>
          <w:trHeight w:val="442"/>
        </w:trPr>
        <w:tc>
          <w:tcPr>
            <w:tcW w:w="4369" w:type="dxa"/>
            <w:tcBorders>
              <w:bottom w:val="single" w:sz="6" w:space="0" w:color="auto"/>
            </w:tcBorders>
            <w:vAlign w:val="center"/>
          </w:tcPr>
          <w:p w14:paraId="7C8E4C73" w14:textId="77777777" w:rsidR="00F73660" w:rsidRPr="009967B7" w:rsidRDefault="00F73660" w:rsidP="00F73660">
            <w:pPr>
              <w:pStyle w:val="Geenafstand"/>
              <w:numPr>
                <w:ilvl w:val="0"/>
                <w:numId w:val="2"/>
              </w:numPr>
              <w:rPr>
                <w:lang w:val="en-US"/>
              </w:rPr>
            </w:pPr>
            <w:r w:rsidRPr="009967B7">
              <w:rPr>
                <w:lang w:val="en-US"/>
              </w:rPr>
              <w:t xml:space="preserve">Other </w:t>
            </w:r>
          </w:p>
        </w:tc>
        <w:tc>
          <w:tcPr>
            <w:tcW w:w="1009" w:type="dxa"/>
            <w:tcBorders>
              <w:bottom w:val="single" w:sz="6" w:space="0" w:color="auto"/>
            </w:tcBorders>
            <w:vAlign w:val="center"/>
          </w:tcPr>
          <w:p w14:paraId="7A17BFED" w14:textId="77777777" w:rsidR="00F73660" w:rsidRPr="009967B7" w:rsidRDefault="00F73660" w:rsidP="00F73660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8 (27%)</w:t>
            </w:r>
          </w:p>
        </w:tc>
      </w:tr>
    </w:tbl>
    <w:p w14:paraId="5D20D977" w14:textId="504390BB" w:rsidR="00450C5D" w:rsidRPr="009967B7" w:rsidRDefault="00450C5D" w:rsidP="00450C5D">
      <w:pPr>
        <w:rPr>
          <w:lang w:val="en-GB"/>
        </w:rPr>
      </w:pPr>
    </w:p>
    <w:p w14:paraId="4B14425B" w14:textId="63427087" w:rsidR="00450C5D" w:rsidRPr="009967B7" w:rsidRDefault="00450C5D" w:rsidP="00450C5D">
      <w:pPr>
        <w:rPr>
          <w:lang w:val="en-GB"/>
        </w:rPr>
      </w:pPr>
    </w:p>
    <w:p w14:paraId="06E3D239" w14:textId="77777777" w:rsidR="00450C5D" w:rsidRPr="009967B7" w:rsidRDefault="00450C5D" w:rsidP="00450C5D">
      <w:pPr>
        <w:rPr>
          <w:lang w:val="en-GB"/>
        </w:rPr>
      </w:pPr>
    </w:p>
    <w:p w14:paraId="282E460F" w14:textId="77777777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12426653" w14:textId="77777777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185C2C76" w14:textId="77777777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23226816" w14:textId="77777777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66E15DC0" w14:textId="77777777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6ED68DC0" w14:textId="016E1DF3" w:rsidR="00CF7A5B" w:rsidRPr="009967B7" w:rsidRDefault="009967B7" w:rsidP="00CF7A5B">
      <w:pPr>
        <w:rPr>
          <w:rFonts w:cstheme="minorHAnsi"/>
          <w:b/>
          <w:bCs/>
          <w:sz w:val="18"/>
          <w:szCs w:val="18"/>
          <w:lang w:val="en-GB"/>
        </w:rPr>
      </w:pPr>
      <w:r w:rsidRPr="009967B7">
        <w:rPr>
          <w:rFonts w:cstheme="minorHAnsi"/>
          <w:b/>
          <w:bCs/>
          <w:iCs/>
          <w:sz w:val="18"/>
          <w:szCs w:val="18"/>
          <w:lang w:val="en-GB"/>
        </w:rPr>
        <w:t>Data was expressed as mean ± standard deviation or as number (percentage).</w:t>
      </w:r>
    </w:p>
    <w:p w14:paraId="3808FA62" w14:textId="77777777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4B7A505A" w14:textId="77777777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2E6962DD" w14:textId="77777777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1C028DC8" w14:textId="77777777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2905EECD" w14:textId="77777777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63A6EA57" w14:textId="66BC36D5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5D907B7E" w14:textId="120168DD" w:rsidR="00B914E7" w:rsidRPr="009967B7" w:rsidRDefault="00B914E7" w:rsidP="00CF7A5B">
      <w:pPr>
        <w:rPr>
          <w:rFonts w:cstheme="minorHAnsi"/>
          <w:b/>
          <w:sz w:val="40"/>
          <w:szCs w:val="40"/>
          <w:lang w:val="en-GB"/>
        </w:rPr>
      </w:pPr>
    </w:p>
    <w:p w14:paraId="5B20AE24" w14:textId="77777777" w:rsidR="00F73660" w:rsidRPr="009967B7" w:rsidRDefault="00F73660" w:rsidP="00CF7A5B">
      <w:pPr>
        <w:rPr>
          <w:rFonts w:cstheme="minorHAnsi"/>
          <w:b/>
          <w:sz w:val="40"/>
          <w:szCs w:val="40"/>
          <w:lang w:val="en-GB"/>
        </w:rPr>
      </w:pPr>
    </w:p>
    <w:p w14:paraId="1558D06C" w14:textId="0B406D65" w:rsidR="00B914E7" w:rsidRPr="009967B7" w:rsidRDefault="00B914E7" w:rsidP="00CF7A5B">
      <w:pPr>
        <w:rPr>
          <w:rFonts w:cstheme="minorHAnsi"/>
          <w:b/>
          <w:sz w:val="40"/>
          <w:szCs w:val="40"/>
          <w:lang w:val="en-GB"/>
        </w:rPr>
      </w:pPr>
    </w:p>
    <w:p w14:paraId="607CFA2B" w14:textId="187BD559" w:rsidR="00B914E7" w:rsidRPr="009967B7" w:rsidRDefault="00B914E7" w:rsidP="00B914E7">
      <w:pPr>
        <w:pStyle w:val="Bijschrift"/>
        <w:keepNext/>
        <w:rPr>
          <w:color w:val="auto"/>
          <w:lang w:val="en-GB"/>
        </w:rPr>
      </w:pPr>
      <w:r w:rsidRPr="009967B7">
        <w:rPr>
          <w:color w:val="auto"/>
          <w:lang w:val="en-GB"/>
        </w:rPr>
        <w:lastRenderedPageBreak/>
        <w:t xml:space="preserve">Supplementary Table </w:t>
      </w:r>
      <w:r w:rsidRPr="0027208B">
        <w:rPr>
          <w:rStyle w:val="Subtielebenadrukking"/>
          <w:i w:val="0"/>
          <w:iCs w:val="0"/>
        </w:rPr>
        <w:fldChar w:fldCharType="begin"/>
      </w:r>
      <w:r w:rsidRPr="0027208B">
        <w:rPr>
          <w:rStyle w:val="Subtielebenadrukking"/>
          <w:i w:val="0"/>
          <w:iCs w:val="0"/>
        </w:rPr>
        <w:instrText xml:space="preserve"> SEQ Table \* ARABIC </w:instrText>
      </w:r>
      <w:r w:rsidRPr="0027208B">
        <w:rPr>
          <w:rStyle w:val="Subtielebenadrukking"/>
          <w:i w:val="0"/>
          <w:iCs w:val="0"/>
        </w:rPr>
        <w:fldChar w:fldCharType="separate"/>
      </w:r>
      <w:r w:rsidRPr="0027208B">
        <w:rPr>
          <w:rStyle w:val="Subtielebenadrukking"/>
          <w:i w:val="0"/>
          <w:iCs w:val="0"/>
        </w:rPr>
        <w:t>2</w:t>
      </w:r>
      <w:r w:rsidRPr="0027208B">
        <w:rPr>
          <w:rStyle w:val="Subtielebenadrukking"/>
          <w:i w:val="0"/>
          <w:iCs w:val="0"/>
        </w:rPr>
        <w:fldChar w:fldCharType="end"/>
      </w:r>
      <w:bookmarkStart w:id="0" w:name="_Hlk26796508"/>
      <w:r w:rsidR="009967B7" w:rsidRPr="0027208B">
        <w:rPr>
          <w:i/>
          <w:iCs/>
          <w:color w:val="auto"/>
        </w:rPr>
        <w:t xml:space="preserve"> </w:t>
      </w:r>
      <w:r w:rsidR="009967B7" w:rsidRPr="009967B7">
        <w:rPr>
          <w:color w:val="auto"/>
          <w:lang w:val="en-GB"/>
        </w:rPr>
        <w:t>Comparison of aortic diameters</w:t>
      </w:r>
    </w:p>
    <w:bookmarkEnd w:id="0"/>
    <w:tbl>
      <w:tblPr>
        <w:tblStyle w:val="Tabelraster"/>
        <w:tblpPr w:leftFromText="141" w:rightFromText="141" w:vertAnchor="text" w:horzAnchor="margin" w:tblpY="198"/>
        <w:tblW w:w="77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1406"/>
        <w:gridCol w:w="1330"/>
        <w:gridCol w:w="282"/>
        <w:gridCol w:w="1732"/>
        <w:gridCol w:w="244"/>
        <w:gridCol w:w="607"/>
      </w:tblGrid>
      <w:tr w:rsidR="009967B7" w:rsidRPr="009967B7" w14:paraId="4B26BE6C" w14:textId="5DB44E3C" w:rsidTr="00D31238">
        <w:trPr>
          <w:trHeight w:val="436"/>
        </w:trPr>
        <w:tc>
          <w:tcPr>
            <w:tcW w:w="2196" w:type="dxa"/>
            <w:tcBorders>
              <w:top w:val="single" w:sz="8" w:space="0" w:color="auto"/>
              <w:bottom w:val="nil"/>
            </w:tcBorders>
            <w:vAlign w:val="center"/>
          </w:tcPr>
          <w:p w14:paraId="76AD1055" w14:textId="77777777" w:rsidR="000371CF" w:rsidRPr="009967B7" w:rsidRDefault="000371CF" w:rsidP="008F48B2">
            <w:pPr>
              <w:pStyle w:val="Geenafstand"/>
              <w:rPr>
                <w:b/>
                <w:bCs/>
                <w:lang w:val="en-US"/>
              </w:rPr>
            </w:pPr>
          </w:p>
        </w:tc>
        <w:tc>
          <w:tcPr>
            <w:tcW w:w="1406" w:type="dxa"/>
            <w:tcBorders>
              <w:top w:val="single" w:sz="8" w:space="0" w:color="auto"/>
              <w:bottom w:val="nil"/>
            </w:tcBorders>
            <w:vAlign w:val="center"/>
          </w:tcPr>
          <w:p w14:paraId="685894DF" w14:textId="3585F303" w:rsidR="000371CF" w:rsidRPr="009967B7" w:rsidRDefault="000371CF" w:rsidP="008F48B2">
            <w:pPr>
              <w:pStyle w:val="Geenafstand"/>
              <w:rPr>
                <w:b/>
                <w:bCs/>
                <w:lang w:val="en-US"/>
              </w:rPr>
            </w:pPr>
            <w:r w:rsidRPr="009967B7">
              <w:rPr>
                <w:b/>
                <w:bCs/>
                <w:lang w:val="en-US"/>
              </w:rPr>
              <w:t>Diameter</w:t>
            </w:r>
          </w:p>
        </w:tc>
        <w:tc>
          <w:tcPr>
            <w:tcW w:w="1330" w:type="dxa"/>
            <w:tcBorders>
              <w:top w:val="single" w:sz="8" w:space="0" w:color="auto"/>
              <w:bottom w:val="nil"/>
            </w:tcBorders>
            <w:vAlign w:val="center"/>
          </w:tcPr>
          <w:p w14:paraId="295422ED" w14:textId="77777777" w:rsidR="000371CF" w:rsidRPr="009967B7" w:rsidRDefault="000371CF" w:rsidP="008F48B2">
            <w:pPr>
              <w:pStyle w:val="Geenafstand"/>
              <w:rPr>
                <w:b/>
                <w:bCs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nil"/>
            </w:tcBorders>
          </w:tcPr>
          <w:p w14:paraId="0F828C0D" w14:textId="77777777" w:rsidR="000371CF" w:rsidRPr="009967B7" w:rsidRDefault="000371CF" w:rsidP="008F48B2">
            <w:pPr>
              <w:pStyle w:val="Geenafstand"/>
              <w:rPr>
                <w:b/>
                <w:bCs/>
                <w:lang w:val="en-US"/>
              </w:rPr>
            </w:pPr>
          </w:p>
        </w:tc>
        <w:tc>
          <w:tcPr>
            <w:tcW w:w="17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BA71DE" w14:textId="5BFCE24D" w:rsidR="000371CF" w:rsidRPr="009967B7" w:rsidRDefault="000371CF" w:rsidP="008F48B2">
            <w:pPr>
              <w:pStyle w:val="Geenafstand"/>
              <w:rPr>
                <w:b/>
                <w:bCs/>
                <w:lang w:val="en-US"/>
              </w:rPr>
            </w:pPr>
            <w:r w:rsidRPr="009967B7">
              <w:rPr>
                <w:b/>
                <w:bCs/>
                <w:lang w:val="en-US"/>
              </w:rPr>
              <w:t>Difference</w:t>
            </w:r>
          </w:p>
        </w:tc>
        <w:tc>
          <w:tcPr>
            <w:tcW w:w="244" w:type="dxa"/>
            <w:tcBorders>
              <w:top w:val="single" w:sz="8" w:space="0" w:color="auto"/>
              <w:bottom w:val="nil"/>
            </w:tcBorders>
          </w:tcPr>
          <w:p w14:paraId="0D5598DC" w14:textId="77777777" w:rsidR="000371CF" w:rsidRPr="009967B7" w:rsidRDefault="000371CF" w:rsidP="008F48B2">
            <w:pPr>
              <w:pStyle w:val="Geenafstand"/>
              <w:rPr>
                <w:b/>
                <w:bCs/>
                <w:lang w:val="en-US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2A2D56" w14:textId="4018AA99" w:rsidR="000371CF" w:rsidRPr="009967B7" w:rsidRDefault="000371CF" w:rsidP="008F48B2">
            <w:pPr>
              <w:pStyle w:val="Geenafstand"/>
              <w:rPr>
                <w:b/>
                <w:bCs/>
                <w:lang w:val="en-US"/>
              </w:rPr>
            </w:pPr>
            <w:r w:rsidRPr="009967B7">
              <w:rPr>
                <w:b/>
                <w:bCs/>
                <w:lang w:val="en-US"/>
              </w:rPr>
              <w:t>ICC</w:t>
            </w:r>
          </w:p>
        </w:tc>
      </w:tr>
      <w:tr w:rsidR="009967B7" w:rsidRPr="009967B7" w14:paraId="22330B00" w14:textId="121A1868" w:rsidTr="00D31238">
        <w:trPr>
          <w:trHeight w:val="436"/>
        </w:trPr>
        <w:tc>
          <w:tcPr>
            <w:tcW w:w="2196" w:type="dxa"/>
            <w:tcBorders>
              <w:top w:val="nil"/>
              <w:bottom w:val="single" w:sz="4" w:space="0" w:color="auto"/>
            </w:tcBorders>
            <w:vAlign w:val="center"/>
          </w:tcPr>
          <w:p w14:paraId="3596354A" w14:textId="77777777" w:rsidR="000371CF" w:rsidRPr="009967B7" w:rsidRDefault="000371CF" w:rsidP="008F48B2">
            <w:pPr>
              <w:pStyle w:val="Geenafstand"/>
              <w:rPr>
                <w:b/>
                <w:bCs/>
                <w:lang w:val="en-US"/>
              </w:rPr>
            </w:pPr>
            <w:r w:rsidRPr="009967B7">
              <w:rPr>
                <w:b/>
                <w:bCs/>
                <w:lang w:val="en-US"/>
              </w:rPr>
              <w:t>Landmark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72069" w14:textId="77777777" w:rsidR="000371CF" w:rsidRPr="009967B7" w:rsidRDefault="000371CF" w:rsidP="008F48B2">
            <w:pPr>
              <w:pStyle w:val="Geenafstand"/>
              <w:rPr>
                <w:b/>
                <w:bCs/>
                <w:lang w:val="en-US"/>
              </w:rPr>
            </w:pPr>
            <w:r w:rsidRPr="009967B7">
              <w:rPr>
                <w:b/>
                <w:bCs/>
                <w:lang w:val="en-US"/>
              </w:rPr>
              <w:t>CE-MRA</w:t>
            </w:r>
            <w:r w:rsidRPr="009967B7">
              <w:rPr>
                <w:b/>
                <w:bCs/>
                <w:vertAlign w:val="superscript"/>
                <w:lang w:val="en-US"/>
              </w:rPr>
              <w:t>†</w:t>
            </w:r>
            <w:r w:rsidRPr="009967B7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355C2" w14:textId="63ACD459" w:rsidR="000371CF" w:rsidRPr="009967B7" w:rsidRDefault="000371CF" w:rsidP="008F48B2">
            <w:pPr>
              <w:pStyle w:val="Geenafstand"/>
              <w:rPr>
                <w:b/>
                <w:bCs/>
                <w:lang w:val="en-US"/>
              </w:rPr>
            </w:pPr>
            <w:r w:rsidRPr="009967B7">
              <w:rPr>
                <w:b/>
                <w:bCs/>
                <w:lang w:val="en-US"/>
              </w:rPr>
              <w:t>SSFP-MRA</w:t>
            </w:r>
            <w:r w:rsidRPr="009967B7">
              <w:rPr>
                <w:b/>
                <w:bCs/>
                <w:vertAlign w:val="superscript"/>
                <w:lang w:val="en-US"/>
              </w:rPr>
              <w:t>†</w:t>
            </w: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14:paraId="209E7C6A" w14:textId="77777777" w:rsidR="000371CF" w:rsidRPr="009967B7" w:rsidRDefault="000371CF" w:rsidP="00CC58CD">
            <w:pPr>
              <w:pStyle w:val="Geenafstand"/>
              <w:rPr>
                <w:b/>
                <w:bCs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2CDA7" w14:textId="0FC57C57" w:rsidR="000371CF" w:rsidRPr="009967B7" w:rsidRDefault="000371CF" w:rsidP="00CC58CD">
            <w:pPr>
              <w:pStyle w:val="Geenafstand"/>
              <w:rPr>
                <w:b/>
                <w:bCs/>
                <w:lang w:val="en-US"/>
              </w:rPr>
            </w:pPr>
            <w:r w:rsidRPr="009967B7">
              <w:rPr>
                <w:b/>
                <w:bCs/>
                <w:lang w:val="en-US"/>
              </w:rPr>
              <w:t>Mean</w:t>
            </w:r>
            <w:r w:rsidR="00F73660" w:rsidRPr="009967B7">
              <w:rPr>
                <w:b/>
                <w:bCs/>
                <w:lang w:val="en-US"/>
              </w:rPr>
              <w:t xml:space="preserve"> </w:t>
            </w:r>
            <w:r w:rsidRPr="009967B7">
              <w:rPr>
                <w:b/>
                <w:bCs/>
                <w:lang w:val="en-US"/>
              </w:rPr>
              <w:t>[LoA]*</w:t>
            </w:r>
          </w:p>
        </w:tc>
        <w:tc>
          <w:tcPr>
            <w:tcW w:w="244" w:type="dxa"/>
            <w:tcBorders>
              <w:top w:val="nil"/>
              <w:bottom w:val="single" w:sz="4" w:space="0" w:color="auto"/>
            </w:tcBorders>
          </w:tcPr>
          <w:p w14:paraId="54AF6425" w14:textId="77777777" w:rsidR="000371CF" w:rsidRPr="009967B7" w:rsidRDefault="000371CF" w:rsidP="00CC58CD">
            <w:pPr>
              <w:pStyle w:val="Geenafstand"/>
              <w:rPr>
                <w:b/>
                <w:bCs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114C" w14:textId="27D5EB44" w:rsidR="000371CF" w:rsidRPr="009967B7" w:rsidRDefault="000371CF" w:rsidP="00CC58CD">
            <w:pPr>
              <w:pStyle w:val="Geenafstand"/>
              <w:rPr>
                <w:b/>
                <w:bCs/>
                <w:lang w:val="en-US"/>
              </w:rPr>
            </w:pPr>
            <w:r w:rsidRPr="009967B7">
              <w:rPr>
                <w:b/>
                <w:bCs/>
                <w:lang w:val="en-US"/>
              </w:rPr>
              <w:t>r</w:t>
            </w:r>
          </w:p>
        </w:tc>
      </w:tr>
      <w:tr w:rsidR="009967B7" w:rsidRPr="009967B7" w14:paraId="4CF05375" w14:textId="0BCF36FA" w:rsidTr="00D31238">
        <w:trPr>
          <w:trHeight w:val="436"/>
        </w:trPr>
        <w:tc>
          <w:tcPr>
            <w:tcW w:w="2196" w:type="dxa"/>
            <w:tcBorders>
              <w:top w:val="single" w:sz="4" w:space="0" w:color="auto"/>
              <w:bottom w:val="nil"/>
            </w:tcBorders>
            <w:vAlign w:val="center"/>
          </w:tcPr>
          <w:p w14:paraId="1B39B613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Sinus of Valsalva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vAlign w:val="center"/>
          </w:tcPr>
          <w:p w14:paraId="100ABDCA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34.2 ± 6.7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  <w:vAlign w:val="center"/>
          </w:tcPr>
          <w:p w14:paraId="071F9B6B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34.0 ± 6.8</w:t>
            </w: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</w:tcPr>
          <w:p w14:paraId="57DB8D9E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  <w:vAlign w:val="center"/>
          </w:tcPr>
          <w:p w14:paraId="2176E63E" w14:textId="6B86699A" w:rsidR="000371CF" w:rsidRPr="009967B7" w:rsidRDefault="00D31238" w:rsidP="00CC58CD">
            <w:pPr>
              <w:pStyle w:val="Geenafstand"/>
              <w:rPr>
                <w:lang w:val="en-US"/>
              </w:rPr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0371CF" w:rsidRPr="009967B7">
              <w:rPr>
                <w:lang w:val="en-US"/>
              </w:rPr>
              <w:t>0.1 [-2.4; 2.2]</w:t>
            </w:r>
          </w:p>
        </w:tc>
        <w:tc>
          <w:tcPr>
            <w:tcW w:w="244" w:type="dxa"/>
            <w:tcBorders>
              <w:top w:val="single" w:sz="4" w:space="0" w:color="auto"/>
              <w:bottom w:val="nil"/>
            </w:tcBorders>
          </w:tcPr>
          <w:p w14:paraId="466141E2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vAlign w:val="center"/>
          </w:tcPr>
          <w:p w14:paraId="277CC84C" w14:textId="67A1D47A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0.99</w:t>
            </w:r>
          </w:p>
        </w:tc>
      </w:tr>
      <w:tr w:rsidR="009967B7" w:rsidRPr="009967B7" w14:paraId="3A484C37" w14:textId="791CDD47" w:rsidTr="00D31238">
        <w:trPr>
          <w:trHeight w:val="436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3ABE9D93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Sinotubular junction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14:paraId="3DAFE3B9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30.3 ± 6.5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1FC00973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30.3 ± 6.5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C43CEC7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14:paraId="5EE68229" w14:textId="1CD4D6DE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0.0 [-2.0; 2.0]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78A3D39C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14:paraId="6361EC8B" w14:textId="1C2954B8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0.99</w:t>
            </w:r>
          </w:p>
        </w:tc>
      </w:tr>
      <w:tr w:rsidR="009967B7" w:rsidRPr="009967B7" w14:paraId="77F0F52A" w14:textId="3EBC8529" w:rsidTr="00D31238">
        <w:trPr>
          <w:trHeight w:val="436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02A09B8C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Mid-ascending aorta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14:paraId="667BFADC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33.0 ± 6.2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3D53C22F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33.1 ± 6.3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ED24207" w14:textId="77777777" w:rsidR="000371CF" w:rsidRPr="009967B7" w:rsidRDefault="000371CF" w:rsidP="00E000BF">
            <w:pPr>
              <w:pStyle w:val="Geenafstand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14:paraId="742ED9A5" w14:textId="406070C0" w:rsidR="000371CF" w:rsidRPr="009967B7" w:rsidRDefault="000371CF" w:rsidP="00E000BF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0.2 [-1.8; 2.2]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72163BD9" w14:textId="77777777" w:rsidR="000371CF" w:rsidRPr="009967B7" w:rsidRDefault="000371CF" w:rsidP="00E000BF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14:paraId="614D489D" w14:textId="3FF9ED6D" w:rsidR="000371CF" w:rsidRPr="009967B7" w:rsidRDefault="000371CF" w:rsidP="00E000BF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0.99</w:t>
            </w:r>
          </w:p>
        </w:tc>
      </w:tr>
      <w:tr w:rsidR="009967B7" w:rsidRPr="009967B7" w14:paraId="291C401F" w14:textId="6CE79D41" w:rsidTr="00D31238">
        <w:trPr>
          <w:trHeight w:val="436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71FA33F5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Proximal aortic arch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14:paraId="26A826D5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27.5 ± 5.4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1BE6715A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27.3 ± 5.5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A97A739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14:paraId="4449D3AE" w14:textId="1BF1909D" w:rsidR="000371CF" w:rsidRPr="009967B7" w:rsidRDefault="00D31238" w:rsidP="00D31238">
            <w:pPr>
              <w:pStyle w:val="Geenafstand"/>
              <w:rPr>
                <w:lang w:val="en-US"/>
              </w:rPr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0371CF" w:rsidRPr="009967B7">
              <w:rPr>
                <w:lang w:val="en-US"/>
              </w:rPr>
              <w:t>0.2 [-2.1; 2.7]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3A289F55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14:paraId="0C88A7E0" w14:textId="5A02D816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0.98</w:t>
            </w:r>
          </w:p>
        </w:tc>
      </w:tr>
      <w:tr w:rsidR="009967B7" w:rsidRPr="009967B7" w14:paraId="1585304B" w14:textId="719CE728" w:rsidTr="00D31238">
        <w:trPr>
          <w:trHeight w:val="436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3BD4A480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Mid-aortic arch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14:paraId="67B7A807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21.5 ± 4.4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0BB5F31B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21.6 ± 4.5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EB4C430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14:paraId="4869C790" w14:textId="06F70CDA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 xml:space="preserve">0.1 [-2.1; 2.2] 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04A9FFEE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14:paraId="2B5CDEDF" w14:textId="437543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0.97</w:t>
            </w:r>
          </w:p>
        </w:tc>
      </w:tr>
      <w:tr w:rsidR="009967B7" w:rsidRPr="009967B7" w14:paraId="184B3C7B" w14:textId="24DED5DF" w:rsidTr="00D31238">
        <w:trPr>
          <w:trHeight w:val="436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319A5AF4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Proximal desc. aorta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14:paraId="09A014D7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20.1 ± 4.7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5D4C398C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20.1 ± 4.7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6CEA208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14:paraId="7E2BC6FC" w14:textId="07D739BC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0.0 [-1.6; 1.6]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14AEAFFA" w14:textId="77777777" w:rsidR="000371CF" w:rsidRPr="009967B7" w:rsidRDefault="000371CF" w:rsidP="00CC58CD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14:paraId="13BFA315" w14:textId="08CBFCD2" w:rsidR="000371CF" w:rsidRPr="009967B7" w:rsidRDefault="000371CF" w:rsidP="00CC58CD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0.99</w:t>
            </w:r>
          </w:p>
        </w:tc>
      </w:tr>
      <w:tr w:rsidR="009967B7" w:rsidRPr="009967B7" w14:paraId="5E771770" w14:textId="39E012A7" w:rsidTr="00D31238">
        <w:trPr>
          <w:trHeight w:val="436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195BFE6C" w14:textId="4E0257DA" w:rsidR="000371CF" w:rsidRPr="009967B7" w:rsidRDefault="000371CF" w:rsidP="00CC58CD">
            <w:pPr>
              <w:pStyle w:val="Geenafstand"/>
              <w:rPr>
                <w:lang w:val="es-ES"/>
              </w:rPr>
            </w:pPr>
            <w:r w:rsidRPr="009967B7">
              <w:rPr>
                <w:lang w:val="es-ES"/>
              </w:rPr>
              <w:t>Mid-desc</w:t>
            </w:r>
            <w:r w:rsidR="00075F74" w:rsidRPr="009967B7">
              <w:rPr>
                <w:lang w:val="es-ES"/>
              </w:rPr>
              <w:t>ending</w:t>
            </w:r>
            <w:r w:rsidRPr="009967B7">
              <w:rPr>
                <w:lang w:val="es-ES"/>
              </w:rPr>
              <w:t xml:space="preserve"> aorta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14:paraId="793C3080" w14:textId="77777777" w:rsidR="000371CF" w:rsidRPr="009967B7" w:rsidRDefault="000371CF" w:rsidP="00CC58CD">
            <w:pPr>
              <w:pStyle w:val="Geenafstand"/>
              <w:rPr>
                <w:lang w:val="es-ES"/>
              </w:rPr>
            </w:pPr>
            <w:r w:rsidRPr="009967B7">
              <w:rPr>
                <w:lang w:val="es-ES"/>
              </w:rPr>
              <w:t>20.4 ± 4.1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151D9258" w14:textId="77777777" w:rsidR="000371CF" w:rsidRPr="009967B7" w:rsidRDefault="000371CF" w:rsidP="00CC58CD">
            <w:pPr>
              <w:pStyle w:val="Geenafstand"/>
              <w:rPr>
                <w:lang w:val="es-ES"/>
              </w:rPr>
            </w:pPr>
            <w:r w:rsidRPr="009967B7">
              <w:rPr>
                <w:lang w:val="es-ES"/>
              </w:rPr>
              <w:t>20.6 ± 4.3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E46C0FC" w14:textId="77777777" w:rsidR="000371CF" w:rsidRPr="009967B7" w:rsidRDefault="000371CF" w:rsidP="00CC58CD">
            <w:pPr>
              <w:pStyle w:val="Geenafstand"/>
              <w:rPr>
                <w:lang w:val="es-ES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14:paraId="1FB194BD" w14:textId="202B0AB7" w:rsidR="000371CF" w:rsidRPr="009967B7" w:rsidRDefault="000371CF" w:rsidP="00CC58CD">
            <w:pPr>
              <w:pStyle w:val="Geenafstand"/>
              <w:rPr>
                <w:lang w:val="es-ES"/>
              </w:rPr>
            </w:pPr>
            <w:r w:rsidRPr="009967B7">
              <w:rPr>
                <w:lang w:val="es-ES"/>
              </w:rPr>
              <w:t>0.2 [-1.6; 1.9]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334F8523" w14:textId="77777777" w:rsidR="000371CF" w:rsidRPr="009967B7" w:rsidRDefault="000371CF" w:rsidP="00CC58CD">
            <w:pPr>
              <w:pStyle w:val="Geenafstand"/>
              <w:rPr>
                <w:lang w:val="es-ES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14:paraId="64386915" w14:textId="0CA1B954" w:rsidR="000371CF" w:rsidRPr="009967B7" w:rsidRDefault="000371CF" w:rsidP="00CC58CD">
            <w:pPr>
              <w:pStyle w:val="Geenafstand"/>
              <w:rPr>
                <w:lang w:val="es-ES"/>
              </w:rPr>
            </w:pPr>
            <w:r w:rsidRPr="009967B7">
              <w:rPr>
                <w:lang w:val="es-ES"/>
              </w:rPr>
              <w:t>0.98</w:t>
            </w:r>
          </w:p>
        </w:tc>
      </w:tr>
      <w:tr w:rsidR="009967B7" w:rsidRPr="009967B7" w14:paraId="149D93AB" w14:textId="6324315B" w:rsidTr="00D31238">
        <w:trPr>
          <w:trHeight w:val="436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19CB1C2D" w14:textId="1F669CB7" w:rsidR="000371CF" w:rsidRPr="009967B7" w:rsidRDefault="000371CF" w:rsidP="00D95A08">
            <w:pPr>
              <w:pStyle w:val="Geenafstand"/>
              <w:rPr>
                <w:lang w:val="es-ES"/>
              </w:rPr>
            </w:pPr>
            <w:r w:rsidRPr="009967B7">
              <w:rPr>
                <w:lang w:val="es-ES"/>
              </w:rPr>
              <w:t>Aorta at diaphragm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14:paraId="2004A0D3" w14:textId="77777777" w:rsidR="000371CF" w:rsidRPr="009967B7" w:rsidRDefault="000371CF" w:rsidP="00D95A08">
            <w:pPr>
              <w:pStyle w:val="Geenafstand"/>
              <w:rPr>
                <w:lang w:val="es-ES"/>
              </w:rPr>
            </w:pPr>
            <w:r w:rsidRPr="009967B7">
              <w:rPr>
                <w:lang w:val="es-ES"/>
              </w:rPr>
              <w:t>19.1 ± 4.0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14:paraId="6C9A7426" w14:textId="77777777" w:rsidR="000371CF" w:rsidRPr="009967B7" w:rsidRDefault="000371CF" w:rsidP="00D95A08">
            <w:pPr>
              <w:pStyle w:val="Geenafstand"/>
              <w:rPr>
                <w:lang w:val="es-ES"/>
              </w:rPr>
            </w:pPr>
            <w:r w:rsidRPr="009967B7">
              <w:rPr>
                <w:lang w:val="es-ES"/>
              </w:rPr>
              <w:t>19.3 ± 4.1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DCC56A8" w14:textId="77777777" w:rsidR="000371CF" w:rsidRPr="009967B7" w:rsidRDefault="000371CF" w:rsidP="00D95A08">
            <w:pPr>
              <w:pStyle w:val="Geenafstand"/>
              <w:rPr>
                <w:lang w:val="es-ES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  <w:vAlign w:val="center"/>
          </w:tcPr>
          <w:p w14:paraId="7D0C3EA7" w14:textId="6B66475B" w:rsidR="000371CF" w:rsidRPr="009967B7" w:rsidRDefault="000371CF" w:rsidP="00D95A08">
            <w:pPr>
              <w:pStyle w:val="Geenafstand"/>
              <w:rPr>
                <w:lang w:val="es-ES"/>
              </w:rPr>
            </w:pPr>
            <w:r w:rsidRPr="009967B7">
              <w:rPr>
                <w:lang w:val="es-ES"/>
              </w:rPr>
              <w:t>0.1 [-1.3; 1.5]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5810B356" w14:textId="77777777" w:rsidR="000371CF" w:rsidRPr="009967B7" w:rsidRDefault="000371CF" w:rsidP="00D95A08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14:paraId="7E864B05" w14:textId="0CB35D58" w:rsidR="000371CF" w:rsidRPr="009967B7" w:rsidRDefault="000371CF" w:rsidP="00D95A08">
            <w:pPr>
              <w:pStyle w:val="Geenafstand"/>
              <w:rPr>
                <w:lang w:val="es-ES"/>
              </w:rPr>
            </w:pPr>
            <w:r w:rsidRPr="009967B7">
              <w:rPr>
                <w:lang w:val="en-US"/>
              </w:rPr>
              <w:t>0.98</w:t>
            </w:r>
          </w:p>
        </w:tc>
      </w:tr>
      <w:tr w:rsidR="009967B7" w:rsidRPr="009967B7" w14:paraId="5415F4FB" w14:textId="00F8EC4A" w:rsidTr="00D31238">
        <w:trPr>
          <w:trHeight w:val="436"/>
        </w:trPr>
        <w:tc>
          <w:tcPr>
            <w:tcW w:w="2196" w:type="dxa"/>
            <w:tcBorders>
              <w:top w:val="nil"/>
              <w:bottom w:val="single" w:sz="6" w:space="0" w:color="auto"/>
            </w:tcBorders>
            <w:vAlign w:val="center"/>
          </w:tcPr>
          <w:p w14:paraId="7C36C35C" w14:textId="77777777" w:rsidR="000371CF" w:rsidRPr="009967B7" w:rsidRDefault="000371CF" w:rsidP="00D95A08">
            <w:pPr>
              <w:pStyle w:val="Geenafstand"/>
              <w:rPr>
                <w:lang w:val="es-ES"/>
              </w:rPr>
            </w:pPr>
            <w:r w:rsidRPr="009967B7">
              <w:rPr>
                <w:lang w:val="es-ES"/>
              </w:rPr>
              <w:t>Abdominal aorta</w:t>
            </w:r>
          </w:p>
        </w:tc>
        <w:tc>
          <w:tcPr>
            <w:tcW w:w="1406" w:type="dxa"/>
            <w:tcBorders>
              <w:top w:val="nil"/>
              <w:bottom w:val="single" w:sz="6" w:space="0" w:color="auto"/>
            </w:tcBorders>
            <w:vAlign w:val="center"/>
          </w:tcPr>
          <w:p w14:paraId="5BF1A21F" w14:textId="77777777" w:rsidR="000371CF" w:rsidRPr="009967B7" w:rsidRDefault="000371CF" w:rsidP="00D95A08">
            <w:pPr>
              <w:pStyle w:val="Geenafstand"/>
              <w:rPr>
                <w:lang w:val="en-US"/>
              </w:rPr>
            </w:pPr>
            <w:r w:rsidRPr="009967B7">
              <w:rPr>
                <w:lang w:val="es-ES"/>
              </w:rPr>
              <w:t>18.2 ± 3</w:t>
            </w:r>
            <w:r w:rsidRPr="009967B7">
              <w:rPr>
                <w:lang w:val="en-US"/>
              </w:rPr>
              <w:t>.7</w:t>
            </w:r>
          </w:p>
        </w:tc>
        <w:tc>
          <w:tcPr>
            <w:tcW w:w="1330" w:type="dxa"/>
            <w:tcBorders>
              <w:top w:val="nil"/>
              <w:bottom w:val="single" w:sz="6" w:space="0" w:color="auto"/>
            </w:tcBorders>
            <w:vAlign w:val="center"/>
          </w:tcPr>
          <w:p w14:paraId="5FE56949" w14:textId="77777777" w:rsidR="000371CF" w:rsidRPr="009967B7" w:rsidRDefault="000371CF" w:rsidP="00D95A08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18.1 ± 3.8</w:t>
            </w:r>
          </w:p>
        </w:tc>
        <w:tc>
          <w:tcPr>
            <w:tcW w:w="282" w:type="dxa"/>
            <w:tcBorders>
              <w:top w:val="nil"/>
              <w:bottom w:val="single" w:sz="6" w:space="0" w:color="auto"/>
            </w:tcBorders>
          </w:tcPr>
          <w:p w14:paraId="3B174AEC" w14:textId="77777777" w:rsidR="000371CF" w:rsidRPr="009967B7" w:rsidRDefault="000371CF" w:rsidP="00D95A08">
            <w:pPr>
              <w:pStyle w:val="Geenafstand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auto"/>
            </w:tcBorders>
            <w:vAlign w:val="center"/>
          </w:tcPr>
          <w:p w14:paraId="17679736" w14:textId="33255AC0" w:rsidR="000371CF" w:rsidRPr="009967B7" w:rsidRDefault="000371CF" w:rsidP="00D95A08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-0.1 [-1.7; 1.6]</w:t>
            </w:r>
          </w:p>
        </w:tc>
        <w:tc>
          <w:tcPr>
            <w:tcW w:w="244" w:type="dxa"/>
            <w:tcBorders>
              <w:top w:val="nil"/>
              <w:bottom w:val="single" w:sz="6" w:space="0" w:color="auto"/>
            </w:tcBorders>
          </w:tcPr>
          <w:p w14:paraId="4E982A52" w14:textId="77777777" w:rsidR="000371CF" w:rsidRPr="009967B7" w:rsidRDefault="000371CF" w:rsidP="00D95A08">
            <w:pPr>
              <w:pStyle w:val="Geenafstand"/>
              <w:rPr>
                <w:lang w:val="en-US"/>
              </w:rPr>
            </w:pPr>
          </w:p>
        </w:tc>
        <w:tc>
          <w:tcPr>
            <w:tcW w:w="607" w:type="dxa"/>
            <w:tcBorders>
              <w:top w:val="nil"/>
              <w:bottom w:val="single" w:sz="6" w:space="0" w:color="auto"/>
            </w:tcBorders>
            <w:vAlign w:val="center"/>
          </w:tcPr>
          <w:p w14:paraId="688D94E4" w14:textId="13BCD731" w:rsidR="000371CF" w:rsidRPr="009967B7" w:rsidRDefault="000371CF" w:rsidP="00D95A08">
            <w:pPr>
              <w:pStyle w:val="Geenafstand"/>
              <w:rPr>
                <w:lang w:val="en-US"/>
              </w:rPr>
            </w:pPr>
            <w:r w:rsidRPr="009967B7">
              <w:rPr>
                <w:lang w:val="en-US"/>
              </w:rPr>
              <w:t>0.98</w:t>
            </w:r>
          </w:p>
        </w:tc>
      </w:tr>
    </w:tbl>
    <w:p w14:paraId="69641A92" w14:textId="77777777" w:rsidR="00B914E7" w:rsidRPr="009967B7" w:rsidRDefault="00B914E7" w:rsidP="00B914E7">
      <w:pPr>
        <w:pStyle w:val="Geenafstand"/>
        <w:rPr>
          <w:rStyle w:val="TitelChar"/>
          <w:rFonts w:asciiTheme="minorHAnsi" w:eastAsiaTheme="minorHAnsi" w:hAnsiTheme="minorHAnsi" w:cstheme="minorBidi"/>
          <w:bCs/>
          <w:color w:val="auto"/>
          <w:spacing w:val="0"/>
          <w:kern w:val="0"/>
          <w:sz w:val="24"/>
          <w:szCs w:val="24"/>
          <w:lang w:val="en-US"/>
        </w:rPr>
      </w:pPr>
    </w:p>
    <w:p w14:paraId="405C47A1" w14:textId="7C9B598E" w:rsidR="00B914E7" w:rsidRPr="009967B7" w:rsidRDefault="00B914E7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6EC7AA33" w14:textId="04BEDB4B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28EF729C" w14:textId="050CA484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51100743" w14:textId="6EF36EBA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0BEBCA2A" w14:textId="6FB752A5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66EA7648" w14:textId="4BC88930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6743D8E4" w14:textId="30E49698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4C72110C" w14:textId="4F04CC4E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061EA91A" w14:textId="6149F8F9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6DE160F0" w14:textId="7A50DA62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0AD6E3E8" w14:textId="70F1E9F5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0BA9626E" w14:textId="7C31C457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1C462828" w14:textId="4A7F4565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0F961CBF" w14:textId="0CD971D4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0CF08C77" w14:textId="0349586C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2FD1DAA3" w14:textId="77777777" w:rsidR="00CC58CD" w:rsidRPr="009967B7" w:rsidRDefault="00CC58CD" w:rsidP="00B914E7">
      <w:pPr>
        <w:pStyle w:val="Geenafstand"/>
        <w:rPr>
          <w:rStyle w:val="TitelChar"/>
          <w:color w:val="auto"/>
          <w:sz w:val="24"/>
          <w:szCs w:val="24"/>
        </w:rPr>
      </w:pPr>
    </w:p>
    <w:p w14:paraId="12FA986A" w14:textId="759B55A7" w:rsidR="00D31238" w:rsidRDefault="00D31238" w:rsidP="009967B7">
      <w:pPr>
        <w:pStyle w:val="Geenafstand"/>
        <w:rPr>
          <w:b/>
          <w:bCs/>
          <w:sz w:val="18"/>
          <w:szCs w:val="18"/>
          <w:lang w:val="en-GB"/>
        </w:rPr>
      </w:pPr>
      <w:r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  <w:tab/>
      </w:r>
    </w:p>
    <w:p w14:paraId="4951A279" w14:textId="0236FFA9" w:rsidR="009967B7" w:rsidRPr="009967B7" w:rsidRDefault="009967B7" w:rsidP="009967B7">
      <w:pPr>
        <w:pStyle w:val="Geenafstand"/>
        <w:rPr>
          <w:b/>
          <w:bCs/>
          <w:sz w:val="18"/>
          <w:szCs w:val="18"/>
          <w:lang w:val="en-GB"/>
        </w:rPr>
      </w:pPr>
      <w:r w:rsidRPr="009967B7">
        <w:rPr>
          <w:b/>
          <w:bCs/>
          <w:sz w:val="18"/>
          <w:szCs w:val="18"/>
          <w:lang w:val="en-GB"/>
        </w:rPr>
        <w:t>Mean diameter per landmark for both sequences, the difference and the intraclass correlation coefficient.</w:t>
      </w:r>
      <w:r w:rsidRPr="009967B7">
        <w:rPr>
          <w:b/>
          <w:bCs/>
          <w:sz w:val="18"/>
          <w:szCs w:val="18"/>
          <w:lang w:val="en-GB"/>
        </w:rPr>
        <w:br/>
      </w:r>
    </w:p>
    <w:p w14:paraId="5BD2E408" w14:textId="7EE8C5A8" w:rsidR="009967B7" w:rsidRPr="009967B7" w:rsidRDefault="009967B7" w:rsidP="009967B7">
      <w:pPr>
        <w:pStyle w:val="Geenafstand"/>
        <w:rPr>
          <w:b/>
          <w:bCs/>
          <w:sz w:val="18"/>
          <w:szCs w:val="18"/>
          <w:lang w:val="en-GB"/>
        </w:rPr>
      </w:pPr>
      <w:r w:rsidRPr="009967B7">
        <w:rPr>
          <w:b/>
          <w:bCs/>
          <w:sz w:val="18"/>
          <w:szCs w:val="18"/>
          <w:vertAlign w:val="superscript"/>
          <w:lang w:val="en-US"/>
        </w:rPr>
        <w:t>†</w:t>
      </w:r>
      <w:r w:rsidRPr="009967B7">
        <w:rPr>
          <w:b/>
          <w:bCs/>
          <w:sz w:val="18"/>
          <w:szCs w:val="18"/>
          <w:lang w:val="en-GB"/>
        </w:rPr>
        <w:t>Data presented as mean ± standard deviation (mm)</w:t>
      </w:r>
    </w:p>
    <w:p w14:paraId="1C880D87" w14:textId="77777777" w:rsidR="009967B7" w:rsidRPr="009967B7" w:rsidRDefault="009967B7" w:rsidP="009967B7">
      <w:pPr>
        <w:pStyle w:val="Geenafstand"/>
        <w:rPr>
          <w:b/>
          <w:bCs/>
          <w:sz w:val="18"/>
          <w:szCs w:val="18"/>
          <w:lang w:val="en-GB"/>
        </w:rPr>
      </w:pPr>
      <w:r w:rsidRPr="009967B7">
        <w:rPr>
          <w:rFonts w:cstheme="minorHAnsi"/>
          <w:b/>
          <w:bCs/>
          <w:sz w:val="18"/>
          <w:szCs w:val="18"/>
          <w:vertAlign w:val="superscript"/>
          <w:lang w:val="en-US"/>
        </w:rPr>
        <w:t>*</w:t>
      </w:r>
      <w:r w:rsidRPr="009967B7">
        <w:rPr>
          <w:rFonts w:cstheme="minorHAnsi"/>
          <w:b/>
          <w:bCs/>
          <w:iCs/>
          <w:sz w:val="18"/>
          <w:szCs w:val="18"/>
          <w:lang w:val="en-GB"/>
        </w:rPr>
        <w:t>Difference presented as mean difference [limits of agreement] (mm)</w:t>
      </w:r>
      <w:r w:rsidRPr="009967B7">
        <w:rPr>
          <w:b/>
          <w:bCs/>
          <w:sz w:val="18"/>
          <w:szCs w:val="18"/>
          <w:lang w:val="en-GB"/>
        </w:rPr>
        <w:br/>
      </w:r>
    </w:p>
    <w:p w14:paraId="2A7BBB14" w14:textId="048291DB" w:rsidR="009967B7" w:rsidRPr="009967B7" w:rsidRDefault="009967B7" w:rsidP="009967B7">
      <w:pPr>
        <w:spacing w:line="240" w:lineRule="auto"/>
        <w:rPr>
          <w:b/>
          <w:bCs/>
          <w:sz w:val="18"/>
          <w:szCs w:val="18"/>
          <w:lang w:val="en-GB"/>
        </w:rPr>
      </w:pPr>
      <w:r w:rsidRPr="009967B7">
        <w:rPr>
          <w:b/>
          <w:bCs/>
          <w:i/>
          <w:sz w:val="18"/>
          <w:szCs w:val="18"/>
          <w:lang w:val="en-GB"/>
        </w:rPr>
        <w:t xml:space="preserve">CE </w:t>
      </w:r>
      <w:r w:rsidRPr="009967B7">
        <w:rPr>
          <w:b/>
          <w:bCs/>
          <w:sz w:val="18"/>
          <w:szCs w:val="18"/>
          <w:lang w:val="en-GB"/>
        </w:rPr>
        <w:t xml:space="preserve">contrast-enhanced; </w:t>
      </w:r>
      <w:r w:rsidRPr="009967B7">
        <w:rPr>
          <w:b/>
          <w:bCs/>
          <w:i/>
          <w:iCs/>
          <w:sz w:val="18"/>
          <w:szCs w:val="18"/>
          <w:lang w:val="en-GB"/>
        </w:rPr>
        <w:t>LoA</w:t>
      </w:r>
      <w:r w:rsidRPr="009967B7">
        <w:rPr>
          <w:b/>
          <w:bCs/>
          <w:sz w:val="18"/>
          <w:szCs w:val="18"/>
          <w:lang w:val="en-GB"/>
        </w:rPr>
        <w:t xml:space="preserve"> limits of agreement; </w:t>
      </w:r>
      <w:r w:rsidRPr="009967B7">
        <w:rPr>
          <w:b/>
          <w:bCs/>
          <w:i/>
          <w:sz w:val="18"/>
          <w:szCs w:val="18"/>
          <w:lang w:val="en-US"/>
        </w:rPr>
        <w:t xml:space="preserve">MRA </w:t>
      </w:r>
      <w:r w:rsidRPr="009967B7">
        <w:rPr>
          <w:b/>
          <w:bCs/>
          <w:sz w:val="18"/>
          <w:szCs w:val="18"/>
          <w:lang w:val="en-US"/>
        </w:rPr>
        <w:t>magnetic resonance angiography;</w:t>
      </w:r>
      <w:r w:rsidRPr="009967B7">
        <w:rPr>
          <w:b/>
          <w:bCs/>
          <w:i/>
          <w:sz w:val="18"/>
          <w:szCs w:val="18"/>
          <w:lang w:val="en-US"/>
        </w:rPr>
        <w:t xml:space="preserve"> SSFP </w:t>
      </w:r>
      <w:r w:rsidRPr="009967B7">
        <w:rPr>
          <w:b/>
          <w:bCs/>
          <w:sz w:val="18"/>
          <w:szCs w:val="18"/>
          <w:lang w:val="en-US"/>
        </w:rPr>
        <w:t xml:space="preserve">steady-state free precession; </w:t>
      </w:r>
      <w:r w:rsidRPr="009967B7">
        <w:rPr>
          <w:b/>
          <w:bCs/>
          <w:i/>
          <w:sz w:val="18"/>
          <w:szCs w:val="18"/>
          <w:lang w:val="en-US"/>
        </w:rPr>
        <w:t xml:space="preserve">ICC </w:t>
      </w:r>
      <w:r w:rsidRPr="009967B7">
        <w:rPr>
          <w:b/>
          <w:bCs/>
          <w:sz w:val="18"/>
          <w:szCs w:val="18"/>
          <w:lang w:val="en-US"/>
        </w:rPr>
        <w:t>intraclass correlation coefficient.</w:t>
      </w:r>
    </w:p>
    <w:p w14:paraId="42F3C2E1" w14:textId="77777777" w:rsidR="009967B7" w:rsidRPr="009967B7" w:rsidRDefault="009967B7" w:rsidP="009967B7">
      <w:pPr>
        <w:pStyle w:val="Geenafstand"/>
        <w:rPr>
          <w:sz w:val="24"/>
          <w:szCs w:val="24"/>
          <w:lang w:val="en-GB"/>
        </w:rPr>
      </w:pPr>
    </w:p>
    <w:p w14:paraId="2F34B73E" w14:textId="77777777" w:rsidR="00B914E7" w:rsidRPr="009967B7" w:rsidRDefault="00B914E7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14669181" w14:textId="77777777" w:rsidR="00B914E7" w:rsidRPr="009967B7" w:rsidRDefault="00B914E7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3DE8BC62" w14:textId="77777777" w:rsidR="00B914E7" w:rsidRPr="009967B7" w:rsidRDefault="00B914E7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248FD01F" w14:textId="77777777" w:rsidR="00B914E7" w:rsidRPr="009967B7" w:rsidRDefault="00B914E7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3C300AE8" w14:textId="77777777" w:rsidR="00B914E7" w:rsidRPr="009967B7" w:rsidRDefault="00B914E7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1A1F315D" w14:textId="60CA8E08" w:rsidR="00B914E7" w:rsidRPr="009967B7" w:rsidRDefault="00B914E7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55B7BCD2" w14:textId="04D39E0F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456349CA" w14:textId="0D12A7E6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1FBFCA0B" w14:textId="1BB6D746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506D52A6" w14:textId="0D088951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1B88A831" w14:textId="64A92961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48A55650" w14:textId="09ED205F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68FF7FCD" w14:textId="2CD6CA85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47240B23" w14:textId="4CCC07BE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4A51EF8C" w14:textId="445F9A70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22B48698" w14:textId="1EE967DD" w:rsidR="009C5442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7B423B55" w14:textId="77777777" w:rsidR="000655EF" w:rsidRPr="009967B7" w:rsidRDefault="000655EF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3BD4E635" w14:textId="7007209B" w:rsidR="009C5442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5C7AE047" w14:textId="77777777" w:rsidR="000655EF" w:rsidRPr="009967B7" w:rsidRDefault="000655EF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49077E48" w14:textId="3F8475AF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16505BD3" w14:textId="7C0FCCB9" w:rsidR="009967B7" w:rsidRPr="000655EF" w:rsidRDefault="009967B7" w:rsidP="009967B7">
      <w:pPr>
        <w:pStyle w:val="Bijschrift"/>
        <w:keepNext/>
        <w:rPr>
          <w:color w:val="auto"/>
          <w:lang w:val="en-GB"/>
        </w:rPr>
      </w:pPr>
      <w:r w:rsidRPr="000655EF">
        <w:rPr>
          <w:color w:val="auto"/>
          <w:lang w:val="en-GB"/>
        </w:rPr>
        <w:lastRenderedPageBreak/>
        <w:t xml:space="preserve">Supplementary Table </w:t>
      </w:r>
      <w:r w:rsidRPr="000655EF">
        <w:rPr>
          <w:color w:val="auto"/>
        </w:rPr>
        <w:t xml:space="preserve">3 </w:t>
      </w:r>
      <w:r w:rsidRPr="000655EF">
        <w:rPr>
          <w:color w:val="auto"/>
          <w:lang w:val="en-GB"/>
        </w:rPr>
        <w:t>Intra- and inter-observer variability</w:t>
      </w:r>
    </w:p>
    <w:p w14:paraId="57A39922" w14:textId="3A369008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413DB9A3" w14:textId="77777777" w:rsidR="009967B7" w:rsidRPr="000655EF" w:rsidRDefault="009967B7" w:rsidP="009967B7">
      <w:pPr>
        <w:pStyle w:val="Geenafstand"/>
        <w:rPr>
          <w:b/>
          <w:bCs/>
          <w:iCs/>
          <w:sz w:val="18"/>
          <w:szCs w:val="18"/>
          <w:lang w:val="en-GB"/>
        </w:rPr>
      </w:pPr>
      <w:r w:rsidRPr="000655EF">
        <w:rPr>
          <w:b/>
          <w:bCs/>
          <w:sz w:val="18"/>
          <w:szCs w:val="18"/>
          <w:vertAlign w:val="superscript"/>
          <w:lang w:val="en-US"/>
        </w:rPr>
        <w:t>†</w:t>
      </w:r>
      <w:r w:rsidRPr="000655EF">
        <w:rPr>
          <w:b/>
          <w:bCs/>
          <w:iCs/>
          <w:sz w:val="18"/>
          <w:szCs w:val="18"/>
          <w:lang w:val="en-GB"/>
        </w:rPr>
        <w:t xml:space="preserve">Data presented as the range of variability (mm) between reproducibility measurements and the maximum disagreement percentage (%). </w:t>
      </w:r>
    </w:p>
    <w:p w14:paraId="78076BDE" w14:textId="77777777" w:rsidR="009967B7" w:rsidRPr="000655EF" w:rsidRDefault="009967B7" w:rsidP="009967B7">
      <w:pPr>
        <w:pStyle w:val="Geenafstand"/>
        <w:rPr>
          <w:b/>
          <w:bCs/>
          <w:iCs/>
          <w:sz w:val="18"/>
          <w:szCs w:val="18"/>
          <w:lang w:val="en-GB"/>
        </w:rPr>
      </w:pPr>
    </w:p>
    <w:p w14:paraId="4FC212B1" w14:textId="5ACFED52" w:rsidR="009967B7" w:rsidRPr="000655EF" w:rsidRDefault="009967B7" w:rsidP="009967B7">
      <w:pPr>
        <w:pStyle w:val="Geenafstand"/>
        <w:rPr>
          <w:b/>
          <w:bCs/>
          <w:sz w:val="18"/>
          <w:szCs w:val="18"/>
          <w:lang w:val="en-US"/>
        </w:rPr>
      </w:pPr>
      <w:r w:rsidRPr="000655EF">
        <w:rPr>
          <w:b/>
          <w:bCs/>
          <w:i/>
          <w:iCs/>
          <w:sz w:val="18"/>
          <w:szCs w:val="18"/>
          <w:lang w:val="en-GB"/>
        </w:rPr>
        <w:t xml:space="preserve">CE </w:t>
      </w:r>
      <w:r w:rsidRPr="000655EF">
        <w:rPr>
          <w:b/>
          <w:bCs/>
          <w:sz w:val="18"/>
          <w:szCs w:val="18"/>
          <w:lang w:val="en-GB"/>
        </w:rPr>
        <w:t xml:space="preserve">contrast-enhanced; </w:t>
      </w:r>
      <w:r w:rsidRPr="000655EF">
        <w:rPr>
          <w:b/>
          <w:bCs/>
          <w:i/>
          <w:iCs/>
          <w:sz w:val="18"/>
          <w:szCs w:val="18"/>
          <w:lang w:val="en-US"/>
        </w:rPr>
        <w:t xml:space="preserve">MRA </w:t>
      </w:r>
      <w:r w:rsidRPr="000655EF">
        <w:rPr>
          <w:b/>
          <w:bCs/>
          <w:sz w:val="18"/>
          <w:szCs w:val="18"/>
          <w:lang w:val="en-US"/>
        </w:rPr>
        <w:t>magnetic resonance angiography;</w:t>
      </w:r>
      <w:r w:rsidRPr="000655EF">
        <w:rPr>
          <w:b/>
          <w:bCs/>
          <w:i/>
          <w:iCs/>
          <w:sz w:val="18"/>
          <w:szCs w:val="18"/>
          <w:lang w:val="en-US"/>
        </w:rPr>
        <w:t xml:space="preserve"> SSFP </w:t>
      </w:r>
      <w:r w:rsidRPr="000655EF">
        <w:rPr>
          <w:b/>
          <w:bCs/>
          <w:sz w:val="18"/>
          <w:szCs w:val="18"/>
          <w:lang w:val="en-US"/>
        </w:rPr>
        <w:t>steady state free precession</w:t>
      </w:r>
    </w:p>
    <w:p w14:paraId="5A406536" w14:textId="7377AE71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516C1F7C" w14:textId="3C00AA65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0095B013" w14:textId="0990720B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0573B8C3" w14:textId="4383C8A0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31B471AA" w14:textId="72794625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3184ECE8" w14:textId="538156AC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23E6EEE2" w14:textId="6D672B3E" w:rsidR="009C5442" w:rsidRPr="009967B7" w:rsidRDefault="009C5442" w:rsidP="00B914E7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US"/>
        </w:rPr>
      </w:pPr>
    </w:p>
    <w:p w14:paraId="7A50263D" w14:textId="6FD7FDF9" w:rsidR="00B914E7" w:rsidRPr="009967B7" w:rsidRDefault="00B914E7" w:rsidP="00CF7A5B">
      <w:pPr>
        <w:rPr>
          <w:rFonts w:cstheme="minorHAnsi"/>
          <w:b/>
          <w:sz w:val="40"/>
          <w:szCs w:val="40"/>
          <w:lang w:val="en-GB"/>
        </w:rPr>
      </w:pPr>
    </w:p>
    <w:tbl>
      <w:tblPr>
        <w:tblStyle w:val="Tabelraster"/>
        <w:tblpPr w:leftFromText="141" w:rightFromText="141" w:vertAnchor="page" w:horzAnchor="margin" w:tblpY="1904"/>
        <w:tblW w:w="8789" w:type="dxa"/>
        <w:tblLayout w:type="fixed"/>
        <w:tblLook w:val="04A0" w:firstRow="1" w:lastRow="0" w:firstColumn="1" w:lastColumn="0" w:noHBand="0" w:noVBand="1"/>
      </w:tblPr>
      <w:tblGrid>
        <w:gridCol w:w="2127"/>
        <w:gridCol w:w="1525"/>
        <w:gridCol w:w="1593"/>
        <w:gridCol w:w="284"/>
        <w:gridCol w:w="1701"/>
        <w:gridCol w:w="1559"/>
      </w:tblGrid>
      <w:tr w:rsidR="009967B7" w:rsidRPr="009967B7" w14:paraId="422DEBE5" w14:textId="77777777" w:rsidTr="0092500C">
        <w:trPr>
          <w:trHeight w:val="442"/>
        </w:trPr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F4AF1F1" w14:textId="77777777" w:rsidR="00146719" w:rsidRPr="009967B7" w:rsidRDefault="00146719" w:rsidP="009175EF">
            <w:pPr>
              <w:pStyle w:val="Geenafstand"/>
              <w:rPr>
                <w:b/>
                <w:bCs/>
                <w:lang w:val="en-GB"/>
              </w:rPr>
            </w:pPr>
            <w:r w:rsidRPr="009967B7">
              <w:rPr>
                <w:b/>
                <w:bCs/>
                <w:lang w:val="en-GB"/>
              </w:rPr>
              <w:t>Landmark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08835" w14:textId="012477AA" w:rsidR="00146719" w:rsidRPr="009967B7" w:rsidRDefault="00146719" w:rsidP="009175EF">
            <w:pPr>
              <w:pStyle w:val="Geenafstand"/>
              <w:rPr>
                <w:b/>
                <w:bCs/>
              </w:rPr>
            </w:pPr>
            <w:r w:rsidRPr="009967B7">
              <w:rPr>
                <w:b/>
                <w:bCs/>
              </w:rPr>
              <w:t>Intra-observer variability</w:t>
            </w:r>
            <w:r w:rsidRPr="009967B7">
              <w:rPr>
                <w:rFonts w:cstheme="minorHAnsi"/>
                <w:b/>
                <w:bCs/>
                <w:vertAlign w:val="superscript"/>
                <w:lang w:val="en-US"/>
              </w:rPr>
              <w:t>†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E65B69" w14:textId="77777777" w:rsidR="00146719" w:rsidRPr="009967B7" w:rsidRDefault="00146719" w:rsidP="009175EF">
            <w:pPr>
              <w:pStyle w:val="Geenafstand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D6BD0" w14:textId="3A9AB471" w:rsidR="00146719" w:rsidRPr="009967B7" w:rsidRDefault="00146719" w:rsidP="009175EF">
            <w:pPr>
              <w:pStyle w:val="Geenafstand"/>
              <w:rPr>
                <w:b/>
                <w:bCs/>
              </w:rPr>
            </w:pPr>
            <w:r w:rsidRPr="009967B7">
              <w:rPr>
                <w:b/>
                <w:bCs/>
              </w:rPr>
              <w:t>Inter-observer variability</w:t>
            </w:r>
            <w:r w:rsidRPr="009967B7">
              <w:rPr>
                <w:rFonts w:cstheme="minorHAnsi"/>
                <w:b/>
                <w:bCs/>
                <w:vertAlign w:val="superscript"/>
                <w:lang w:val="en-US"/>
              </w:rPr>
              <w:t>†</w:t>
            </w:r>
          </w:p>
        </w:tc>
      </w:tr>
      <w:tr w:rsidR="009967B7" w:rsidRPr="009967B7" w14:paraId="7E25AE0E" w14:textId="77777777" w:rsidTr="0092500C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F883B" w14:textId="77777777" w:rsidR="00146719" w:rsidRPr="009967B7" w:rsidRDefault="00146719" w:rsidP="009175EF">
            <w:pPr>
              <w:pStyle w:val="Geenafstand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A29AF" w14:textId="77777777" w:rsidR="00146719" w:rsidRPr="009967B7" w:rsidRDefault="00146719" w:rsidP="009175EF">
            <w:pPr>
              <w:pStyle w:val="Geenafstand"/>
              <w:rPr>
                <w:b/>
                <w:bCs/>
              </w:rPr>
            </w:pPr>
            <w:r w:rsidRPr="009967B7">
              <w:rPr>
                <w:b/>
                <w:bCs/>
              </w:rPr>
              <w:t>CE-MRA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DE7EE" w14:textId="77777777" w:rsidR="00146719" w:rsidRPr="009967B7" w:rsidRDefault="00146719" w:rsidP="009175EF">
            <w:pPr>
              <w:pStyle w:val="Geenafstand"/>
              <w:rPr>
                <w:b/>
                <w:bCs/>
              </w:rPr>
            </w:pPr>
            <w:r w:rsidRPr="009967B7">
              <w:rPr>
                <w:b/>
                <w:bCs/>
              </w:rPr>
              <w:t>SSFP-MRA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768A2" w14:textId="77777777" w:rsidR="00146719" w:rsidRPr="009967B7" w:rsidRDefault="00146719" w:rsidP="009175EF">
            <w:pPr>
              <w:pStyle w:val="Geenafstand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5DA27" w14:textId="77777777" w:rsidR="00146719" w:rsidRPr="009967B7" w:rsidRDefault="00146719" w:rsidP="009175EF">
            <w:pPr>
              <w:pStyle w:val="Geenafstand"/>
              <w:rPr>
                <w:b/>
                <w:bCs/>
              </w:rPr>
            </w:pPr>
            <w:r w:rsidRPr="009967B7">
              <w:rPr>
                <w:b/>
                <w:bCs/>
              </w:rPr>
              <w:t>CE-MRA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EF911" w14:textId="77777777" w:rsidR="00146719" w:rsidRPr="009967B7" w:rsidRDefault="00146719" w:rsidP="009175EF">
            <w:pPr>
              <w:pStyle w:val="Geenafstand"/>
              <w:rPr>
                <w:b/>
                <w:bCs/>
              </w:rPr>
            </w:pPr>
            <w:r w:rsidRPr="009967B7">
              <w:rPr>
                <w:b/>
                <w:bCs/>
              </w:rPr>
              <w:t>SSFP-MRA</w:t>
            </w:r>
          </w:p>
        </w:tc>
      </w:tr>
      <w:tr w:rsidR="009967B7" w:rsidRPr="009967B7" w14:paraId="2BB09CB0" w14:textId="77777777" w:rsidTr="0092500C">
        <w:trPr>
          <w:trHeight w:val="442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9347B9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  <w:r w:rsidRPr="009967B7">
              <w:rPr>
                <w:rFonts w:cstheme="minorHAnsi"/>
                <w:lang w:val="en-US"/>
              </w:rPr>
              <w:t>Sinus of Valsalva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348C4" w14:textId="363690E0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1.9 – 2.3; 6%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B68C2" w14:textId="194D9B7C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1.1 – 1.0; 3%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EC758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27840" w14:textId="06750712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2.1 – 2.4; 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2BFDB3" w14:textId="796CC487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1.8 – 1.1; 6%</w:t>
            </w:r>
          </w:p>
        </w:tc>
      </w:tr>
      <w:tr w:rsidR="009967B7" w:rsidRPr="009967B7" w14:paraId="193E729F" w14:textId="77777777" w:rsidTr="0092500C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CB8E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  <w:r w:rsidRPr="009967B7">
              <w:rPr>
                <w:rFonts w:cstheme="minorHAnsi"/>
                <w:lang w:val="en-US"/>
              </w:rPr>
              <w:t>Sinotubular junction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8C23A" w14:textId="4149A4BB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1.4 – 0.8; 5%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1B63" w14:textId="3189CDC1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0.5 – 0.9; 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78985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38403" w14:textId="6BC841C0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1.8 – 2.3; 10%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C58FA" w14:textId="0BFB1057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1.1 – 0.9; 5%</w:t>
            </w:r>
          </w:p>
        </w:tc>
      </w:tr>
      <w:tr w:rsidR="009967B7" w:rsidRPr="009967B7" w14:paraId="37574F5D" w14:textId="77777777" w:rsidTr="0092500C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04B9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  <w:r w:rsidRPr="009967B7">
              <w:rPr>
                <w:rFonts w:cstheme="minorHAnsi"/>
                <w:lang w:val="en-US"/>
              </w:rPr>
              <w:t>Mid-ascending aorta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1E135" w14:textId="08A411DA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0.4 – 1.3; 5%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98A57" w14:textId="414F2681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0.7 – 1.3; 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2D0E84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28870" w14:textId="206743E9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1.1 – 1.0; 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90A27" w14:textId="79E0E974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0.8 – 1.3; 5%</w:t>
            </w:r>
          </w:p>
        </w:tc>
      </w:tr>
      <w:tr w:rsidR="009967B7" w:rsidRPr="009967B7" w14:paraId="7C3ACE56" w14:textId="77777777" w:rsidTr="0092500C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C6A6B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  <w:r w:rsidRPr="009967B7">
              <w:rPr>
                <w:rFonts w:cstheme="minorHAnsi"/>
                <w:lang w:val="en-US"/>
              </w:rPr>
              <w:t>Proximal aortic arch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B5739" w14:textId="693279D9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0.6 – 0.7; 3%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0312" w14:textId="49E87934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0.4 – 1.2; 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B88975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FEA8" w14:textId="3808F02D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0.9 – 0.9; 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52DD" w14:textId="0353A74B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0.8 – 0.6; 3%</w:t>
            </w:r>
          </w:p>
        </w:tc>
      </w:tr>
      <w:tr w:rsidR="009967B7" w:rsidRPr="009967B7" w14:paraId="7021FF48" w14:textId="77777777" w:rsidTr="0092500C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A25D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  <w:r w:rsidRPr="009967B7">
              <w:rPr>
                <w:rFonts w:cstheme="minorHAnsi"/>
                <w:lang w:val="en-US"/>
              </w:rPr>
              <w:t>Mid-aortic arch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C3FE" w14:textId="5DE70CFA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0.8 – 0.9; 4%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CB01" w14:textId="73DC1595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0.5 – 1.4; 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B2B636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0F15" w14:textId="7F56095E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1.9 – 0.9; 10%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6DD2" w14:textId="7CB11769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1.2 – 1.3; 6%</w:t>
            </w:r>
          </w:p>
        </w:tc>
      </w:tr>
      <w:tr w:rsidR="009967B7" w:rsidRPr="009967B7" w14:paraId="05A69D57" w14:textId="77777777" w:rsidTr="0092500C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5FDF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s-ES"/>
              </w:rPr>
            </w:pPr>
            <w:r w:rsidRPr="009967B7">
              <w:rPr>
                <w:rFonts w:cstheme="minorHAnsi"/>
                <w:lang w:val="es-ES"/>
              </w:rPr>
              <w:t>Proximal desc. aorta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CB72" w14:textId="3857CCA2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s-ES"/>
              </w:rPr>
              <w:t>1.4 – 1.1; 6%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C1A9" w14:textId="52F1186B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s-ES"/>
              </w:rPr>
              <w:t>0.6 – 0.6; 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843CA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D7C97" w14:textId="301F552B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s-ES"/>
              </w:rPr>
              <w:t>1.3 – 0.7; 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18F62" w14:textId="1D5CA07F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1.3 – 1.1; 6%</w:t>
            </w:r>
          </w:p>
        </w:tc>
      </w:tr>
      <w:tr w:rsidR="009967B7" w:rsidRPr="009967B7" w14:paraId="308D2B19" w14:textId="77777777" w:rsidTr="0092500C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B419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s-ES"/>
              </w:rPr>
            </w:pPr>
            <w:r w:rsidRPr="009967B7">
              <w:rPr>
                <w:rFonts w:cstheme="minorHAnsi"/>
                <w:lang w:val="es-ES"/>
              </w:rPr>
              <w:t>Mid-desc. aorta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00456" w14:textId="3D0622F0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s-ES"/>
              </w:rPr>
              <w:t>0.4 – 1.2; 9%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4E9A" w14:textId="46F08A5D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s-ES"/>
              </w:rPr>
              <w:t>0.7 – 1.1; 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5B5158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9048" w14:textId="1F8FCB3A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s-ES"/>
              </w:rPr>
              <w:t>1.4 – 1.0; 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08F9" w14:textId="56B93476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1.4 – 0.6; 6%</w:t>
            </w:r>
          </w:p>
        </w:tc>
      </w:tr>
      <w:tr w:rsidR="009967B7" w:rsidRPr="009967B7" w14:paraId="3D6CB730" w14:textId="77777777" w:rsidTr="0092500C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B347A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  <w:r w:rsidRPr="009967B7">
              <w:rPr>
                <w:rFonts w:cstheme="minorHAnsi"/>
                <w:lang w:val="en-US"/>
              </w:rPr>
              <w:t>Aorta at diaphragm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F05B" w14:textId="0A7834AF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0.4 – 1.2; 8%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9AA33" w14:textId="296859C3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0.5 – 0.8; 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5349E2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3765" w14:textId="08EE30B6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1.2 – 1.4; 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804CB" w14:textId="20F766AD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1.1 – 0.9; 6%</w:t>
            </w:r>
          </w:p>
        </w:tc>
      </w:tr>
      <w:tr w:rsidR="009967B7" w:rsidRPr="009967B7" w14:paraId="602B132B" w14:textId="77777777" w:rsidTr="0092500C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BC854E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  <w:r w:rsidRPr="009967B7">
              <w:rPr>
                <w:rFonts w:cstheme="minorHAnsi"/>
                <w:lang w:val="en-US"/>
              </w:rPr>
              <w:t>Abdominal aorta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52C525" w14:textId="01903820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0.5 – 0.9; 7%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62050B" w14:textId="2C062CA7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0.9 – 0.6; 5%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68405A" w14:textId="77777777" w:rsidR="00146719" w:rsidRPr="009967B7" w:rsidRDefault="00146719" w:rsidP="009175EF">
            <w:pPr>
              <w:pStyle w:val="Geenafstand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0798FDE" w14:textId="68A33D9E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0.9 – 0.7; 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9102F4" w14:textId="155C0605" w:rsidR="00146719" w:rsidRPr="009967B7" w:rsidRDefault="00A26635" w:rsidP="009175EF">
            <w:pPr>
              <w:pStyle w:val="Geenafstand"/>
            </w:pPr>
            <w:r w:rsidRPr="009967B7">
              <w:rPr>
                <w:rFonts w:cstheme="minorHAnsi"/>
                <w:lang w:val="en-US"/>
              </w:rPr>
              <w:t>–</w:t>
            </w:r>
            <w:r>
              <w:rPr>
                <w:rFonts w:cstheme="minorHAnsi"/>
                <w:lang w:val="en-US"/>
              </w:rPr>
              <w:t xml:space="preserve"> </w:t>
            </w:r>
            <w:r w:rsidR="00146719" w:rsidRPr="009967B7">
              <w:rPr>
                <w:rFonts w:cstheme="minorHAnsi"/>
                <w:lang w:val="en-US"/>
              </w:rPr>
              <w:t>1.6 – 1.3; 8%</w:t>
            </w:r>
          </w:p>
        </w:tc>
      </w:tr>
    </w:tbl>
    <w:p w14:paraId="1FB0DC7E" w14:textId="7D055C02" w:rsidR="00CF7A5B" w:rsidRPr="009967B7" w:rsidRDefault="00CF7A5B" w:rsidP="00CF7A5B">
      <w:pPr>
        <w:rPr>
          <w:rFonts w:cstheme="minorHAnsi"/>
          <w:b/>
          <w:sz w:val="40"/>
          <w:szCs w:val="40"/>
          <w:lang w:val="en-GB"/>
        </w:rPr>
      </w:pPr>
    </w:p>
    <w:p w14:paraId="51A7AD9D" w14:textId="7465ABEB" w:rsidR="003C2649" w:rsidRPr="009967B7" w:rsidRDefault="003C2649" w:rsidP="00CF7A5B">
      <w:pPr>
        <w:rPr>
          <w:rFonts w:cstheme="minorHAnsi"/>
          <w:b/>
          <w:sz w:val="40"/>
          <w:szCs w:val="40"/>
          <w:lang w:val="en-GB"/>
        </w:rPr>
      </w:pPr>
    </w:p>
    <w:p w14:paraId="7B8152C0" w14:textId="2B507DAC" w:rsidR="006C4A71" w:rsidRPr="009967B7" w:rsidRDefault="006C4A71" w:rsidP="00CF7A5B">
      <w:pPr>
        <w:rPr>
          <w:rFonts w:cstheme="minorHAnsi"/>
          <w:b/>
          <w:sz w:val="40"/>
          <w:szCs w:val="40"/>
          <w:lang w:val="en-GB"/>
        </w:rPr>
      </w:pPr>
    </w:p>
    <w:p w14:paraId="49F1F4F1" w14:textId="624EAA00" w:rsidR="006C4A71" w:rsidRPr="009967B7" w:rsidRDefault="006C4A71" w:rsidP="00CF7A5B">
      <w:pPr>
        <w:rPr>
          <w:rFonts w:cstheme="minorHAnsi"/>
          <w:b/>
          <w:sz w:val="40"/>
          <w:szCs w:val="40"/>
          <w:lang w:val="en-GB"/>
        </w:rPr>
      </w:pPr>
    </w:p>
    <w:p w14:paraId="7EDCA3C7" w14:textId="71840B11" w:rsidR="006C4A71" w:rsidRPr="009967B7" w:rsidRDefault="006C4A71" w:rsidP="00CF7A5B">
      <w:pPr>
        <w:rPr>
          <w:rFonts w:cstheme="minorHAnsi"/>
          <w:b/>
          <w:sz w:val="40"/>
          <w:szCs w:val="40"/>
          <w:lang w:val="en-GB"/>
        </w:rPr>
      </w:pPr>
    </w:p>
    <w:p w14:paraId="6942A68E" w14:textId="3CFC7BCA" w:rsidR="006C4A71" w:rsidRPr="009967B7" w:rsidRDefault="006C4A71" w:rsidP="00CF7A5B">
      <w:pPr>
        <w:rPr>
          <w:rFonts w:cstheme="minorHAnsi"/>
          <w:b/>
          <w:sz w:val="40"/>
          <w:szCs w:val="40"/>
          <w:lang w:val="en-GB"/>
        </w:rPr>
      </w:pPr>
    </w:p>
    <w:p w14:paraId="5A160040" w14:textId="00C5C25A" w:rsidR="003C2649" w:rsidRPr="009967B7" w:rsidRDefault="006C4A71" w:rsidP="00CF7A5B">
      <w:pPr>
        <w:rPr>
          <w:rFonts w:cstheme="minorHAnsi"/>
          <w:b/>
          <w:sz w:val="40"/>
          <w:szCs w:val="40"/>
          <w:lang w:val="en-GB"/>
        </w:rPr>
      </w:pPr>
      <w:r w:rsidRPr="009967B7">
        <w:rPr>
          <w:rFonts w:cstheme="minorHAnsi"/>
          <w:b/>
          <w:noProof/>
          <w:sz w:val="40"/>
          <w:szCs w:val="40"/>
          <w:lang w:val="en-GB"/>
        </w:rPr>
        <w:lastRenderedPageBreak/>
        <w:drawing>
          <wp:inline distT="0" distB="0" distL="0" distR="0" wp14:anchorId="1D0AF1A6" wp14:editId="50EEB8DD">
            <wp:extent cx="5760720" cy="25044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 MAA MD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7A4F8" w14:textId="30A349D3" w:rsidR="000655EF" w:rsidRPr="000655EF" w:rsidRDefault="006C4A71" w:rsidP="000655EF">
      <w:pPr>
        <w:pStyle w:val="Geenafstand"/>
        <w:rPr>
          <w:b/>
          <w:bCs/>
          <w:sz w:val="18"/>
          <w:szCs w:val="18"/>
          <w:lang w:val="en-US"/>
        </w:rPr>
      </w:pPr>
      <w:r w:rsidRPr="009967B7"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18"/>
          <w:szCs w:val="18"/>
          <w:lang w:val="en-GB"/>
        </w:rPr>
        <w:t>Supplementary Fig. 1</w:t>
      </w:r>
      <w:r w:rsidR="000655EF"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18"/>
          <w:szCs w:val="18"/>
          <w:lang w:val="en-GB"/>
        </w:rPr>
        <w:t xml:space="preserve"> </w:t>
      </w:r>
      <w:r w:rsidR="000655EF" w:rsidRPr="000655EF">
        <w:rPr>
          <w:b/>
          <w:bCs/>
          <w:sz w:val="18"/>
          <w:szCs w:val="18"/>
          <w:lang w:val="en-US"/>
        </w:rPr>
        <w:t>Bland</w:t>
      </w:r>
      <w:r w:rsidR="000655EF">
        <w:rPr>
          <w:b/>
          <w:bCs/>
          <w:sz w:val="18"/>
          <w:szCs w:val="18"/>
          <w:lang w:val="en-US"/>
        </w:rPr>
        <w:t>-</w:t>
      </w:r>
      <w:r w:rsidR="000655EF" w:rsidRPr="000655EF">
        <w:rPr>
          <w:b/>
          <w:bCs/>
          <w:sz w:val="18"/>
          <w:szCs w:val="18"/>
          <w:lang w:val="en-US"/>
        </w:rPr>
        <w:t xml:space="preserve">Altman analysis of the differences between CE-MRA and SSFP-MRA for maximum diameter assessment of the ascending aorta (left) and descending aorta (right). </w:t>
      </w:r>
    </w:p>
    <w:p w14:paraId="31605DB7" w14:textId="77777777" w:rsidR="000655EF" w:rsidRPr="000655EF" w:rsidRDefault="000655EF" w:rsidP="000655EF">
      <w:pPr>
        <w:pStyle w:val="Geenafstand"/>
        <w:rPr>
          <w:b/>
          <w:bCs/>
          <w:sz w:val="18"/>
          <w:szCs w:val="18"/>
          <w:lang w:val="en-US"/>
        </w:rPr>
      </w:pPr>
    </w:p>
    <w:p w14:paraId="58F801FB" w14:textId="583F4B4A" w:rsidR="000655EF" w:rsidRPr="000655EF" w:rsidRDefault="000655EF" w:rsidP="000655EF">
      <w:pPr>
        <w:pStyle w:val="Geenafstand"/>
        <w:rPr>
          <w:b/>
          <w:bCs/>
          <w:sz w:val="18"/>
          <w:szCs w:val="18"/>
          <w:lang w:val="en-GB"/>
        </w:rPr>
      </w:pPr>
      <w:r w:rsidRPr="000655EF">
        <w:rPr>
          <w:b/>
          <w:bCs/>
          <w:i/>
          <w:iCs/>
          <w:sz w:val="18"/>
          <w:szCs w:val="18"/>
          <w:lang w:val="en-GB"/>
        </w:rPr>
        <w:t xml:space="preserve">CE </w:t>
      </w:r>
      <w:r w:rsidRPr="000655EF">
        <w:rPr>
          <w:b/>
          <w:bCs/>
          <w:sz w:val="18"/>
          <w:szCs w:val="18"/>
          <w:lang w:val="en-GB"/>
        </w:rPr>
        <w:t xml:space="preserve">contrast-enhanced; </w:t>
      </w:r>
      <w:r w:rsidRPr="000655EF">
        <w:rPr>
          <w:b/>
          <w:bCs/>
          <w:i/>
          <w:iCs/>
          <w:sz w:val="18"/>
          <w:szCs w:val="18"/>
          <w:lang w:val="en-US"/>
        </w:rPr>
        <w:t xml:space="preserve">MRA </w:t>
      </w:r>
      <w:r w:rsidRPr="000655EF">
        <w:rPr>
          <w:b/>
          <w:bCs/>
          <w:sz w:val="18"/>
          <w:szCs w:val="18"/>
          <w:lang w:val="en-US"/>
        </w:rPr>
        <w:t>magnetic resonance angiography;</w:t>
      </w:r>
      <w:r w:rsidRPr="000655EF">
        <w:rPr>
          <w:b/>
          <w:bCs/>
          <w:i/>
          <w:iCs/>
          <w:sz w:val="18"/>
          <w:szCs w:val="18"/>
          <w:lang w:val="en-US"/>
        </w:rPr>
        <w:t xml:space="preserve"> SSFP </w:t>
      </w:r>
      <w:r w:rsidRPr="000655EF">
        <w:rPr>
          <w:b/>
          <w:bCs/>
          <w:sz w:val="18"/>
          <w:szCs w:val="18"/>
          <w:lang w:val="en-US"/>
        </w:rPr>
        <w:t>steady-state free precession</w:t>
      </w:r>
    </w:p>
    <w:p w14:paraId="32FBCBCA" w14:textId="3D70E57B" w:rsidR="006C4A71" w:rsidRPr="009967B7" w:rsidRDefault="006C4A71" w:rsidP="006C4A71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18"/>
          <w:szCs w:val="18"/>
          <w:lang w:val="en-GB"/>
        </w:rPr>
      </w:pPr>
    </w:p>
    <w:p w14:paraId="418B0249" w14:textId="0CE37A79" w:rsidR="003C2649" w:rsidRPr="009967B7" w:rsidRDefault="003C2649" w:rsidP="00CF7A5B">
      <w:pPr>
        <w:rPr>
          <w:rFonts w:cstheme="minorHAnsi"/>
          <w:b/>
          <w:sz w:val="40"/>
          <w:szCs w:val="40"/>
          <w:lang w:val="en-GB"/>
        </w:rPr>
      </w:pPr>
    </w:p>
    <w:p w14:paraId="0DDE202B" w14:textId="1D84CB8B" w:rsidR="003C2649" w:rsidRPr="009967B7" w:rsidRDefault="003C2649" w:rsidP="00CF7A5B">
      <w:pPr>
        <w:rPr>
          <w:rFonts w:cstheme="minorHAnsi"/>
          <w:b/>
          <w:sz w:val="40"/>
          <w:szCs w:val="40"/>
          <w:lang w:val="en-GB"/>
        </w:rPr>
      </w:pPr>
    </w:p>
    <w:p w14:paraId="0A8156A3" w14:textId="1EE5551A" w:rsidR="003C2649" w:rsidRPr="009967B7" w:rsidRDefault="003C2649" w:rsidP="00CF7A5B">
      <w:pPr>
        <w:rPr>
          <w:rFonts w:cstheme="minorHAnsi"/>
          <w:b/>
          <w:sz w:val="40"/>
          <w:szCs w:val="40"/>
          <w:lang w:val="en-GB"/>
        </w:rPr>
      </w:pPr>
    </w:p>
    <w:p w14:paraId="5EFE8E86" w14:textId="66AEA0D7" w:rsidR="003C2649" w:rsidRPr="009967B7" w:rsidRDefault="003C2649" w:rsidP="00CF7A5B">
      <w:pPr>
        <w:rPr>
          <w:rFonts w:cstheme="minorHAnsi"/>
          <w:b/>
          <w:sz w:val="40"/>
          <w:szCs w:val="40"/>
          <w:lang w:val="en-GB"/>
        </w:rPr>
      </w:pPr>
    </w:p>
    <w:p w14:paraId="545D431A" w14:textId="18E424F9" w:rsidR="003C2649" w:rsidRPr="009967B7" w:rsidRDefault="003C2649" w:rsidP="00CF7A5B">
      <w:pPr>
        <w:rPr>
          <w:rFonts w:cstheme="minorHAnsi"/>
          <w:b/>
          <w:sz w:val="40"/>
          <w:szCs w:val="40"/>
          <w:lang w:val="en-GB"/>
        </w:rPr>
      </w:pPr>
    </w:p>
    <w:p w14:paraId="036B26D9" w14:textId="40BE03C3" w:rsidR="003C2649" w:rsidRPr="009967B7" w:rsidRDefault="003C2649" w:rsidP="00CF7A5B">
      <w:pPr>
        <w:rPr>
          <w:rFonts w:cstheme="minorHAnsi"/>
          <w:b/>
          <w:sz w:val="40"/>
          <w:szCs w:val="40"/>
          <w:lang w:val="en-GB"/>
        </w:rPr>
      </w:pPr>
    </w:p>
    <w:p w14:paraId="54A31AC4" w14:textId="1046C39F" w:rsidR="003C2649" w:rsidRPr="009967B7" w:rsidRDefault="003C2649" w:rsidP="00CF7A5B">
      <w:pPr>
        <w:rPr>
          <w:rFonts w:cstheme="minorHAnsi"/>
          <w:b/>
          <w:sz w:val="40"/>
          <w:szCs w:val="40"/>
          <w:lang w:val="en-GB"/>
        </w:rPr>
      </w:pPr>
    </w:p>
    <w:p w14:paraId="731A2915" w14:textId="77777777" w:rsidR="003C2649" w:rsidRPr="009967B7" w:rsidRDefault="003C2649" w:rsidP="00CF7A5B">
      <w:pPr>
        <w:rPr>
          <w:rFonts w:cstheme="minorHAnsi"/>
          <w:b/>
          <w:sz w:val="40"/>
          <w:szCs w:val="40"/>
          <w:lang w:val="en-GB"/>
        </w:rPr>
      </w:pPr>
    </w:p>
    <w:p w14:paraId="4AD636F3" w14:textId="77777777" w:rsidR="00CF7A5B" w:rsidRPr="009967B7" w:rsidRDefault="00CF7A5B" w:rsidP="00CF7A5B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GB"/>
        </w:rPr>
      </w:pPr>
      <w:r w:rsidRPr="009967B7">
        <w:rPr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9CD5CCE" wp14:editId="6A99693E">
            <wp:extent cx="4969462" cy="5033792"/>
            <wp:effectExtent l="0" t="0" r="317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SOVMA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462" cy="50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6D41C" w14:textId="1852EABA" w:rsidR="00CF7A5B" w:rsidRPr="009967B7" w:rsidRDefault="00CF7A5B" w:rsidP="00CF7A5B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  <w:lang w:val="en-GB"/>
        </w:rPr>
      </w:pPr>
    </w:p>
    <w:p w14:paraId="45E88660" w14:textId="78879F92" w:rsidR="000655EF" w:rsidRPr="000655EF" w:rsidRDefault="00A52D49" w:rsidP="000655EF">
      <w:pPr>
        <w:pStyle w:val="Geenafstand"/>
        <w:rPr>
          <w:b/>
          <w:bCs/>
          <w:i/>
          <w:sz w:val="18"/>
          <w:szCs w:val="18"/>
          <w:lang w:val="en-GB"/>
        </w:rPr>
      </w:pPr>
      <w:r w:rsidRPr="009967B7"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18"/>
          <w:szCs w:val="18"/>
          <w:lang w:val="en-GB"/>
        </w:rPr>
        <w:t xml:space="preserve">Supplementary </w:t>
      </w:r>
      <w:r w:rsidR="00B67D5D" w:rsidRPr="009967B7"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18"/>
          <w:szCs w:val="18"/>
          <w:lang w:val="en-GB"/>
        </w:rPr>
        <w:t xml:space="preserve">Fig. </w:t>
      </w:r>
      <w:r w:rsidR="006C4A71" w:rsidRPr="009967B7"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18"/>
          <w:szCs w:val="18"/>
          <w:lang w:val="en-GB"/>
        </w:rPr>
        <w:t>2</w:t>
      </w:r>
      <w:r w:rsidR="000655EF"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18"/>
          <w:szCs w:val="18"/>
          <w:lang w:val="en-GB"/>
        </w:rPr>
        <w:t xml:space="preserve"> </w:t>
      </w:r>
      <w:r w:rsidR="000655EF" w:rsidRPr="000655EF">
        <w:rPr>
          <w:b/>
          <w:bCs/>
          <w:iCs/>
          <w:sz w:val="18"/>
          <w:szCs w:val="18"/>
          <w:lang w:val="en-GB"/>
        </w:rPr>
        <w:t xml:space="preserve">Boxplot of the observer variability for the different image quality scores. The four </w:t>
      </w:r>
      <w:r w:rsidR="00B54169">
        <w:rPr>
          <w:b/>
          <w:bCs/>
          <w:iCs/>
          <w:sz w:val="18"/>
          <w:szCs w:val="18"/>
          <w:lang w:val="en-GB"/>
        </w:rPr>
        <w:t>panels</w:t>
      </w:r>
      <w:r w:rsidR="000655EF" w:rsidRPr="000655EF">
        <w:rPr>
          <w:b/>
          <w:bCs/>
          <w:iCs/>
          <w:sz w:val="18"/>
          <w:szCs w:val="18"/>
          <w:lang w:val="en-GB"/>
        </w:rPr>
        <w:t xml:space="preserve"> represent the intra-observer variability in the sinus of Valsalva (top left), the mid-ascending aorta (top right), the mid-descending aorta (bottom left) and the inter-observer variability in the mid-descending aorta (bottom right). On the x-axis</w:t>
      </w:r>
      <w:r w:rsidR="00135DEF">
        <w:rPr>
          <w:b/>
          <w:bCs/>
          <w:iCs/>
          <w:sz w:val="18"/>
          <w:szCs w:val="18"/>
          <w:lang w:val="en-GB"/>
        </w:rPr>
        <w:t>,</w:t>
      </w:r>
      <w:r w:rsidR="000655EF" w:rsidRPr="000655EF">
        <w:rPr>
          <w:b/>
          <w:bCs/>
          <w:iCs/>
          <w:sz w:val="18"/>
          <w:szCs w:val="18"/>
          <w:lang w:val="en-GB"/>
        </w:rPr>
        <w:t xml:space="preserve"> the image quality score of both CE-MRA and SSFP-MRA</w:t>
      </w:r>
      <w:r w:rsidR="00135DEF">
        <w:rPr>
          <w:b/>
          <w:bCs/>
          <w:iCs/>
          <w:sz w:val="18"/>
          <w:szCs w:val="18"/>
          <w:lang w:val="en-GB"/>
        </w:rPr>
        <w:t xml:space="preserve"> is presented</w:t>
      </w:r>
      <w:r w:rsidR="000655EF" w:rsidRPr="000655EF">
        <w:rPr>
          <w:b/>
          <w:bCs/>
          <w:iCs/>
          <w:sz w:val="18"/>
          <w:szCs w:val="18"/>
          <w:lang w:val="en-GB"/>
        </w:rPr>
        <w:t>. The y-axis shows the variability in mm of the observer measurements corresponding with the different image quality scores.</w:t>
      </w:r>
      <w:r w:rsidR="000655EF" w:rsidRPr="000655EF">
        <w:rPr>
          <w:b/>
          <w:bCs/>
          <w:i/>
          <w:sz w:val="18"/>
          <w:szCs w:val="18"/>
          <w:lang w:val="en-GB"/>
        </w:rPr>
        <w:t xml:space="preserve"> </w:t>
      </w:r>
    </w:p>
    <w:p w14:paraId="0477F5BC" w14:textId="77777777" w:rsidR="000655EF" w:rsidRPr="000655EF" w:rsidRDefault="000655EF" w:rsidP="000655EF">
      <w:pPr>
        <w:pStyle w:val="Geenafstand"/>
        <w:rPr>
          <w:b/>
          <w:bCs/>
          <w:i/>
          <w:sz w:val="18"/>
          <w:szCs w:val="18"/>
          <w:lang w:val="en-GB"/>
        </w:rPr>
      </w:pPr>
    </w:p>
    <w:p w14:paraId="091ACD25" w14:textId="4B696CC8" w:rsidR="000655EF" w:rsidRPr="000655EF" w:rsidRDefault="000655EF" w:rsidP="000655EF">
      <w:pPr>
        <w:pStyle w:val="Geenafstand"/>
        <w:rPr>
          <w:rStyle w:val="TitelChar"/>
          <w:rFonts w:asciiTheme="minorHAnsi" w:eastAsiaTheme="minorHAnsi" w:hAnsiTheme="minorHAnsi" w:cstheme="minorBidi"/>
          <w:b/>
          <w:bCs/>
          <w:color w:val="auto"/>
          <w:spacing w:val="0"/>
          <w:kern w:val="0"/>
          <w:sz w:val="18"/>
          <w:szCs w:val="18"/>
          <w:lang w:val="en-US"/>
        </w:rPr>
      </w:pPr>
      <w:r w:rsidRPr="000655EF">
        <w:rPr>
          <w:b/>
          <w:bCs/>
          <w:i/>
          <w:iCs/>
          <w:sz w:val="18"/>
          <w:szCs w:val="18"/>
          <w:lang w:val="en-GB"/>
        </w:rPr>
        <w:t xml:space="preserve">CE </w:t>
      </w:r>
      <w:r w:rsidRPr="000655EF">
        <w:rPr>
          <w:b/>
          <w:bCs/>
          <w:sz w:val="18"/>
          <w:szCs w:val="18"/>
          <w:lang w:val="en-GB"/>
        </w:rPr>
        <w:t xml:space="preserve">contrast-enhanced; </w:t>
      </w:r>
      <w:r w:rsidRPr="000655EF">
        <w:rPr>
          <w:b/>
          <w:bCs/>
          <w:i/>
          <w:iCs/>
          <w:sz w:val="18"/>
          <w:szCs w:val="18"/>
          <w:lang w:val="en-US"/>
        </w:rPr>
        <w:t>MRA</w:t>
      </w:r>
      <w:r w:rsidR="007E4C35">
        <w:rPr>
          <w:b/>
          <w:bCs/>
          <w:i/>
          <w:iCs/>
          <w:sz w:val="18"/>
          <w:szCs w:val="18"/>
          <w:lang w:val="en-US"/>
        </w:rPr>
        <w:t xml:space="preserve"> </w:t>
      </w:r>
      <w:r w:rsidRPr="000655EF">
        <w:rPr>
          <w:b/>
          <w:bCs/>
          <w:sz w:val="18"/>
          <w:szCs w:val="18"/>
          <w:lang w:val="en-US"/>
        </w:rPr>
        <w:t>magnetic resonance angiography;</w:t>
      </w:r>
      <w:r w:rsidRPr="000655EF">
        <w:rPr>
          <w:b/>
          <w:bCs/>
          <w:i/>
          <w:iCs/>
          <w:sz w:val="18"/>
          <w:szCs w:val="18"/>
          <w:lang w:val="en-US"/>
        </w:rPr>
        <w:t xml:space="preserve"> SSFP </w:t>
      </w:r>
      <w:r w:rsidRPr="000655EF">
        <w:rPr>
          <w:b/>
          <w:bCs/>
          <w:sz w:val="18"/>
          <w:szCs w:val="18"/>
          <w:lang w:val="en-US"/>
        </w:rPr>
        <w:t>steady state free precession</w:t>
      </w:r>
    </w:p>
    <w:p w14:paraId="40039652" w14:textId="643CBF7C" w:rsidR="00B67D5D" w:rsidRPr="009967B7" w:rsidRDefault="00B67D5D" w:rsidP="00CF7A5B">
      <w:pPr>
        <w:pStyle w:val="Geenafstand"/>
        <w:rPr>
          <w:rStyle w:val="TitelChar"/>
          <w:rFonts w:asciiTheme="minorHAnsi" w:eastAsiaTheme="minorHAnsi" w:hAnsiTheme="minorHAnsi" w:cstheme="minorBidi"/>
          <w:b/>
          <w:color w:val="auto"/>
          <w:spacing w:val="0"/>
          <w:kern w:val="0"/>
          <w:sz w:val="18"/>
          <w:szCs w:val="18"/>
          <w:lang w:val="en-GB"/>
        </w:rPr>
      </w:pPr>
    </w:p>
    <w:p w14:paraId="19BA83D6" w14:textId="38433595" w:rsidR="004E6EBF" w:rsidRPr="009967B7" w:rsidRDefault="004E6EBF">
      <w:pPr>
        <w:rPr>
          <w:lang w:val="en-GB"/>
        </w:rPr>
      </w:pPr>
    </w:p>
    <w:p w14:paraId="1EFCA9C8" w14:textId="284098A3" w:rsidR="008C02C4" w:rsidRPr="009967B7" w:rsidRDefault="008C02C4" w:rsidP="008C02C4">
      <w:pPr>
        <w:pStyle w:val="Geenafstand"/>
        <w:rPr>
          <w:sz w:val="24"/>
          <w:szCs w:val="24"/>
          <w:lang w:val="en-GB"/>
        </w:rPr>
      </w:pPr>
      <w:r w:rsidRPr="009967B7">
        <w:rPr>
          <w:rFonts w:cstheme="minorHAnsi"/>
          <w:b/>
          <w:bCs/>
          <w:iCs/>
          <w:sz w:val="24"/>
          <w:szCs w:val="24"/>
          <w:lang w:val="en-GB"/>
        </w:rPr>
        <w:br/>
      </w:r>
    </w:p>
    <w:p w14:paraId="0FAC3C5D" w14:textId="77777777" w:rsidR="008C02C4" w:rsidRPr="009967B7" w:rsidRDefault="008C02C4">
      <w:pPr>
        <w:rPr>
          <w:lang w:val="en-US"/>
        </w:rPr>
      </w:pPr>
    </w:p>
    <w:sectPr w:rsidR="008C02C4" w:rsidRPr="009967B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D9A2" w14:textId="77777777" w:rsidR="00623E72" w:rsidRDefault="00623E72" w:rsidP="00574B5A">
      <w:pPr>
        <w:spacing w:after="0" w:line="240" w:lineRule="auto"/>
      </w:pPr>
      <w:r>
        <w:separator/>
      </w:r>
    </w:p>
  </w:endnote>
  <w:endnote w:type="continuationSeparator" w:id="0">
    <w:p w14:paraId="0DE21DD5" w14:textId="77777777" w:rsidR="00623E72" w:rsidRDefault="00623E72" w:rsidP="0057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75523920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C285C1A" w14:textId="395CB318" w:rsidR="00574B5A" w:rsidRDefault="00574B5A" w:rsidP="003100F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661ACA1" w14:textId="77777777" w:rsidR="00574B5A" w:rsidRDefault="00574B5A" w:rsidP="00574B5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100D" w14:textId="1393B4C4" w:rsidR="008C02C4" w:rsidRDefault="008C02C4">
    <w:pPr>
      <w:pStyle w:val="Voettekst"/>
    </w:pPr>
    <w:r>
      <w:t>Eur Radiol (2020) Snel G, Hernandez L, Slart R et al</w:t>
    </w:r>
  </w:p>
  <w:p w14:paraId="2F302064" w14:textId="77777777" w:rsidR="00574B5A" w:rsidRDefault="00574B5A" w:rsidP="00574B5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90E3" w14:textId="77777777" w:rsidR="00623E72" w:rsidRDefault="00623E72" w:rsidP="00574B5A">
      <w:pPr>
        <w:spacing w:after="0" w:line="240" w:lineRule="auto"/>
      </w:pPr>
      <w:r>
        <w:separator/>
      </w:r>
    </w:p>
  </w:footnote>
  <w:footnote w:type="continuationSeparator" w:id="0">
    <w:p w14:paraId="450B49A7" w14:textId="77777777" w:rsidR="00623E72" w:rsidRDefault="00623E72" w:rsidP="0057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012"/>
    <w:multiLevelType w:val="hybridMultilevel"/>
    <w:tmpl w:val="721E5E94"/>
    <w:lvl w:ilvl="0" w:tplc="BF0CA82E">
      <w:start w:val="27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536"/>
    <w:multiLevelType w:val="hybridMultilevel"/>
    <w:tmpl w:val="1AF6A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4A0F"/>
    <w:multiLevelType w:val="hybridMultilevel"/>
    <w:tmpl w:val="33FE1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84"/>
    <w:rsid w:val="000371CF"/>
    <w:rsid w:val="000655EF"/>
    <w:rsid w:val="00075F74"/>
    <w:rsid w:val="0009231C"/>
    <w:rsid w:val="000B6BCD"/>
    <w:rsid w:val="000C4946"/>
    <w:rsid w:val="000E29ED"/>
    <w:rsid w:val="00122FFB"/>
    <w:rsid w:val="00125177"/>
    <w:rsid w:val="00135DEF"/>
    <w:rsid w:val="00146719"/>
    <w:rsid w:val="00147096"/>
    <w:rsid w:val="001605A4"/>
    <w:rsid w:val="001D0517"/>
    <w:rsid w:val="00251502"/>
    <w:rsid w:val="0027208B"/>
    <w:rsid w:val="00292718"/>
    <w:rsid w:val="002A0C4B"/>
    <w:rsid w:val="00391629"/>
    <w:rsid w:val="003C2649"/>
    <w:rsid w:val="003F619C"/>
    <w:rsid w:val="00404E53"/>
    <w:rsid w:val="004155D7"/>
    <w:rsid w:val="00450C5D"/>
    <w:rsid w:val="004753F5"/>
    <w:rsid w:val="004D566D"/>
    <w:rsid w:val="004E6EBF"/>
    <w:rsid w:val="005014BB"/>
    <w:rsid w:val="0053027A"/>
    <w:rsid w:val="0053483B"/>
    <w:rsid w:val="00574B5A"/>
    <w:rsid w:val="0058292A"/>
    <w:rsid w:val="00594470"/>
    <w:rsid w:val="005B40E1"/>
    <w:rsid w:val="005B5D14"/>
    <w:rsid w:val="005C4537"/>
    <w:rsid w:val="005D35FD"/>
    <w:rsid w:val="00604484"/>
    <w:rsid w:val="00623E72"/>
    <w:rsid w:val="00670A84"/>
    <w:rsid w:val="006C4A71"/>
    <w:rsid w:val="006E51E2"/>
    <w:rsid w:val="007608F9"/>
    <w:rsid w:val="00770248"/>
    <w:rsid w:val="007E4C35"/>
    <w:rsid w:val="008144B8"/>
    <w:rsid w:val="008806C9"/>
    <w:rsid w:val="00893D74"/>
    <w:rsid w:val="008B4FFD"/>
    <w:rsid w:val="008C02C4"/>
    <w:rsid w:val="008F48B2"/>
    <w:rsid w:val="009175EF"/>
    <w:rsid w:val="0092500C"/>
    <w:rsid w:val="00931DA6"/>
    <w:rsid w:val="00996061"/>
    <w:rsid w:val="009967B7"/>
    <w:rsid w:val="009B096A"/>
    <w:rsid w:val="009C5442"/>
    <w:rsid w:val="009E1F57"/>
    <w:rsid w:val="00A17BAC"/>
    <w:rsid w:val="00A26635"/>
    <w:rsid w:val="00A52D49"/>
    <w:rsid w:val="00AE3E8D"/>
    <w:rsid w:val="00B30770"/>
    <w:rsid w:val="00B40BBE"/>
    <w:rsid w:val="00B54169"/>
    <w:rsid w:val="00B67D5D"/>
    <w:rsid w:val="00B914E7"/>
    <w:rsid w:val="00BC6B2E"/>
    <w:rsid w:val="00CC58CD"/>
    <w:rsid w:val="00CF7A5B"/>
    <w:rsid w:val="00D31238"/>
    <w:rsid w:val="00D47713"/>
    <w:rsid w:val="00D73A87"/>
    <w:rsid w:val="00D95A08"/>
    <w:rsid w:val="00E000BF"/>
    <w:rsid w:val="00E058E1"/>
    <w:rsid w:val="00E14995"/>
    <w:rsid w:val="00E92A22"/>
    <w:rsid w:val="00EB3BFD"/>
    <w:rsid w:val="00EB577B"/>
    <w:rsid w:val="00F73660"/>
    <w:rsid w:val="00F97DB6"/>
    <w:rsid w:val="00FA17D3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7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7A5B"/>
    <w:pPr>
      <w:spacing w:after="200" w:line="276" w:lineRule="auto"/>
    </w:pPr>
  </w:style>
  <w:style w:type="paragraph" w:styleId="Kop3">
    <w:name w:val="heading 3"/>
    <w:basedOn w:val="Standaard"/>
    <w:next w:val="Standaard"/>
    <w:link w:val="Kop3Char"/>
    <w:uiPriority w:val="99"/>
    <w:qFormat/>
    <w:rsid w:val="003F619C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F7A5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F7A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CF7A5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F7A5B"/>
    <w:pPr>
      <w:ind w:left="720"/>
      <w:contextualSpacing/>
    </w:pPr>
  </w:style>
  <w:style w:type="table" w:styleId="Tabelraster">
    <w:name w:val="Table Grid"/>
    <w:basedOn w:val="Standaardtabel"/>
    <w:uiPriority w:val="59"/>
    <w:rsid w:val="00CF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CF7A5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D4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9"/>
    <w:rsid w:val="003F619C"/>
    <w:rPr>
      <w:rFonts w:ascii="Courier New" w:hAnsi="Courier New" w:cs="Courier New"/>
      <w:b/>
      <w:bCs/>
      <w:color w:val="000000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574B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B5A"/>
  </w:style>
  <w:style w:type="character" w:styleId="Paginanummer">
    <w:name w:val="page number"/>
    <w:basedOn w:val="Standaardalinea-lettertype"/>
    <w:uiPriority w:val="99"/>
    <w:semiHidden/>
    <w:unhideWhenUsed/>
    <w:rsid w:val="00574B5A"/>
  </w:style>
  <w:style w:type="paragraph" w:styleId="Koptekst">
    <w:name w:val="header"/>
    <w:basedOn w:val="Standaard"/>
    <w:link w:val="KoptekstChar"/>
    <w:uiPriority w:val="99"/>
    <w:unhideWhenUsed/>
    <w:rsid w:val="008C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02C4"/>
  </w:style>
  <w:style w:type="character" w:styleId="Subtielebenadrukking">
    <w:name w:val="Subtle Emphasis"/>
    <w:basedOn w:val="Standaardalinea-lettertype"/>
    <w:uiPriority w:val="19"/>
    <w:qFormat/>
    <w:rsid w:val="009967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2020-05-25T10:41:00Z</dcterms:created>
  <dcterms:modified xsi:type="dcterms:W3CDTF">2020-05-25T15:35:00Z</dcterms:modified>
</cp:coreProperties>
</file>