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E7D1" w14:textId="77777777" w:rsidR="00F01073" w:rsidRPr="004241F5" w:rsidRDefault="00F01073" w:rsidP="004241F5">
      <w:pPr>
        <w:pStyle w:val="Default"/>
        <w:spacing w:line="480" w:lineRule="auto"/>
        <w:rPr>
          <w:b/>
          <w:bCs/>
        </w:rPr>
      </w:pPr>
      <w:r w:rsidRPr="004241F5">
        <w:rPr>
          <w:b/>
          <w:bCs/>
        </w:rPr>
        <w:t>ELECTRONIC SUPPLEMENTARY MATERIALS 1</w:t>
      </w:r>
    </w:p>
    <w:p w14:paraId="2840F9B0" w14:textId="77777777" w:rsidR="00F01073" w:rsidRPr="004241F5" w:rsidRDefault="00F01073" w:rsidP="004241F5">
      <w:pPr>
        <w:pStyle w:val="Default"/>
        <w:spacing w:line="480" w:lineRule="auto"/>
        <w:rPr>
          <w:b/>
          <w:bCs/>
        </w:rPr>
      </w:pPr>
    </w:p>
    <w:p w14:paraId="38EAAC19" w14:textId="1BBC777F" w:rsidR="0033067B" w:rsidRPr="004241F5" w:rsidRDefault="0033067B" w:rsidP="004241F5">
      <w:pPr>
        <w:pStyle w:val="Default"/>
        <w:spacing w:line="480" w:lineRule="auto"/>
        <w:rPr>
          <w:b/>
          <w:bCs/>
        </w:rPr>
      </w:pPr>
      <w:r w:rsidRPr="004241F5">
        <w:rPr>
          <w:b/>
          <w:bCs/>
        </w:rPr>
        <w:t>CT scanning protocol</w:t>
      </w:r>
    </w:p>
    <w:p w14:paraId="3B9A3ED0" w14:textId="5FB79167" w:rsidR="002804A2" w:rsidRPr="004241F5" w:rsidRDefault="00F871A5" w:rsidP="004241F5">
      <w:pPr>
        <w:pStyle w:val="Default"/>
        <w:spacing w:line="480" w:lineRule="auto"/>
      </w:pPr>
      <w:r w:rsidRPr="004241F5">
        <w:rPr>
          <w:bCs/>
        </w:rPr>
        <w:t xml:space="preserve">Chest CT scan were performed </w:t>
      </w:r>
      <w:r w:rsidR="0079091F" w:rsidRPr="004241F5">
        <w:rPr>
          <w:bCs/>
        </w:rPr>
        <w:t xml:space="preserve">in seven third level hospital </w:t>
      </w:r>
      <w:r w:rsidR="00AE1CBD" w:rsidRPr="004241F5">
        <w:rPr>
          <w:bCs/>
        </w:rPr>
        <w:t>on</w:t>
      </w:r>
      <w:r w:rsidR="00F01073" w:rsidRPr="004241F5">
        <w:rPr>
          <w:bCs/>
        </w:rPr>
        <w:t xml:space="preserve"> </w:t>
      </w:r>
      <w:r w:rsidR="0079091F" w:rsidRPr="004241F5">
        <w:rPr>
          <w:bCs/>
        </w:rPr>
        <w:t>14</w:t>
      </w:r>
      <w:r w:rsidR="002804A2" w:rsidRPr="004241F5">
        <w:t xml:space="preserve"> </w:t>
      </w:r>
      <w:r w:rsidR="0079091F" w:rsidRPr="004241F5">
        <w:t xml:space="preserve">multidetector scanners with </w:t>
      </w:r>
      <w:r w:rsidR="002804A2" w:rsidRPr="004241F5">
        <w:t>detector rows</w:t>
      </w:r>
      <w:r w:rsidR="0079091F" w:rsidRPr="004241F5">
        <w:t xml:space="preserve"> from 16 to 256</w:t>
      </w:r>
      <w:r w:rsidR="002804A2" w:rsidRPr="004241F5">
        <w:t>:</w:t>
      </w:r>
    </w:p>
    <w:p w14:paraId="4F9B46FA" w14:textId="786EF2FF" w:rsidR="002804A2" w:rsidRPr="004241F5" w:rsidRDefault="002804A2" w:rsidP="004241F5">
      <w:pPr>
        <w:pStyle w:val="Default"/>
        <w:numPr>
          <w:ilvl w:val="0"/>
          <w:numId w:val="1"/>
        </w:numPr>
        <w:spacing w:line="480" w:lineRule="auto"/>
      </w:pPr>
      <w:r w:rsidRPr="004241F5">
        <w:t>Philips Medical System:</w:t>
      </w:r>
      <w:r w:rsidR="0000496B" w:rsidRPr="004241F5">
        <w:t xml:space="preserve"> Philips</w:t>
      </w:r>
      <w:r w:rsidRPr="004241F5">
        <w:t xml:space="preserve"> </w:t>
      </w:r>
      <w:r w:rsidR="0000496B" w:rsidRPr="004241F5">
        <w:t xml:space="preserve">MX 16, </w:t>
      </w:r>
      <w:r w:rsidRPr="004241F5">
        <w:t>Philips Brilliance 64, Philips Incisive 128, Philips Ingenuity 128, ICT Elite 256</w:t>
      </w:r>
    </w:p>
    <w:p w14:paraId="50E42DBF" w14:textId="1719B76F" w:rsidR="002804A2" w:rsidRPr="004241F5" w:rsidRDefault="0000496B" w:rsidP="004241F5">
      <w:pPr>
        <w:pStyle w:val="Default"/>
        <w:numPr>
          <w:ilvl w:val="0"/>
          <w:numId w:val="1"/>
        </w:numPr>
        <w:spacing w:line="480" w:lineRule="auto"/>
      </w:pPr>
      <w:r w:rsidRPr="004241F5">
        <w:t xml:space="preserve">GE Medical System: </w:t>
      </w:r>
      <w:proofErr w:type="spellStart"/>
      <w:r w:rsidRPr="004241F5">
        <w:t>BrightSpeed</w:t>
      </w:r>
      <w:proofErr w:type="spellEnd"/>
      <w:r w:rsidRPr="004241F5">
        <w:t xml:space="preserve"> Elite 16, GE Light Speed VCT 64, GE Optima CT660 – </w:t>
      </w:r>
      <w:r w:rsidRPr="004241F5">
        <w:rPr>
          <w:bCs/>
        </w:rPr>
        <w:t>64</w:t>
      </w:r>
      <w:r w:rsidRPr="004241F5">
        <w:t xml:space="preserve">, </w:t>
      </w:r>
      <w:r w:rsidR="00F01073" w:rsidRPr="004241F5">
        <w:t>GE Revolution</w:t>
      </w:r>
      <w:r w:rsidRPr="004241F5">
        <w:t xml:space="preserve"> EVO 128, GE Revolution HD 256</w:t>
      </w:r>
    </w:p>
    <w:p w14:paraId="7CB87198" w14:textId="71E94D2E" w:rsidR="00EF4686" w:rsidRPr="004241F5" w:rsidRDefault="00EF4686" w:rsidP="004241F5">
      <w:pPr>
        <w:pStyle w:val="Default"/>
        <w:numPr>
          <w:ilvl w:val="0"/>
          <w:numId w:val="1"/>
        </w:numPr>
        <w:spacing w:line="480" w:lineRule="auto"/>
      </w:pPr>
      <w:r w:rsidRPr="004241F5">
        <w:t>SIEMENS: SOMATOM Emotion 16, SOMATOM Definition AS 64, SOMATOM Definition AS 128</w:t>
      </w:r>
    </w:p>
    <w:p w14:paraId="07B5156B" w14:textId="38889017" w:rsidR="0000496B" w:rsidRPr="004241F5" w:rsidRDefault="0000496B" w:rsidP="004241F5">
      <w:pPr>
        <w:pStyle w:val="Default"/>
        <w:numPr>
          <w:ilvl w:val="0"/>
          <w:numId w:val="1"/>
        </w:numPr>
        <w:spacing w:line="480" w:lineRule="auto"/>
      </w:pPr>
      <w:r w:rsidRPr="004241F5">
        <w:t>TOSHI</w:t>
      </w:r>
      <w:r w:rsidR="00EF4686" w:rsidRPr="004241F5">
        <w:t xml:space="preserve">BA: </w:t>
      </w:r>
      <w:proofErr w:type="spellStart"/>
      <w:r w:rsidR="00EF4686" w:rsidRPr="004241F5">
        <w:t>Aquilion</w:t>
      </w:r>
      <w:proofErr w:type="spellEnd"/>
      <w:r w:rsidR="00EF4686" w:rsidRPr="004241F5">
        <w:t xml:space="preserve"> 64</w:t>
      </w:r>
    </w:p>
    <w:p w14:paraId="5F45582C" w14:textId="77777777" w:rsidR="00AE1CBD" w:rsidRPr="004241F5" w:rsidRDefault="00AE1CBD" w:rsidP="004241F5">
      <w:pPr>
        <w:pStyle w:val="Default"/>
        <w:spacing w:line="480" w:lineRule="auto"/>
        <w:jc w:val="both"/>
      </w:pPr>
    </w:p>
    <w:p w14:paraId="0A463610" w14:textId="021AD31D" w:rsidR="00AE1CBD" w:rsidRPr="004241F5" w:rsidRDefault="00AE1CBD" w:rsidP="004241F5">
      <w:pPr>
        <w:pStyle w:val="Default"/>
        <w:spacing w:line="480" w:lineRule="auto"/>
        <w:jc w:val="both"/>
      </w:pPr>
      <w:r w:rsidRPr="004241F5">
        <w:t xml:space="preserve">CT protocol consisted in a standard ungated chest CT with 80-140 kV, from 0.625 to 2.5 mm of slice thickness and 512 x 512 matrix (DLP: 364 ± 155 </w:t>
      </w:r>
      <w:proofErr w:type="spellStart"/>
      <w:r w:rsidRPr="004241F5">
        <w:t>mGy</w:t>
      </w:r>
      <w:proofErr w:type="spellEnd"/>
      <w:r w:rsidR="00566F26" w:rsidRPr="004241F5">
        <w:t xml:space="preserve"> </w:t>
      </w:r>
      <w:r w:rsidRPr="004241F5">
        <w:t>cm</w:t>
      </w:r>
      <w:r w:rsidR="00F01073" w:rsidRPr="004241F5">
        <w:t>, mean ± standard deviation</w:t>
      </w:r>
      <w:r w:rsidRPr="004241F5">
        <w:t>).</w:t>
      </w:r>
    </w:p>
    <w:p w14:paraId="79294234" w14:textId="7570716F" w:rsidR="00AE1CBD" w:rsidRPr="004241F5" w:rsidRDefault="00AE1CBD" w:rsidP="004241F5">
      <w:pPr>
        <w:pStyle w:val="Default"/>
        <w:spacing w:line="480" w:lineRule="auto"/>
        <w:jc w:val="both"/>
      </w:pPr>
      <w:r w:rsidRPr="004241F5">
        <w:t>All chest CT images were reformatted in the core-</w:t>
      </w:r>
      <w:r w:rsidR="00AB3D3E" w:rsidRPr="004241F5">
        <w:t xml:space="preserve">lab using </w:t>
      </w:r>
      <w:proofErr w:type="spellStart"/>
      <w:r w:rsidR="00AB3D3E" w:rsidRPr="004241F5">
        <w:t>Matlab</w:t>
      </w:r>
      <w:proofErr w:type="spellEnd"/>
      <w:r w:rsidR="00AB3D3E" w:rsidRPr="004241F5">
        <w:t xml:space="preserve"> R2015a (</w:t>
      </w:r>
      <w:proofErr w:type="spellStart"/>
      <w:r w:rsidR="00AB3D3E" w:rsidRPr="004241F5">
        <w:t>Mathworks</w:t>
      </w:r>
      <w:proofErr w:type="spellEnd"/>
      <w:r w:rsidR="00AB3D3E" w:rsidRPr="004241F5">
        <w:t>)</w:t>
      </w:r>
      <w:r w:rsidRPr="004241F5">
        <w:t xml:space="preserve"> </w:t>
      </w:r>
      <w:proofErr w:type="gramStart"/>
      <w:r w:rsidRPr="004241F5">
        <w:t>in order to</w:t>
      </w:r>
      <w:proofErr w:type="gramEnd"/>
      <w:r w:rsidRPr="004241F5">
        <w:t xml:space="preserve"> reach the same slice thickness (2.5 mm)</w:t>
      </w:r>
      <w:r w:rsidR="00F01073" w:rsidRPr="004241F5">
        <w:t xml:space="preserve"> for all the CT scan</w:t>
      </w:r>
      <w:r w:rsidRPr="004241F5">
        <w:t>.</w:t>
      </w:r>
    </w:p>
    <w:p w14:paraId="18FEA120" w14:textId="3F38C12B" w:rsidR="00634FC5" w:rsidRPr="004241F5" w:rsidRDefault="00634FC5" w:rsidP="004241F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</w:p>
    <w:p w14:paraId="3582EA6D" w14:textId="0F814946" w:rsidR="00930428" w:rsidRPr="004241F5" w:rsidRDefault="00930428" w:rsidP="004241F5">
      <w:pPr>
        <w:pStyle w:val="Default"/>
        <w:spacing w:line="480" w:lineRule="auto"/>
        <w:rPr>
          <w:b/>
          <w:bCs/>
        </w:rPr>
      </w:pPr>
      <w:r w:rsidRPr="004241F5">
        <w:rPr>
          <w:b/>
          <w:bCs/>
        </w:rPr>
        <w:t>Statistical Analysis</w:t>
      </w:r>
    </w:p>
    <w:p w14:paraId="3EBEB78A" w14:textId="7098EF8E" w:rsidR="00930428" w:rsidRPr="004241F5" w:rsidRDefault="00930428" w:rsidP="004241F5">
      <w:pPr>
        <w:pStyle w:val="Default"/>
        <w:spacing w:line="480" w:lineRule="auto"/>
        <w:jc w:val="both"/>
      </w:pPr>
      <w:r w:rsidRPr="004241F5">
        <w:t xml:space="preserve">Comparisons between numerical variables were performed with Mann-Whitney test, while comparisons between categorical variables with Fisher’s exact test. P-values were adjusted with Bonferroni’s correction to account for multiple testing. Follow-up data were censored at 40 days from hospital admission. Overall survival curve was estimated with the Kaplan-Meier estimator and the log-rank test was applied for comparing groups. The cumulative incidence of </w:t>
      </w:r>
      <w:proofErr w:type="spellStart"/>
      <w:r w:rsidRPr="004241F5">
        <w:t>oro</w:t>
      </w:r>
      <w:proofErr w:type="spellEnd"/>
      <w:r w:rsidRPr="004241F5">
        <w:t xml:space="preserve">-tracheal intubation was estimated using the competing risk approach (with death without intubation as competing event) and Gray’s test was performed for comparing groups. </w:t>
      </w:r>
    </w:p>
    <w:p w14:paraId="496E8007" w14:textId="5DCB45A2" w:rsidR="00FF6FE8" w:rsidRPr="004241F5" w:rsidRDefault="00930428" w:rsidP="004241F5">
      <w:pPr>
        <w:pStyle w:val="EndNoteBibliography"/>
        <w:spacing w:line="480" w:lineRule="auto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lastRenderedPageBreak/>
        <w:t>Cox’s proportional hazards regression analysis was employed for eva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>luating the role of the</w:t>
      </w:r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 several</w:t>
      </w:r>
      <w:r w:rsidR="00F01073" w:rsidRPr="004241F5">
        <w:rPr>
          <w:rFonts w:eastAsiaTheme="minorHAnsi"/>
          <w:noProof w:val="0"/>
          <w:color w:val="000000"/>
          <w:lang w:val="en-US" w:eastAsia="en-US"/>
        </w:rPr>
        <w:t xml:space="preserve"> 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classes </w:t>
      </w:r>
      <w:proofErr w:type="spellStart"/>
      <w:r w:rsidR="00373605" w:rsidRPr="004241F5">
        <w:rPr>
          <w:rFonts w:eastAsiaTheme="minorHAnsi"/>
          <w:noProof w:val="0"/>
          <w:color w:val="000000"/>
          <w:lang w:val="en-US" w:eastAsia="en-US"/>
        </w:rPr>
        <w:t>enlarged</w:t>
      </w:r>
      <w:r w:rsidRPr="004241F5">
        <w:rPr>
          <w:rFonts w:eastAsiaTheme="minorHAnsi"/>
          <w:noProof w:val="0"/>
          <w:color w:val="000000"/>
          <w:lang w:val="en-US" w:eastAsia="en-US"/>
        </w:rPr>
        <w:t>of</w:t>
      </w:r>
      <w:proofErr w:type="spellEnd"/>
      <w:r w:rsidRPr="004241F5">
        <w:rPr>
          <w:rFonts w:eastAsiaTheme="minorHAnsi"/>
          <w:noProof w:val="0"/>
          <w:color w:val="000000"/>
          <w:lang w:val="en-US" w:eastAsia="en-US"/>
        </w:rPr>
        <w:t xml:space="preserve"> MPAD</w:t>
      </w:r>
      <w:r w:rsidR="00723D35" w:rsidRPr="004241F5">
        <w:rPr>
          <w:rFonts w:eastAsiaTheme="minorHAnsi"/>
          <w:noProof w:val="0"/>
          <w:color w:val="000000"/>
          <w:lang w:val="en-US" w:eastAsia="en-US"/>
        </w:rPr>
        <w:t xml:space="preserve"> [1-3] </w:t>
      </w:r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vs normal MPAD </w:t>
      </w:r>
      <w:r w:rsidRPr="004241F5">
        <w:rPr>
          <w:rFonts w:eastAsiaTheme="minorHAnsi"/>
          <w:noProof w:val="0"/>
          <w:color w:val="000000"/>
          <w:lang w:val="en-US" w:eastAsia="en-US"/>
        </w:rPr>
        <w:t xml:space="preserve">in predicting the overall survival, </w:t>
      </w:r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both </w:t>
      </w:r>
      <w:r w:rsidRPr="004241F5">
        <w:rPr>
          <w:rFonts w:eastAsiaTheme="minorHAnsi"/>
          <w:noProof w:val="0"/>
          <w:color w:val="000000"/>
          <w:lang w:val="en-US" w:eastAsia="en-US"/>
        </w:rPr>
        <w:t xml:space="preserve">un-adjusting and adjusting </w:t>
      </w:r>
      <w:r w:rsidR="00723D35" w:rsidRPr="004241F5">
        <w:rPr>
          <w:rFonts w:eastAsiaTheme="minorHAnsi"/>
          <w:noProof w:val="0"/>
          <w:color w:val="000000"/>
          <w:lang w:val="en-US" w:eastAsia="en-US"/>
        </w:rPr>
        <w:t xml:space="preserve">for 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demographics and </w:t>
      </w:r>
    </w:p>
    <w:p w14:paraId="5BB7E045" w14:textId="49871F8E" w:rsidR="00FF6FE8" w:rsidRPr="004241F5" w:rsidRDefault="00930428" w:rsidP="004241F5">
      <w:pPr>
        <w:pStyle w:val="EndNoteBibliography"/>
        <w:spacing w:line="480" w:lineRule="auto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>comorbidities</w:t>
      </w:r>
      <w:r w:rsidR="00E651A7" w:rsidRPr="004241F5">
        <w:rPr>
          <w:rFonts w:eastAsiaTheme="minorHAnsi"/>
          <w:noProof w:val="0"/>
          <w:color w:val="000000"/>
          <w:lang w:val="en-US" w:eastAsia="en-US"/>
        </w:rPr>
        <w:t xml:space="preserve"> (age, sex, hypertension, diabetes, history of cardiovascular disease and chronic lung disease)</w:t>
      </w:r>
      <w:r w:rsidRPr="004241F5">
        <w:rPr>
          <w:rFonts w:eastAsiaTheme="minorHAnsi"/>
          <w:noProof w:val="0"/>
          <w:color w:val="000000"/>
          <w:lang w:val="en-US" w:eastAsia="en-US"/>
        </w:rPr>
        <w:t xml:space="preserve">. </w:t>
      </w:r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Based on the results of this analysis, some classes of MPAD were grouped. </w:t>
      </w:r>
      <w:proofErr w:type="gramStart"/>
      <w:r w:rsidR="00373605" w:rsidRPr="004241F5">
        <w:rPr>
          <w:rFonts w:eastAsiaTheme="minorHAnsi"/>
          <w:noProof w:val="0"/>
          <w:color w:val="000000"/>
          <w:lang w:val="en-US" w:eastAsia="en-US"/>
        </w:rPr>
        <w:t>In order to</w:t>
      </w:r>
      <w:proofErr w:type="gramEnd"/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 reduce the effect potential confounding factors when evaluating the difference in the overall survival with respect to the categorized MPAD when using the Kaplan-Meier curves and the log-rank test, adjusted Kaplan-Meier curves and adjusted log-rank test were computed by using the inverse probability weighting with average treatment effect weights based on a propensity score (PS). The PS was computed using a logistic regression model without variable selection. The variables included in the model were the same used for adjusting the Cox’s regression univariate analysis. </w:t>
      </w:r>
      <w:r w:rsidRPr="004241F5">
        <w:rPr>
          <w:rFonts w:eastAsiaTheme="minorHAnsi"/>
          <w:noProof w:val="0"/>
          <w:color w:val="000000"/>
          <w:lang w:val="en-US" w:eastAsia="en-US"/>
        </w:rPr>
        <w:t>Multivariable Cox’s proportional hazards regre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ssion analysis was employed for </w:t>
      </w:r>
    </w:p>
    <w:p w14:paraId="26BE831C" w14:textId="77777777" w:rsidR="00FF6FE8" w:rsidRPr="004241F5" w:rsidRDefault="00930428" w:rsidP="004241F5">
      <w:pPr>
        <w:pStyle w:val="EndNoteBibliography"/>
        <w:spacing w:line="480" w:lineRule="auto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 xml:space="preserve">evaluating the simultaneous role of CT parameters (categorized 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MPAD, pneumonia extension, well </w:t>
      </w:r>
    </w:p>
    <w:p w14:paraId="1E28A7B1" w14:textId="75BC984C" w:rsidR="004241F5" w:rsidRPr="004241F5" w:rsidRDefault="00930428" w:rsidP="004241F5">
      <w:pPr>
        <w:pStyle w:val="EndNoteBibliography"/>
        <w:spacing w:line="480" w:lineRule="auto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>aerated lung volume</w:t>
      </w:r>
      <w:r w:rsidR="00373605" w:rsidRPr="004241F5">
        <w:rPr>
          <w:rFonts w:eastAsiaTheme="minorHAnsi"/>
          <w:noProof w:val="0"/>
          <w:color w:val="000000"/>
          <w:lang w:val="en-US" w:eastAsia="en-US"/>
        </w:rPr>
        <w:t xml:space="preserve"> in dm3</w:t>
      </w:r>
      <w:r w:rsidRPr="004241F5">
        <w:rPr>
          <w:rFonts w:eastAsiaTheme="minorHAnsi"/>
          <w:noProof w:val="0"/>
          <w:color w:val="000000"/>
          <w:lang w:val="en-US" w:eastAsia="en-US"/>
        </w:rPr>
        <w:t>), laboratory tests (WBC, CRP, creatinine),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 demographics and comorbidities </w:t>
      </w:r>
      <w:r w:rsidRPr="004241F5">
        <w:rPr>
          <w:rFonts w:eastAsiaTheme="minorHAnsi"/>
          <w:noProof w:val="0"/>
          <w:color w:val="000000"/>
          <w:lang w:val="en-US" w:eastAsia="en-US"/>
        </w:rPr>
        <w:t>(age, sex, hypertension, diabetes, history of cardiovascular disea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se and chronic lung disease) in </w:t>
      </w:r>
      <w:r w:rsidRPr="004241F5">
        <w:rPr>
          <w:rFonts w:eastAsiaTheme="minorHAnsi"/>
          <w:noProof w:val="0"/>
          <w:color w:val="000000"/>
          <w:lang w:val="en-US" w:eastAsia="en-US"/>
        </w:rPr>
        <w:t>predicting the overall survival. The final model was obtained with a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 backward variable selection of </w:t>
      </w:r>
      <w:r w:rsidRPr="004241F5">
        <w:rPr>
          <w:rFonts w:eastAsiaTheme="minorHAnsi"/>
          <w:noProof w:val="0"/>
          <w:color w:val="000000"/>
          <w:lang w:val="en-US" w:eastAsia="en-US"/>
        </w:rPr>
        <w:t>all variables included in the model with removal significant l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>evel 0.05.</w:t>
      </w:r>
      <w:r w:rsidR="00D21276">
        <w:rPr>
          <w:rFonts w:eastAsiaTheme="minorHAnsi"/>
          <w:noProof w:val="0"/>
          <w:color w:val="000000"/>
          <w:lang w:val="en-US" w:eastAsia="en-US"/>
        </w:rPr>
        <w:t xml:space="preserve"> </w:t>
      </w:r>
      <w:proofErr w:type="gramStart"/>
      <w:r w:rsidR="00FF6FE8" w:rsidRPr="004241F5">
        <w:rPr>
          <w:rFonts w:eastAsiaTheme="minorHAnsi"/>
          <w:noProof w:val="0"/>
          <w:color w:val="000000"/>
          <w:lang w:val="en-US" w:eastAsia="en-US"/>
        </w:rPr>
        <w:t>Model</w:t>
      </w:r>
      <w:proofErr w:type="gramEnd"/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 calibration was </w:t>
      </w:r>
      <w:r w:rsidRPr="004241F5">
        <w:rPr>
          <w:rFonts w:eastAsiaTheme="minorHAnsi"/>
          <w:noProof w:val="0"/>
          <w:color w:val="000000"/>
          <w:lang w:val="en-US" w:eastAsia="en-US"/>
        </w:rPr>
        <w:t>assessed evaluating the curves of agreement between predicted a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nd observed survival at time 28 </w:t>
      </w:r>
      <w:r w:rsidRPr="004241F5">
        <w:rPr>
          <w:rFonts w:eastAsiaTheme="minorHAnsi"/>
          <w:noProof w:val="0"/>
          <w:color w:val="000000"/>
          <w:lang w:val="en-US" w:eastAsia="en-US"/>
        </w:rPr>
        <w:t xml:space="preserve">days, across deciles of predicted survival corresponding to intervals 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including 50 observations (also </w:t>
      </w:r>
      <w:r w:rsidRPr="004241F5">
        <w:rPr>
          <w:rFonts w:eastAsiaTheme="minorHAnsi"/>
          <w:noProof w:val="0"/>
          <w:color w:val="000000"/>
          <w:lang w:val="en-US" w:eastAsia="en-US"/>
        </w:rPr>
        <w:t xml:space="preserve">optimism corrected curve was computed, since the computation is 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done on the derivation cohort). </w:t>
      </w:r>
    </w:p>
    <w:p w14:paraId="74767D5D" w14:textId="1C3E53FC" w:rsidR="00FF6FE8" w:rsidRPr="004241F5" w:rsidRDefault="00930428" w:rsidP="004241F5">
      <w:pPr>
        <w:pStyle w:val="EndNoteBibliography"/>
        <w:spacing w:line="480" w:lineRule="auto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 xml:space="preserve">Model discrimination was evaluated with the optimism corrected c-index (since computed on the </w:t>
      </w:r>
    </w:p>
    <w:p w14:paraId="0024618A" w14:textId="77777777" w:rsidR="00FF6FE8" w:rsidRPr="004241F5" w:rsidRDefault="00930428" w:rsidP="004241F5">
      <w:pPr>
        <w:pStyle w:val="EndNoteBibliography"/>
        <w:spacing w:line="480" w:lineRule="auto"/>
        <w:ind w:left="720" w:hanging="720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>derivation cohort) with confidence interval computed using 500 boo</w:t>
      </w:r>
      <w:r w:rsidR="00FF6FE8" w:rsidRPr="004241F5">
        <w:rPr>
          <w:rFonts w:eastAsiaTheme="minorHAnsi"/>
          <w:noProof w:val="0"/>
          <w:color w:val="000000"/>
          <w:lang w:val="en-US" w:eastAsia="en-US"/>
        </w:rPr>
        <w:t xml:space="preserve">tstrap resamples. To assess the </w:t>
      </w:r>
    </w:p>
    <w:p w14:paraId="017ACA76" w14:textId="545A87DD" w:rsidR="00FF6FE8" w:rsidRPr="004241F5" w:rsidRDefault="00930428" w:rsidP="004241F5">
      <w:pPr>
        <w:pStyle w:val="EndNoteBibliography"/>
        <w:spacing w:line="480" w:lineRule="auto"/>
        <w:ind w:left="720" w:hanging="720"/>
        <w:jc w:val="both"/>
        <w:rPr>
          <w:rFonts w:eastAsiaTheme="minorHAnsi"/>
          <w:noProof w:val="0"/>
          <w:color w:val="000000"/>
          <w:lang w:val="en-US" w:eastAsia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 xml:space="preserve">role of gender in categorized MAD with respect to the outcome, the final Cox’s model was </w:t>
      </w:r>
    </w:p>
    <w:p w14:paraId="35940D17" w14:textId="00B858F0" w:rsidR="00930428" w:rsidRPr="004241F5" w:rsidRDefault="00930428" w:rsidP="004241F5">
      <w:pPr>
        <w:pStyle w:val="EndNoteBibliography"/>
        <w:spacing w:line="480" w:lineRule="auto"/>
        <w:ind w:left="720" w:hanging="720"/>
        <w:jc w:val="both"/>
        <w:rPr>
          <w:lang w:val="en-US"/>
        </w:rPr>
      </w:pPr>
      <w:r w:rsidRPr="004241F5">
        <w:rPr>
          <w:rFonts w:eastAsiaTheme="minorHAnsi"/>
          <w:noProof w:val="0"/>
          <w:color w:val="000000"/>
          <w:lang w:val="en-US" w:eastAsia="en-US"/>
        </w:rPr>
        <w:t>estimated adding an interaction term between the two variables.</w:t>
      </w:r>
    </w:p>
    <w:p w14:paraId="0BC6EAAC" w14:textId="7660314F" w:rsidR="00930428" w:rsidRPr="004241F5" w:rsidRDefault="00930428" w:rsidP="004241F5">
      <w:pPr>
        <w:pStyle w:val="Default"/>
        <w:spacing w:line="480" w:lineRule="auto"/>
        <w:jc w:val="both"/>
        <w:rPr>
          <w:color w:val="auto"/>
        </w:rPr>
      </w:pPr>
      <w:r w:rsidRPr="004241F5">
        <w:rPr>
          <w:color w:val="auto"/>
        </w:rPr>
        <w:t xml:space="preserve">For validating the role of categorized MPAD as risk factor for overall survival, the adjusted Cox’s regression analysis, the calibration </w:t>
      </w:r>
      <w:proofErr w:type="gramStart"/>
      <w:r w:rsidRPr="004241F5">
        <w:rPr>
          <w:color w:val="auto"/>
        </w:rPr>
        <w:t>curve</w:t>
      </w:r>
      <w:proofErr w:type="gramEnd"/>
      <w:r w:rsidRPr="004241F5">
        <w:rPr>
          <w:color w:val="auto"/>
        </w:rPr>
        <w:t xml:space="preserve"> and the c-index (with bootstrap confidence interval) of the </w:t>
      </w:r>
      <w:r w:rsidRPr="004241F5">
        <w:rPr>
          <w:color w:val="auto"/>
        </w:rPr>
        <w:lastRenderedPageBreak/>
        <w:t>final multivariable Cox’s model</w:t>
      </w:r>
      <w:r w:rsidR="00373605" w:rsidRPr="004241F5">
        <w:rPr>
          <w:color w:val="auto"/>
        </w:rPr>
        <w:t xml:space="preserve"> </w:t>
      </w:r>
      <w:r w:rsidR="00373605" w:rsidRPr="004241F5">
        <w:t>(obtained in the derivation cohort)</w:t>
      </w:r>
      <w:r w:rsidRPr="004241F5">
        <w:rPr>
          <w:color w:val="auto"/>
        </w:rPr>
        <w:t xml:space="preserve"> were computed on the validation cohort. </w:t>
      </w:r>
    </w:p>
    <w:p w14:paraId="69258E9D" w14:textId="301AFD95" w:rsidR="00930428" w:rsidRPr="004241F5" w:rsidRDefault="00930428" w:rsidP="004241F5">
      <w:pPr>
        <w:pStyle w:val="Default"/>
        <w:spacing w:line="480" w:lineRule="auto"/>
        <w:jc w:val="both"/>
        <w:rPr>
          <w:color w:val="auto"/>
        </w:rPr>
      </w:pPr>
      <w:proofErr w:type="spellStart"/>
      <w:r w:rsidRPr="004241F5">
        <w:rPr>
          <w:color w:val="auto"/>
        </w:rPr>
        <w:t>Rothery’s</w:t>
      </w:r>
      <w:proofErr w:type="spellEnd"/>
      <w:r w:rsidRPr="004241F5">
        <w:rPr>
          <w:color w:val="auto"/>
        </w:rPr>
        <w:t xml:space="preserve"> non-parametric intra-class correlation coefficient (ICC)</w:t>
      </w:r>
      <w:r w:rsidR="00723D35" w:rsidRPr="004241F5">
        <w:rPr>
          <w:color w:val="auto"/>
        </w:rPr>
        <w:t xml:space="preserve"> [4] </w:t>
      </w:r>
      <w:r w:rsidRPr="004241F5">
        <w:rPr>
          <w:color w:val="auto"/>
        </w:rPr>
        <w:t>was computed to assess inter-observer reliability between two readers for the MPAD</w:t>
      </w:r>
      <w:r w:rsidR="00373605" w:rsidRPr="004241F5">
        <w:t>, while Cohen's kappa coefficient for the pneumonia score</w:t>
      </w:r>
      <w:r w:rsidR="00373605" w:rsidRPr="004241F5">
        <w:rPr>
          <w:color w:val="auto"/>
        </w:rPr>
        <w:t>.</w:t>
      </w:r>
    </w:p>
    <w:p w14:paraId="60DD1DD6" w14:textId="500219DB" w:rsidR="00930428" w:rsidRPr="004241F5" w:rsidRDefault="00930428" w:rsidP="004241F5">
      <w:pPr>
        <w:pStyle w:val="Default"/>
        <w:spacing w:line="480" w:lineRule="auto"/>
        <w:jc w:val="both"/>
        <w:rPr>
          <w:color w:val="auto"/>
        </w:rPr>
      </w:pPr>
      <w:r w:rsidRPr="004241F5">
        <w:rPr>
          <w:color w:val="auto"/>
        </w:rPr>
        <w:t xml:space="preserve">Missing data were not imputed, thus each analysis considered only </w:t>
      </w:r>
      <w:r w:rsidRPr="004241F5">
        <w:t>complete cases for the variables used in the analysis. All tests were 2-</w:t>
      </w:r>
      <w:proofErr w:type="gramStart"/>
      <w:r w:rsidRPr="004241F5">
        <w:t>sided</w:t>
      </w:r>
      <w:proofErr w:type="gramEnd"/>
      <w:r w:rsidRPr="004241F5">
        <w:t xml:space="preserve"> and the significance level was set at 0.05. Confidence intervals (CIs) were computed at 95% level. All statistical analyses were performed using R 3.5.0 (</w:t>
      </w:r>
      <w:hyperlink r:id="rId8" w:history="1">
        <w:r w:rsidRPr="004241F5">
          <w:rPr>
            <w:rStyle w:val="Hyperlink"/>
          </w:rPr>
          <w:t>http://www.R-project.org/</w:t>
        </w:r>
      </w:hyperlink>
      <w:r w:rsidRPr="004241F5">
        <w:t xml:space="preserve">). </w:t>
      </w:r>
      <w:r w:rsidRPr="004241F5">
        <w:rPr>
          <w:color w:val="auto"/>
        </w:rPr>
        <w:t xml:space="preserve">The survival package was employed for performing survival analysis, IPW survival for adjusted survival analysis with inversed probability weighting, </w:t>
      </w:r>
      <w:proofErr w:type="spellStart"/>
      <w:r w:rsidRPr="004241F5">
        <w:rPr>
          <w:color w:val="auto"/>
        </w:rPr>
        <w:t>survminer</w:t>
      </w:r>
      <w:proofErr w:type="spellEnd"/>
      <w:r w:rsidRPr="004241F5">
        <w:rPr>
          <w:color w:val="auto"/>
        </w:rPr>
        <w:t xml:space="preserve"> for plotting survival curves, </w:t>
      </w:r>
      <w:proofErr w:type="spellStart"/>
      <w:r w:rsidRPr="004241F5">
        <w:rPr>
          <w:color w:val="auto"/>
        </w:rPr>
        <w:t>cmprsk</w:t>
      </w:r>
      <w:proofErr w:type="spellEnd"/>
      <w:r w:rsidRPr="004241F5">
        <w:rPr>
          <w:color w:val="auto"/>
        </w:rPr>
        <w:t xml:space="preserve"> for performing competing risk analysis, the rms package for computing the calibration curve and c-index, the psych package for the Cohen's kappa while the </w:t>
      </w:r>
      <w:proofErr w:type="spellStart"/>
      <w:r w:rsidRPr="004241F5">
        <w:rPr>
          <w:color w:val="auto"/>
        </w:rPr>
        <w:t>nopaco</w:t>
      </w:r>
      <w:proofErr w:type="spellEnd"/>
      <w:r w:rsidRPr="004241F5">
        <w:rPr>
          <w:color w:val="auto"/>
        </w:rPr>
        <w:t xml:space="preserve"> package for the </w:t>
      </w:r>
      <w:proofErr w:type="spellStart"/>
      <w:r w:rsidRPr="004241F5">
        <w:rPr>
          <w:color w:val="auto"/>
        </w:rPr>
        <w:t>Rothery’s</w:t>
      </w:r>
      <w:proofErr w:type="spellEnd"/>
      <w:r w:rsidRPr="004241F5">
        <w:rPr>
          <w:color w:val="auto"/>
        </w:rPr>
        <w:t xml:space="preserve"> ICC.</w:t>
      </w:r>
    </w:p>
    <w:p w14:paraId="7BA6CF15" w14:textId="4C4B6560" w:rsidR="00723D35" w:rsidRPr="004241F5" w:rsidRDefault="004241F5" w:rsidP="004241F5">
      <w:pPr>
        <w:pStyle w:val="Default"/>
        <w:spacing w:line="480" w:lineRule="auto"/>
        <w:rPr>
          <w:color w:val="auto"/>
        </w:rPr>
      </w:pPr>
      <w:r>
        <w:rPr>
          <w:color w:val="auto"/>
        </w:rPr>
        <w:t>References</w:t>
      </w:r>
    </w:p>
    <w:p w14:paraId="39E19406" w14:textId="3133F131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>1. Truong QA, Bhatia HS, Szymonifka J, et al. A four-tier classification system of pulmonary artery</w:t>
      </w:r>
    </w:p>
    <w:p w14:paraId="1DF87BB4" w14:textId="77777777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i/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 xml:space="preserve">metrics on computed tomography for the diagnosis and prognosis of pulmonary hypertension. </w:t>
      </w:r>
      <w:r w:rsidRPr="004241F5">
        <w:rPr>
          <w:i/>
          <w:sz w:val="22"/>
          <w:szCs w:val="22"/>
          <w:lang w:val="en-US"/>
        </w:rPr>
        <w:t>J</w:t>
      </w:r>
    </w:p>
    <w:p w14:paraId="4FE9F9A3" w14:textId="41264859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i/>
          <w:sz w:val="22"/>
          <w:szCs w:val="22"/>
          <w:lang w:val="en-US"/>
        </w:rPr>
        <w:t xml:space="preserve">Cardiovasc Comput Tomogr. </w:t>
      </w:r>
      <w:r w:rsidRPr="004241F5">
        <w:rPr>
          <w:sz w:val="22"/>
          <w:szCs w:val="22"/>
          <w:lang w:val="en-US"/>
        </w:rPr>
        <w:t>2018;12(1):60-66.</w:t>
      </w:r>
    </w:p>
    <w:p w14:paraId="758AB0A6" w14:textId="77777777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 xml:space="preserve">2.  Tan RT, Kuzo R, Goodman LR, Siegel R, Haasler  GB, Presberg KW. Utility of CT scan </w:t>
      </w:r>
    </w:p>
    <w:p w14:paraId="2BB9CC99" w14:textId="77777777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>evaluation for predicting pulmonary hypertension in patients  with parenchymal lung disease.</w:t>
      </w:r>
    </w:p>
    <w:p w14:paraId="1F831A59" w14:textId="516F0904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 xml:space="preserve"> Medical College  of Wisconsin Lung Transplant Group. Chest. 1998;113(5):1250-1256.</w:t>
      </w:r>
    </w:p>
    <w:p w14:paraId="2DE059F5" w14:textId="77777777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 xml:space="preserve">3.Truong QA, Massaro JM, Rogers IS, et al. Reference values for normal pulmonary artery </w:t>
      </w:r>
    </w:p>
    <w:p w14:paraId="19B70B6B" w14:textId="77777777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i/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 xml:space="preserve">dimensions by noncontrast cardiac computed tomography: the Framingham Heart Study. </w:t>
      </w:r>
      <w:r w:rsidRPr="004241F5">
        <w:rPr>
          <w:i/>
          <w:sz w:val="22"/>
          <w:szCs w:val="22"/>
          <w:lang w:val="en-US"/>
        </w:rPr>
        <w:t xml:space="preserve">Circ </w:t>
      </w:r>
    </w:p>
    <w:p w14:paraId="7FCFFDAD" w14:textId="39F20D23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i/>
          <w:sz w:val="22"/>
          <w:szCs w:val="22"/>
          <w:lang w:val="en-US"/>
        </w:rPr>
        <w:t xml:space="preserve">Cardiovasc Imaging. </w:t>
      </w:r>
      <w:r w:rsidRPr="004241F5">
        <w:rPr>
          <w:sz w:val="22"/>
          <w:szCs w:val="22"/>
          <w:lang w:val="en-US"/>
        </w:rPr>
        <w:t>2012;5(1):147-15.</w:t>
      </w:r>
    </w:p>
    <w:p w14:paraId="15EEBFE0" w14:textId="037CFAAE" w:rsidR="00723D35" w:rsidRPr="004241F5" w:rsidRDefault="00723D35" w:rsidP="004241F5">
      <w:pPr>
        <w:pStyle w:val="EndNoteBibliography"/>
        <w:spacing w:line="480" w:lineRule="auto"/>
        <w:ind w:left="720" w:hanging="720"/>
        <w:jc w:val="both"/>
        <w:rPr>
          <w:sz w:val="22"/>
          <w:szCs w:val="22"/>
          <w:lang w:val="en-US"/>
        </w:rPr>
      </w:pPr>
      <w:r w:rsidRPr="004241F5">
        <w:rPr>
          <w:sz w:val="22"/>
          <w:szCs w:val="22"/>
          <w:lang w:val="en-US"/>
        </w:rPr>
        <w:t>4. Rothery (1979). A nonparametric measure of intraclass correlation, Biometrika 66(3):629-639</w:t>
      </w:r>
      <w:r w:rsidR="004241F5" w:rsidRPr="004241F5">
        <w:rPr>
          <w:sz w:val="22"/>
          <w:szCs w:val="22"/>
          <w:lang w:val="en-US"/>
        </w:rPr>
        <w:t>.</w:t>
      </w:r>
    </w:p>
    <w:p w14:paraId="11FFC4F8" w14:textId="035F0DCB" w:rsidR="00930428" w:rsidRDefault="00930428" w:rsidP="004241F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</w:p>
    <w:p w14:paraId="70A0D72C" w14:textId="77777777" w:rsidR="00E74BA7" w:rsidRPr="004241F5" w:rsidRDefault="00E74BA7" w:rsidP="004241F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</w:p>
    <w:p w14:paraId="3ED77986" w14:textId="7B9EB12B" w:rsidR="00930428" w:rsidRPr="004241F5" w:rsidRDefault="00930428" w:rsidP="004241F5">
      <w:pPr>
        <w:autoSpaceDE w:val="0"/>
        <w:autoSpaceDN w:val="0"/>
        <w:adjustRightInd w:val="0"/>
        <w:spacing w:line="480" w:lineRule="auto"/>
        <w:rPr>
          <w:b/>
          <w:lang w:val="en-US"/>
        </w:rPr>
      </w:pPr>
      <w:r w:rsidRPr="004241F5">
        <w:rPr>
          <w:b/>
          <w:lang w:val="en-US"/>
        </w:rPr>
        <w:lastRenderedPageBreak/>
        <w:t>Figure S1 Calibration analysis of the final multivariable Cox’s regression model in both the derivation and validation cohorts.</w:t>
      </w:r>
    </w:p>
    <w:p w14:paraId="6B5DE9BC" w14:textId="77777777" w:rsidR="00930428" w:rsidRPr="004241F5" w:rsidRDefault="00930428" w:rsidP="004241F5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4241F5">
        <w:rPr>
          <w:lang w:val="en-US"/>
        </w:rPr>
        <w:t>For each cohort, the curves represent predicted versus observed survival at time 28 days, across deciles of predicted survival corresponding to intervals including 50 observations. The curves show a good agreement. The grey line represents the ideal curve, the black line the observed curve, while the blue line the optimism-corrected curve (obtained with 500 bootstrap samples).</w:t>
      </w:r>
    </w:p>
    <w:p w14:paraId="713F39ED" w14:textId="6CA9A0C7" w:rsidR="00337048" w:rsidRPr="004241F5" w:rsidRDefault="00930428" w:rsidP="004241F5">
      <w:pPr>
        <w:spacing w:line="480" w:lineRule="auto"/>
      </w:pPr>
      <w:r w:rsidRPr="004241F5">
        <w:rPr>
          <w:noProof/>
        </w:rPr>
        <w:drawing>
          <wp:inline distT="0" distB="0" distL="0" distR="0" wp14:anchorId="1D2275E7" wp14:editId="4E11CECC">
            <wp:extent cx="3022600" cy="30226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ration28daysDerivation_24102020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93" cy="30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1F5">
        <w:rPr>
          <w:noProof/>
        </w:rPr>
        <w:drawing>
          <wp:inline distT="0" distB="0" distL="0" distR="0" wp14:anchorId="1C374493" wp14:editId="0F4E746D">
            <wp:extent cx="3028950" cy="3028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ration28daysValidation_24102020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141" cy="30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A2D3" w14:textId="656B9630" w:rsidR="00E74BA7" w:rsidRDefault="00E74BA7">
      <w:pPr>
        <w:spacing w:after="20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6B6D9C28" w14:textId="77777777" w:rsidR="00337048" w:rsidRPr="004241F5" w:rsidRDefault="00337048" w:rsidP="004241F5">
      <w:pPr>
        <w:spacing w:line="480" w:lineRule="auto"/>
        <w:rPr>
          <w:color w:val="000000"/>
          <w:lang w:val="en-US"/>
        </w:rPr>
      </w:pPr>
    </w:p>
    <w:p w14:paraId="7207D7FD" w14:textId="18B5ED2C" w:rsidR="00511024" w:rsidRPr="004241F5" w:rsidRDefault="00511024" w:rsidP="004241F5">
      <w:pPr>
        <w:shd w:val="clear" w:color="auto" w:fill="FFFFFF"/>
        <w:spacing w:line="480" w:lineRule="auto"/>
        <w:textAlignment w:val="baseline"/>
        <w:rPr>
          <w:color w:val="000000"/>
          <w:lang w:val="en-US" w:eastAsia="en-US"/>
        </w:rPr>
      </w:pPr>
      <w:r w:rsidRPr="004241F5">
        <w:rPr>
          <w:b/>
          <w:bCs/>
          <w:color w:val="000000"/>
          <w:lang w:val="en-US" w:eastAsia="en-US"/>
        </w:rPr>
        <w:t>Table S1.</w:t>
      </w:r>
      <w:r w:rsidRPr="004241F5">
        <w:rPr>
          <w:color w:val="000000"/>
          <w:lang w:val="en-US" w:eastAsia="en-US"/>
        </w:rPr>
        <w:t> Cox’s univariate regression model for evaluating </w:t>
      </w:r>
      <w:r w:rsidRPr="004241F5">
        <w:rPr>
          <w:lang w:val="en-US" w:eastAsia="en-US"/>
        </w:rPr>
        <w:t>the role of the several classes of enlarged MPAD vs normal MPAD in predicting</w:t>
      </w:r>
      <w:r w:rsidRPr="004241F5">
        <w:rPr>
          <w:color w:val="000000"/>
          <w:lang w:val="en-US" w:eastAsia="en-US"/>
        </w:rPr>
        <w:t> the overall survival in the derivation cohort. </w:t>
      </w:r>
    </w:p>
    <w:p w14:paraId="1658697C" w14:textId="77777777" w:rsidR="004241F5" w:rsidRPr="004241F5" w:rsidRDefault="004241F5" w:rsidP="004241F5">
      <w:pPr>
        <w:shd w:val="clear" w:color="auto" w:fill="FFFFFF"/>
        <w:spacing w:line="480" w:lineRule="auto"/>
        <w:textAlignment w:val="baseline"/>
        <w:rPr>
          <w:lang w:val="en-US" w:eastAsia="en-US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2986"/>
        <w:gridCol w:w="2007"/>
      </w:tblGrid>
      <w:tr w:rsidR="00511024" w:rsidRPr="004241F5" w14:paraId="7DA820EE" w14:textId="77777777" w:rsidTr="00511024">
        <w:trPr>
          <w:trHeight w:val="480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F60989" w14:textId="77777777" w:rsidR="00511024" w:rsidRPr="004241F5" w:rsidRDefault="00511024" w:rsidP="004241F5">
            <w:pPr>
              <w:spacing w:line="360" w:lineRule="auto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D893BA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b/>
                <w:bCs/>
                <w:color w:val="000000"/>
                <w:lang w:eastAsia="en-US"/>
              </w:rPr>
              <w:t>Derivation cohort (n=761)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  <w:tr w:rsidR="00511024" w:rsidRPr="004241F5" w14:paraId="11ED50E6" w14:textId="77777777" w:rsidTr="00511024">
        <w:trPr>
          <w:trHeight w:val="480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044CE9" w14:textId="77777777" w:rsidR="00511024" w:rsidRPr="004241F5" w:rsidRDefault="00511024" w:rsidP="004241F5">
            <w:pPr>
              <w:spacing w:line="360" w:lineRule="auto"/>
              <w:textAlignment w:val="baseline"/>
              <w:rPr>
                <w:lang w:val="en-US" w:eastAsia="en-US"/>
              </w:rPr>
            </w:pPr>
            <w:r w:rsidRPr="004241F5">
              <w:rPr>
                <w:b/>
                <w:bCs/>
                <w:color w:val="000000"/>
                <w:lang w:eastAsia="en-US"/>
              </w:rPr>
              <w:t>Variable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0769A0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b/>
                <w:bCs/>
                <w:color w:val="000000"/>
                <w:lang w:eastAsia="en-US"/>
              </w:rPr>
              <w:t>HR [95% CI]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6BF6F1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b/>
                <w:bCs/>
                <w:color w:val="000000"/>
                <w:lang w:eastAsia="en-US"/>
              </w:rPr>
              <w:t>p-value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  <w:tr w:rsidR="00511024" w:rsidRPr="004241F5" w14:paraId="713FC732" w14:textId="77777777" w:rsidTr="00511024">
        <w:trPr>
          <w:trHeight w:val="480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536C2" w14:textId="77777777" w:rsidR="00511024" w:rsidRPr="004241F5" w:rsidRDefault="00511024" w:rsidP="004241F5">
            <w:pPr>
              <w:spacing w:line="360" w:lineRule="auto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val="en-US" w:eastAsia="en-US"/>
              </w:rPr>
              <w:t>Main pulmonary artery diameter enlargement 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529AF2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0F3A63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  <w:tr w:rsidR="00511024" w:rsidRPr="004241F5" w14:paraId="66E4D060" w14:textId="77777777" w:rsidTr="00511024">
        <w:trPr>
          <w:trHeight w:val="480"/>
        </w:trPr>
        <w:tc>
          <w:tcPr>
            <w:tcW w:w="4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C432" w14:textId="77777777" w:rsidR="00511024" w:rsidRPr="004241F5" w:rsidRDefault="00511024" w:rsidP="004241F5">
            <w:pPr>
              <w:spacing w:line="360" w:lineRule="auto"/>
              <w:jc w:val="right"/>
              <w:textAlignment w:val="baseline"/>
              <w:rPr>
                <w:lang w:val="en-US" w:eastAsia="en-US"/>
              </w:rPr>
            </w:pPr>
            <w:r w:rsidRPr="004241F5">
              <w:rPr>
                <w:lang w:eastAsia="en-US"/>
              </w:rPr>
              <w:t>mild vs normal</w:t>
            </w:r>
            <w:r w:rsidRPr="004241F5">
              <w:rPr>
                <w:lang w:val="en-US" w:eastAsia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7895E4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1.387 [0.876-2.196]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B42F7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0.163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  <w:tr w:rsidR="00511024" w:rsidRPr="004241F5" w14:paraId="22D62758" w14:textId="77777777" w:rsidTr="00511024">
        <w:trPr>
          <w:trHeight w:val="480"/>
        </w:trPr>
        <w:tc>
          <w:tcPr>
            <w:tcW w:w="4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1ADA20" w14:textId="77777777" w:rsidR="00511024" w:rsidRPr="004241F5" w:rsidRDefault="00511024" w:rsidP="004241F5">
            <w:pPr>
              <w:spacing w:line="360" w:lineRule="auto"/>
              <w:jc w:val="right"/>
              <w:textAlignment w:val="baseline"/>
              <w:rPr>
                <w:lang w:val="en-US" w:eastAsia="en-US"/>
              </w:rPr>
            </w:pPr>
            <w:r w:rsidRPr="004241F5">
              <w:rPr>
                <w:lang w:eastAsia="en-US"/>
              </w:rPr>
              <w:t>moderate vs normal</w:t>
            </w:r>
            <w:r w:rsidRPr="004241F5">
              <w:rPr>
                <w:lang w:val="en-US" w:eastAsia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2EE300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2.311 [1.594-3.350]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76E0F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&lt;0.001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  <w:tr w:rsidR="00511024" w:rsidRPr="004241F5" w14:paraId="7F2B9D8E" w14:textId="77777777" w:rsidTr="00511024">
        <w:trPr>
          <w:trHeight w:val="480"/>
        </w:trPr>
        <w:tc>
          <w:tcPr>
            <w:tcW w:w="4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B0120B" w14:textId="77777777" w:rsidR="00511024" w:rsidRPr="004241F5" w:rsidRDefault="00511024" w:rsidP="004241F5">
            <w:pPr>
              <w:spacing w:line="360" w:lineRule="auto"/>
              <w:jc w:val="right"/>
              <w:textAlignment w:val="baseline"/>
              <w:rPr>
                <w:lang w:val="en-US" w:eastAsia="en-US"/>
              </w:rPr>
            </w:pPr>
            <w:r w:rsidRPr="004241F5">
              <w:rPr>
                <w:lang w:eastAsia="en-US"/>
              </w:rPr>
              <w:t>severe vs normal</w:t>
            </w:r>
            <w:r w:rsidRPr="004241F5">
              <w:rPr>
                <w:lang w:val="en-US" w:eastAsia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0F6E1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3.001 [1.797-5.010]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FBE921" w14:textId="77777777" w:rsidR="00511024" w:rsidRPr="004241F5" w:rsidRDefault="00511024" w:rsidP="004241F5">
            <w:pPr>
              <w:spacing w:line="360" w:lineRule="auto"/>
              <w:jc w:val="center"/>
              <w:textAlignment w:val="baseline"/>
              <w:rPr>
                <w:lang w:val="en-US" w:eastAsia="en-US"/>
              </w:rPr>
            </w:pPr>
            <w:r w:rsidRPr="004241F5">
              <w:rPr>
                <w:color w:val="000000"/>
                <w:lang w:eastAsia="en-US"/>
              </w:rPr>
              <w:t>&lt;0.001</w:t>
            </w:r>
            <w:r w:rsidRPr="004241F5">
              <w:rPr>
                <w:color w:val="000000"/>
                <w:lang w:val="en-US" w:eastAsia="en-US"/>
              </w:rPr>
              <w:t> </w:t>
            </w:r>
          </w:p>
        </w:tc>
      </w:tr>
    </w:tbl>
    <w:p w14:paraId="120A0F9C" w14:textId="3DBC0B67" w:rsidR="00337048" w:rsidRDefault="00511024" w:rsidP="004241F5">
      <w:pPr>
        <w:spacing w:line="480" w:lineRule="auto"/>
        <w:textAlignment w:val="baseline"/>
        <w:rPr>
          <w:lang w:val="en-US" w:eastAsia="en-US"/>
        </w:rPr>
      </w:pPr>
      <w:r w:rsidRPr="004241F5">
        <w:rPr>
          <w:lang w:val="en-US" w:eastAsia="en-US"/>
        </w:rPr>
        <w:t> </w:t>
      </w:r>
    </w:p>
    <w:p w14:paraId="720E4CAD" w14:textId="670C99DF" w:rsidR="00E74BA7" w:rsidRDefault="00E74BA7">
      <w:pPr>
        <w:spacing w:after="200" w:line="276" w:lineRule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6977FD37" w14:textId="77777777" w:rsidR="004241F5" w:rsidRPr="004241F5" w:rsidRDefault="004241F5" w:rsidP="004241F5">
      <w:pPr>
        <w:spacing w:line="480" w:lineRule="auto"/>
        <w:textAlignment w:val="baseline"/>
        <w:rPr>
          <w:lang w:val="en-US" w:eastAsia="en-US"/>
        </w:rPr>
      </w:pPr>
    </w:p>
    <w:p w14:paraId="27059A2E" w14:textId="3B9771F2" w:rsidR="00314997" w:rsidRPr="004241F5" w:rsidRDefault="00314997" w:rsidP="004241F5">
      <w:pPr>
        <w:autoSpaceDE w:val="0"/>
        <w:autoSpaceDN w:val="0"/>
        <w:adjustRightInd w:val="0"/>
        <w:spacing w:line="480" w:lineRule="auto"/>
        <w:rPr>
          <w:color w:val="000000"/>
          <w:lang w:val="en-US"/>
        </w:rPr>
      </w:pPr>
      <w:r w:rsidRPr="004241F5">
        <w:rPr>
          <w:b/>
          <w:color w:val="000000"/>
          <w:lang w:val="en-US"/>
        </w:rPr>
        <w:t>Tabl</w:t>
      </w:r>
      <w:r w:rsidR="006F7CA6" w:rsidRPr="004241F5">
        <w:rPr>
          <w:b/>
          <w:color w:val="000000"/>
          <w:lang w:val="en-US"/>
        </w:rPr>
        <w:t>e S2</w:t>
      </w:r>
      <w:r w:rsidRPr="004241F5">
        <w:rPr>
          <w:color w:val="000000"/>
          <w:lang w:val="en-US"/>
        </w:rPr>
        <w:t xml:space="preserve">. Main clinical and CT features of </w:t>
      </w:r>
      <w:proofErr w:type="gramStart"/>
      <w:r w:rsidRPr="004241F5">
        <w:rPr>
          <w:color w:val="000000"/>
          <w:lang w:val="en-US"/>
        </w:rPr>
        <w:t>females</w:t>
      </w:r>
      <w:proofErr w:type="gramEnd"/>
      <w:r w:rsidRPr="004241F5">
        <w:rPr>
          <w:color w:val="000000"/>
          <w:lang w:val="en-US"/>
        </w:rPr>
        <w:t xml:space="preserve"> vs males in the derivation cohort. </w:t>
      </w:r>
    </w:p>
    <w:tbl>
      <w:tblPr>
        <w:tblW w:w="51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2480"/>
        <w:gridCol w:w="2060"/>
        <w:gridCol w:w="10"/>
        <w:gridCol w:w="1344"/>
      </w:tblGrid>
      <w:tr w:rsidR="005543EB" w:rsidRPr="004241F5" w14:paraId="3946C2FC" w14:textId="77777777" w:rsidTr="005543EB">
        <w:trPr>
          <w:trHeight w:val="31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DA1" w14:textId="77777777" w:rsidR="005543EB" w:rsidRPr="004241F5" w:rsidRDefault="005543EB" w:rsidP="004241F5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4241F5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C7F1" w14:textId="77777777" w:rsidR="005543EB" w:rsidRPr="004241F5" w:rsidRDefault="005543EB" w:rsidP="004241F5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14:paraId="5CE822D8" w14:textId="77777777" w:rsidR="005543EB" w:rsidRPr="004241F5" w:rsidRDefault="005543EB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Females</w:t>
            </w:r>
          </w:p>
          <w:p w14:paraId="508D9E72" w14:textId="77777777" w:rsidR="005543EB" w:rsidRPr="004241F5" w:rsidRDefault="005543EB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(n=224)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5D6B" w14:textId="77777777" w:rsidR="005543EB" w:rsidRPr="004241F5" w:rsidRDefault="005543EB" w:rsidP="004241F5">
            <w:pPr>
              <w:spacing w:after="200" w:line="360" w:lineRule="auto"/>
              <w:rPr>
                <w:b/>
                <w:bCs/>
                <w:color w:val="000000"/>
              </w:rPr>
            </w:pPr>
          </w:p>
          <w:p w14:paraId="1680C231" w14:textId="77777777" w:rsidR="005543EB" w:rsidRPr="004241F5" w:rsidRDefault="005543EB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Males</w:t>
            </w:r>
          </w:p>
          <w:p w14:paraId="64A68FFD" w14:textId="77777777" w:rsidR="005543EB" w:rsidRPr="004241F5" w:rsidRDefault="005543EB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(n=537)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D3F8" w14:textId="77777777" w:rsidR="005543EB" w:rsidRPr="004241F5" w:rsidRDefault="005543EB" w:rsidP="004241F5">
            <w:pPr>
              <w:spacing w:after="200" w:line="360" w:lineRule="auto"/>
            </w:pPr>
            <w:r w:rsidRPr="004241F5">
              <w:rPr>
                <w:b/>
                <w:bCs/>
                <w:color w:val="000000"/>
              </w:rPr>
              <w:t> </w:t>
            </w:r>
          </w:p>
        </w:tc>
      </w:tr>
      <w:tr w:rsidR="00C803D7" w:rsidRPr="004241F5" w14:paraId="6EFE7D1A" w14:textId="77777777" w:rsidTr="005543EB">
        <w:trPr>
          <w:trHeight w:val="36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AFB" w14:textId="77777777" w:rsidR="00C803D7" w:rsidRPr="004241F5" w:rsidRDefault="00C803D7" w:rsidP="004241F5">
            <w:pPr>
              <w:spacing w:line="360" w:lineRule="auto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variables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FC6D" w14:textId="77777777" w:rsidR="00C803D7" w:rsidRPr="004241F5" w:rsidRDefault="00C803D7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  <w:lang w:val="en-US"/>
              </w:rPr>
              <w:t xml:space="preserve">  median [IQR]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B5B" w14:textId="77777777" w:rsidR="00C803D7" w:rsidRPr="004241F5" w:rsidRDefault="00C803D7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  <w:lang w:val="en-US"/>
              </w:rPr>
              <w:t xml:space="preserve">  median [IQR]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257" w14:textId="77777777" w:rsidR="00C803D7" w:rsidRPr="004241F5" w:rsidRDefault="00C803D7" w:rsidP="004241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4241F5">
              <w:rPr>
                <w:b/>
                <w:bCs/>
                <w:color w:val="000000"/>
              </w:rPr>
              <w:t>adj. p-value</w:t>
            </w:r>
          </w:p>
        </w:tc>
      </w:tr>
      <w:tr w:rsidR="00C803D7" w:rsidRPr="004241F5" w14:paraId="6B8BEF31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50F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Age, y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89B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70.83 [60.35-77.82]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91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68.62 [57.34-76.64]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4C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0.515</w:t>
            </w:r>
          </w:p>
        </w:tc>
      </w:tr>
      <w:tr w:rsidR="00C803D7" w:rsidRPr="004241F5" w14:paraId="696CAEC4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07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Hypertension, No. (%)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5A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151 (67.4%)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4F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333 (62%)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B6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1.000</w:t>
            </w:r>
          </w:p>
        </w:tc>
      </w:tr>
      <w:tr w:rsidR="00C803D7" w:rsidRPr="004241F5" w14:paraId="4BAFF3BD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230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Diabetes, No. (%)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E0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35 (15.6%)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A3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115 (21.4%)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DE9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0.939</w:t>
            </w:r>
          </w:p>
        </w:tc>
      </w:tr>
      <w:tr w:rsidR="00C803D7" w:rsidRPr="004241F5" w14:paraId="1ABEB004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694F" w14:textId="5A4F3503" w:rsidR="00C803D7" w:rsidRPr="004241F5" w:rsidRDefault="00853EDC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 xml:space="preserve">History of </w:t>
            </w:r>
            <w:r w:rsidR="00C803D7" w:rsidRPr="004241F5">
              <w:rPr>
                <w:color w:val="000000"/>
                <w:lang w:val="en-US"/>
              </w:rPr>
              <w:t>cardiovascular disease, No. (%)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8C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17 (7.6%)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B3E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78 (14.5%)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186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0.103</w:t>
            </w:r>
          </w:p>
        </w:tc>
      </w:tr>
      <w:tr w:rsidR="00C803D7" w:rsidRPr="004241F5" w14:paraId="7DD4F0E3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74E" w14:textId="0E643DC0" w:rsidR="00C803D7" w:rsidRPr="004241F5" w:rsidRDefault="00853EDC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 xml:space="preserve">History of </w:t>
            </w:r>
            <w:r w:rsidR="00C803D7" w:rsidRPr="004241F5">
              <w:rPr>
                <w:color w:val="000000"/>
                <w:lang w:val="en-US"/>
              </w:rPr>
              <w:t>chronic lung disease, No. (%)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A9D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33 (14.7%)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342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62 (11.5%)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39F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1.000</w:t>
            </w:r>
          </w:p>
        </w:tc>
      </w:tr>
      <w:tr w:rsidR="00C803D7" w:rsidRPr="004241F5" w14:paraId="04629688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2468" w14:textId="77777777" w:rsidR="00C803D7" w:rsidRPr="004241F5" w:rsidRDefault="00C803D7" w:rsidP="004241F5">
            <w:pPr>
              <w:spacing w:line="360" w:lineRule="auto"/>
              <w:rPr>
                <w:color w:val="000000"/>
                <w:lang w:val="en-US"/>
              </w:rPr>
            </w:pPr>
            <w:r w:rsidRPr="004241F5">
              <w:rPr>
                <w:color w:val="000000"/>
                <w:lang w:val="en-US"/>
              </w:rPr>
              <w:t>White Blood Cells Count/mm3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20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6350 [4632.5-9280]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3AD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6740 [5100-9692.5]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297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1.000</w:t>
            </w:r>
          </w:p>
        </w:tc>
      </w:tr>
      <w:tr w:rsidR="00C803D7" w:rsidRPr="004241F5" w14:paraId="7EB290E4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3A1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Creatinine, mg/dL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87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0.8 [0.67-1.04]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D3A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1.09 [0.92-1.35]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C0B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&lt;0.001</w:t>
            </w:r>
          </w:p>
        </w:tc>
      </w:tr>
      <w:tr w:rsidR="00C803D7" w:rsidRPr="004241F5" w14:paraId="4A4939DB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54C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CRP, mg/dL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1D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9.13 [3.66-16.3]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92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12.08 [6.43-20.06]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E8A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&lt;0.001</w:t>
            </w:r>
          </w:p>
        </w:tc>
      </w:tr>
      <w:tr w:rsidR="00C803D7" w:rsidRPr="004241F5" w14:paraId="3A454183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6976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Main pulmonary diameter, No. (%)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B1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7CF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5FF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0.002</w:t>
            </w:r>
          </w:p>
        </w:tc>
      </w:tr>
      <w:tr w:rsidR="00C803D7" w:rsidRPr="004241F5" w14:paraId="402848EE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0B52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normal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C4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147 (65.6%)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E60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394 (73.4%)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24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4C57E231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E36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mild enlarged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6FF6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43 (19.2%)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AE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43 (8%)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AFD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1B81412D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5A2D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moderate enlarged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B29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28 (12.5%)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36E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70 (13%)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D2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5DA297FC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FAF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severe enlarged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939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 (2.7%)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08F2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30 (5.6%)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B5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374AD707" w14:textId="77777777" w:rsidTr="005543EB">
        <w:trPr>
          <w:trHeight w:val="62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874C" w14:textId="77777777" w:rsidR="00C803D7" w:rsidRPr="004241F5" w:rsidRDefault="00C803D7" w:rsidP="004241F5">
            <w:pPr>
              <w:spacing w:line="360" w:lineRule="auto"/>
              <w:rPr>
                <w:color w:val="000000"/>
                <w:lang w:val="en-US"/>
              </w:rPr>
            </w:pPr>
            <w:r w:rsidRPr="004241F5">
              <w:rPr>
                <w:color w:val="000000"/>
                <w:lang w:val="en-US"/>
              </w:rPr>
              <w:t>Moderate-severe main pulmonary artery diameter enlargement (≥31 mm)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5E7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34 (15.2%)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79D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100 (18.6%)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5E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1.000</w:t>
            </w:r>
          </w:p>
        </w:tc>
      </w:tr>
      <w:tr w:rsidR="00C803D7" w:rsidRPr="004241F5" w14:paraId="69101A87" w14:textId="77777777" w:rsidTr="005543EB">
        <w:trPr>
          <w:trHeight w:val="37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EE9" w14:textId="5B44E0A9" w:rsidR="00C803D7" w:rsidRPr="004241F5" w:rsidRDefault="00853EDC" w:rsidP="004241F5">
            <w:pPr>
              <w:spacing w:line="360" w:lineRule="auto"/>
              <w:rPr>
                <w:color w:val="000000"/>
                <w:lang w:val="en-US"/>
              </w:rPr>
            </w:pPr>
            <w:r w:rsidRPr="004241F5">
              <w:rPr>
                <w:color w:val="000000"/>
                <w:lang w:val="en-US"/>
              </w:rPr>
              <w:t>Well-aerated lung volume, cm</w:t>
            </w:r>
            <w:r w:rsidR="00C803D7" w:rsidRPr="004241F5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28B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1943 [1182.25-2966.25]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566E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2493 [1472-3580]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BD2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&lt;0.001</w:t>
            </w:r>
          </w:p>
        </w:tc>
      </w:tr>
      <w:tr w:rsidR="00C803D7" w:rsidRPr="004241F5" w14:paraId="66D9D5D6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4D2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Pneumonia score, No. (%)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5B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DF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3BA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0.002</w:t>
            </w:r>
          </w:p>
        </w:tc>
      </w:tr>
      <w:tr w:rsidR="00C803D7" w:rsidRPr="004241F5" w14:paraId="50DCF174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8D4" w14:textId="77777777" w:rsidR="00C803D7" w:rsidRPr="004241F5" w:rsidRDefault="00C803D7" w:rsidP="004241F5">
            <w:pPr>
              <w:spacing w:line="360" w:lineRule="auto"/>
              <w:jc w:val="right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0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10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6 (2.7%)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FA5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 (0.6%)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EF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564C50A9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CEAD" w14:textId="77777777" w:rsidR="00C803D7" w:rsidRPr="004241F5" w:rsidRDefault="00C803D7" w:rsidP="004241F5">
            <w:pPr>
              <w:spacing w:line="360" w:lineRule="auto"/>
              <w:jc w:val="right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1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D06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96 (42.9%)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8A4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154 (28.7%)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FEA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732A3370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644" w14:textId="77777777" w:rsidR="00C803D7" w:rsidRPr="004241F5" w:rsidRDefault="00C803D7" w:rsidP="004241F5">
            <w:pPr>
              <w:spacing w:line="360" w:lineRule="auto"/>
              <w:jc w:val="right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2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47E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84 (37.5%)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526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279 (52%)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2AEA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72948474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4720" w14:textId="77777777" w:rsidR="00C803D7" w:rsidRPr="004241F5" w:rsidRDefault="00C803D7" w:rsidP="004241F5">
            <w:pPr>
              <w:spacing w:line="360" w:lineRule="auto"/>
              <w:jc w:val="right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3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EC9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36 (16.1%)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56C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94 (17.5%)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71D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5BB88D37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CF0" w14:textId="77777777" w:rsidR="00C803D7" w:rsidRPr="004241F5" w:rsidRDefault="00C803D7" w:rsidP="004241F5">
            <w:pPr>
              <w:spacing w:line="360" w:lineRule="auto"/>
              <w:jc w:val="right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>4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457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2 (0.9%)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9638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7 (1.3%)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70E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 </w:t>
            </w:r>
          </w:p>
        </w:tc>
      </w:tr>
      <w:tr w:rsidR="00C803D7" w:rsidRPr="004241F5" w14:paraId="4E41ED47" w14:textId="77777777" w:rsidTr="005543EB">
        <w:trPr>
          <w:trHeight w:val="31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B9C" w14:textId="77777777" w:rsidR="00C803D7" w:rsidRPr="004241F5" w:rsidRDefault="00C803D7" w:rsidP="004241F5">
            <w:pPr>
              <w:spacing w:line="360" w:lineRule="auto"/>
              <w:rPr>
                <w:color w:val="000000"/>
              </w:rPr>
            </w:pPr>
            <w:r w:rsidRPr="004241F5">
              <w:rPr>
                <w:color w:val="000000"/>
                <w:lang w:val="en-US"/>
              </w:rPr>
              <w:t xml:space="preserve">Non-survivors (40-days FU), No. </w:t>
            </w:r>
            <w:r w:rsidRPr="004241F5">
              <w:rPr>
                <w:color w:val="000000"/>
              </w:rPr>
              <w:t>(%)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757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41 (18.3%)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9C03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141 (26.3%)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CE6" w14:textId="77777777" w:rsidR="00C803D7" w:rsidRPr="004241F5" w:rsidRDefault="00C803D7" w:rsidP="004241F5">
            <w:pPr>
              <w:spacing w:line="360" w:lineRule="auto"/>
              <w:jc w:val="center"/>
              <w:rPr>
                <w:color w:val="000000"/>
              </w:rPr>
            </w:pPr>
            <w:r w:rsidRPr="004241F5">
              <w:rPr>
                <w:color w:val="000000"/>
              </w:rPr>
              <w:t>0.257</w:t>
            </w:r>
          </w:p>
        </w:tc>
      </w:tr>
    </w:tbl>
    <w:p w14:paraId="5238A205" w14:textId="651CA6BC" w:rsidR="00337048" w:rsidRPr="004241F5" w:rsidRDefault="00337048" w:rsidP="004241F5">
      <w:pPr>
        <w:spacing w:line="480" w:lineRule="auto"/>
      </w:pPr>
    </w:p>
    <w:p w14:paraId="17355D48" w14:textId="7548449B" w:rsidR="00930428" w:rsidRPr="004241F5" w:rsidRDefault="00930428" w:rsidP="004241F5">
      <w:pPr>
        <w:spacing w:line="480" w:lineRule="auto"/>
      </w:pPr>
    </w:p>
    <w:p w14:paraId="707CEA03" w14:textId="032A711A" w:rsidR="00930428" w:rsidRPr="004241F5" w:rsidRDefault="00930428" w:rsidP="004241F5">
      <w:pPr>
        <w:spacing w:line="480" w:lineRule="auto"/>
      </w:pPr>
    </w:p>
    <w:sectPr w:rsidR="00930428" w:rsidRPr="004241F5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8C4B" w14:textId="77777777" w:rsidR="00CB79DF" w:rsidRDefault="00CB79DF" w:rsidP="003C3894">
      <w:r>
        <w:separator/>
      </w:r>
    </w:p>
  </w:endnote>
  <w:endnote w:type="continuationSeparator" w:id="0">
    <w:p w14:paraId="28EFC4E3" w14:textId="77777777" w:rsidR="00CB79DF" w:rsidRDefault="00CB79DF" w:rsidP="003C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2446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697E7" w14:textId="021A19FA" w:rsidR="003C3894" w:rsidRDefault="003C3894" w:rsidP="00E11A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11CB2" w14:textId="77777777" w:rsidR="003C3894" w:rsidRDefault="003C3894" w:rsidP="003C38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461C" w14:textId="1D4F62A2" w:rsidR="00D21276" w:rsidRDefault="00D21276">
    <w:pPr>
      <w:pStyle w:val="Footer"/>
    </w:pPr>
    <w:r>
      <w:t>Eur Radiol (2020) Esposito A, Palmisano A, Toselli M et al</w:t>
    </w:r>
  </w:p>
  <w:p w14:paraId="5850BB38" w14:textId="77777777" w:rsidR="003C3894" w:rsidRDefault="003C3894" w:rsidP="003C3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C2F3" w14:textId="77777777" w:rsidR="00CB79DF" w:rsidRDefault="00CB79DF" w:rsidP="003C3894">
      <w:r>
        <w:separator/>
      </w:r>
    </w:p>
  </w:footnote>
  <w:footnote w:type="continuationSeparator" w:id="0">
    <w:p w14:paraId="5179E489" w14:textId="77777777" w:rsidR="00CB79DF" w:rsidRDefault="00CB79DF" w:rsidP="003C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361DE"/>
    <w:multiLevelType w:val="hybridMultilevel"/>
    <w:tmpl w:val="8A24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2107"/>
    <w:multiLevelType w:val="hybridMultilevel"/>
    <w:tmpl w:val="A724ACF2"/>
    <w:lvl w:ilvl="0" w:tplc="25129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C5"/>
    <w:rsid w:val="0000496B"/>
    <w:rsid w:val="000135EF"/>
    <w:rsid w:val="000137F6"/>
    <w:rsid w:val="0001471A"/>
    <w:rsid w:val="0006768B"/>
    <w:rsid w:val="000877F3"/>
    <w:rsid w:val="000928D4"/>
    <w:rsid w:val="00097B2E"/>
    <w:rsid w:val="000A5A17"/>
    <w:rsid w:val="000D570B"/>
    <w:rsid w:val="001553C2"/>
    <w:rsid w:val="00194920"/>
    <w:rsid w:val="001E3904"/>
    <w:rsid w:val="001E61F1"/>
    <w:rsid w:val="00253672"/>
    <w:rsid w:val="0028004A"/>
    <w:rsid w:val="002804A2"/>
    <w:rsid w:val="002814DD"/>
    <w:rsid w:val="0028560D"/>
    <w:rsid w:val="00297DCD"/>
    <w:rsid w:val="002A193A"/>
    <w:rsid w:val="002A5880"/>
    <w:rsid w:val="002F51C3"/>
    <w:rsid w:val="002F6C7F"/>
    <w:rsid w:val="00314997"/>
    <w:rsid w:val="003159F7"/>
    <w:rsid w:val="0033067B"/>
    <w:rsid w:val="003341AD"/>
    <w:rsid w:val="00337048"/>
    <w:rsid w:val="00373605"/>
    <w:rsid w:val="003765DA"/>
    <w:rsid w:val="00384DE8"/>
    <w:rsid w:val="00394977"/>
    <w:rsid w:val="003A3D9A"/>
    <w:rsid w:val="003A6E57"/>
    <w:rsid w:val="003B2151"/>
    <w:rsid w:val="003C3894"/>
    <w:rsid w:val="003D56C0"/>
    <w:rsid w:val="003F26B5"/>
    <w:rsid w:val="003F47FF"/>
    <w:rsid w:val="004109E6"/>
    <w:rsid w:val="004241F5"/>
    <w:rsid w:val="004365F7"/>
    <w:rsid w:val="00463947"/>
    <w:rsid w:val="00484313"/>
    <w:rsid w:val="004B1DAF"/>
    <w:rsid w:val="004E00D8"/>
    <w:rsid w:val="004E2842"/>
    <w:rsid w:val="004E4BDF"/>
    <w:rsid w:val="004E727E"/>
    <w:rsid w:val="00511024"/>
    <w:rsid w:val="00511899"/>
    <w:rsid w:val="00511DE4"/>
    <w:rsid w:val="0052024A"/>
    <w:rsid w:val="00530193"/>
    <w:rsid w:val="005543EB"/>
    <w:rsid w:val="00566F26"/>
    <w:rsid w:val="00576D56"/>
    <w:rsid w:val="00594938"/>
    <w:rsid w:val="005A4169"/>
    <w:rsid w:val="005D5211"/>
    <w:rsid w:val="005F5B98"/>
    <w:rsid w:val="005F5F00"/>
    <w:rsid w:val="006064E6"/>
    <w:rsid w:val="006071D6"/>
    <w:rsid w:val="00631B43"/>
    <w:rsid w:val="00634FC5"/>
    <w:rsid w:val="00650A9B"/>
    <w:rsid w:val="006B6CBA"/>
    <w:rsid w:val="006F7CA6"/>
    <w:rsid w:val="00704154"/>
    <w:rsid w:val="00723D35"/>
    <w:rsid w:val="00741018"/>
    <w:rsid w:val="00752005"/>
    <w:rsid w:val="0079091F"/>
    <w:rsid w:val="00790A64"/>
    <w:rsid w:val="008058EC"/>
    <w:rsid w:val="00815FE8"/>
    <w:rsid w:val="00846CD4"/>
    <w:rsid w:val="00853EDC"/>
    <w:rsid w:val="008769D4"/>
    <w:rsid w:val="00886A08"/>
    <w:rsid w:val="008A3846"/>
    <w:rsid w:val="008B4CC9"/>
    <w:rsid w:val="00930428"/>
    <w:rsid w:val="0096168E"/>
    <w:rsid w:val="009A1029"/>
    <w:rsid w:val="009D0F95"/>
    <w:rsid w:val="00A736C5"/>
    <w:rsid w:val="00A87CA5"/>
    <w:rsid w:val="00A904CE"/>
    <w:rsid w:val="00AB3D3E"/>
    <w:rsid w:val="00AD06ED"/>
    <w:rsid w:val="00AE1CBD"/>
    <w:rsid w:val="00AE6B08"/>
    <w:rsid w:val="00B01118"/>
    <w:rsid w:val="00B30673"/>
    <w:rsid w:val="00B579EF"/>
    <w:rsid w:val="00B673AA"/>
    <w:rsid w:val="00B702A7"/>
    <w:rsid w:val="00B812DB"/>
    <w:rsid w:val="00B81777"/>
    <w:rsid w:val="00B953A0"/>
    <w:rsid w:val="00BA38A6"/>
    <w:rsid w:val="00BA7BDA"/>
    <w:rsid w:val="00BC1155"/>
    <w:rsid w:val="00C2540A"/>
    <w:rsid w:val="00C53C42"/>
    <w:rsid w:val="00C55C8E"/>
    <w:rsid w:val="00C74992"/>
    <w:rsid w:val="00C803D7"/>
    <w:rsid w:val="00C86586"/>
    <w:rsid w:val="00C925FD"/>
    <w:rsid w:val="00C95591"/>
    <w:rsid w:val="00CA40B1"/>
    <w:rsid w:val="00CB0864"/>
    <w:rsid w:val="00CB79DF"/>
    <w:rsid w:val="00CC784A"/>
    <w:rsid w:val="00CC79F4"/>
    <w:rsid w:val="00CE2E73"/>
    <w:rsid w:val="00CE744C"/>
    <w:rsid w:val="00D06488"/>
    <w:rsid w:val="00D21276"/>
    <w:rsid w:val="00D327A9"/>
    <w:rsid w:val="00DA7405"/>
    <w:rsid w:val="00DB6B64"/>
    <w:rsid w:val="00DE7D76"/>
    <w:rsid w:val="00E11021"/>
    <w:rsid w:val="00E37D4C"/>
    <w:rsid w:val="00E651A7"/>
    <w:rsid w:val="00E74BA7"/>
    <w:rsid w:val="00E82526"/>
    <w:rsid w:val="00E96FF6"/>
    <w:rsid w:val="00EC126A"/>
    <w:rsid w:val="00ED5CFC"/>
    <w:rsid w:val="00EE2633"/>
    <w:rsid w:val="00EF285A"/>
    <w:rsid w:val="00EF4686"/>
    <w:rsid w:val="00F01073"/>
    <w:rsid w:val="00F261A7"/>
    <w:rsid w:val="00F37B2C"/>
    <w:rsid w:val="00F871A5"/>
    <w:rsid w:val="00FA6AEE"/>
    <w:rsid w:val="00FB5E26"/>
    <w:rsid w:val="00FE50B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5A41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F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5A41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rsid w:val="00930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0428"/>
    <w:rPr>
      <w:color w:val="0000FF" w:themeColor="hyperlink"/>
      <w:u w:val="single"/>
    </w:rPr>
  </w:style>
  <w:style w:type="character" w:customStyle="1" w:styleId="EndNoteBibliographyCarattere">
    <w:name w:val="EndNote Bibliography Carattere"/>
    <w:basedOn w:val="DefaultParagraphFont"/>
    <w:link w:val="EndNoteBibliography"/>
    <w:locked/>
    <w:rsid w:val="0093042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EndNoteBibliography">
    <w:name w:val="EndNote Bibliography"/>
    <w:basedOn w:val="Normal"/>
    <w:link w:val="EndNoteBibliographyCarattere"/>
    <w:rsid w:val="00930428"/>
    <w:rPr>
      <w:noProof/>
    </w:rPr>
  </w:style>
  <w:style w:type="paragraph" w:customStyle="1" w:styleId="paragraph">
    <w:name w:val="paragraph"/>
    <w:basedOn w:val="Normal"/>
    <w:rsid w:val="00511024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511024"/>
  </w:style>
  <w:style w:type="character" w:customStyle="1" w:styleId="eop">
    <w:name w:val="eop"/>
    <w:basedOn w:val="DefaultParagraphFont"/>
    <w:rsid w:val="00511024"/>
  </w:style>
  <w:style w:type="character" w:customStyle="1" w:styleId="spellingerror">
    <w:name w:val="spellingerror"/>
    <w:basedOn w:val="DefaultParagraphFont"/>
    <w:rsid w:val="00511024"/>
  </w:style>
  <w:style w:type="paragraph" w:styleId="Footer">
    <w:name w:val="footer"/>
    <w:basedOn w:val="Normal"/>
    <w:link w:val="FooterChar"/>
    <w:uiPriority w:val="99"/>
    <w:unhideWhenUsed/>
    <w:rsid w:val="003C38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3C3894"/>
  </w:style>
  <w:style w:type="paragraph" w:styleId="Header">
    <w:name w:val="header"/>
    <w:basedOn w:val="Normal"/>
    <w:link w:val="HeaderChar"/>
    <w:uiPriority w:val="99"/>
    <w:unhideWhenUsed/>
    <w:rsid w:val="00D21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1FE7-BE19-A548-A384-ED3DB2F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2020-12-10T11:51:00Z</dcterms:created>
  <dcterms:modified xsi:type="dcterms:W3CDTF">2020-12-10T11:51:00Z</dcterms:modified>
</cp:coreProperties>
</file>