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00" w:rsidRPr="00083A22" w:rsidRDefault="00784A00" w:rsidP="00784A00">
      <w:pPr>
        <w:pStyle w:val="Titel"/>
        <w:rPr>
          <w:i/>
          <w:sz w:val="20"/>
          <w:szCs w:val="20"/>
          <w:lang w:val="en-US"/>
        </w:rPr>
      </w:pPr>
      <w:r w:rsidRPr="00083A22">
        <w:rPr>
          <w:lang w:val="en-US"/>
        </w:rPr>
        <w:t xml:space="preserve">Determinants of self-reported functional status (EPIC-26) in prostate cancer patients prior to </w:t>
      </w:r>
      <w:r w:rsidRPr="006F136E">
        <w:rPr>
          <w:lang w:val="en-US"/>
        </w:rPr>
        <w:t>treatment</w:t>
      </w:r>
    </w:p>
    <w:p w:rsidR="00784A00" w:rsidRPr="00083A22" w:rsidRDefault="00784A00" w:rsidP="00784A00">
      <w:pPr>
        <w:pStyle w:val="Author"/>
        <w:rPr>
          <w:rFonts w:cstheme="minorHAnsi"/>
          <w:b/>
          <w:i w:val="0"/>
          <w:lang w:val="en-US"/>
        </w:rPr>
      </w:pPr>
    </w:p>
    <w:p w:rsidR="00784A00" w:rsidRPr="00083A22" w:rsidRDefault="00784A00" w:rsidP="00784A00">
      <w:pPr>
        <w:pStyle w:val="Author"/>
        <w:rPr>
          <w:rFonts w:cstheme="minorHAnsi"/>
          <w:b/>
          <w:i w:val="0"/>
          <w:lang w:val="en-US"/>
        </w:rPr>
      </w:pPr>
      <w:r w:rsidRPr="00083A22">
        <w:rPr>
          <w:rFonts w:cstheme="minorHAnsi"/>
          <w:b/>
          <w:i w:val="0"/>
          <w:lang w:val="en-US"/>
        </w:rPr>
        <w:t>Rebecca Hein</w:t>
      </w:r>
      <w:r w:rsidRPr="00083A22">
        <w:rPr>
          <w:rFonts w:cstheme="minorHAnsi"/>
          <w:i w:val="0"/>
          <w:vertAlign w:val="superscript"/>
          <w:lang w:val="en-US"/>
        </w:rPr>
        <w:t> 1,*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Sebastian Dieng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Alisa Oesterle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Gün</w:t>
      </w:r>
      <w:r w:rsidRPr="00576336">
        <w:rPr>
          <w:rFonts w:cstheme="minorHAnsi"/>
          <w:b/>
          <w:i w:val="0"/>
          <w:lang w:val="en-US"/>
        </w:rPr>
        <w:t>ter Feick</w:t>
      </w:r>
      <w:r w:rsidRPr="00576336">
        <w:rPr>
          <w:rFonts w:cstheme="minorHAnsi"/>
          <w:b/>
          <w:i w:val="0"/>
          <w:vertAlign w:val="superscript"/>
          <w:lang w:val="en-US"/>
        </w:rPr>
        <w:t> 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Günther Carl</w:t>
      </w:r>
      <w:r w:rsidRPr="00576336">
        <w:rPr>
          <w:rFonts w:cstheme="minorHAnsi"/>
          <w:b/>
          <w:i w:val="0"/>
          <w:vertAlign w:val="superscript"/>
          <w:lang w:val="en-US"/>
        </w:rPr>
        <w:t> 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Andreas Hinkel</w:t>
      </w:r>
      <w:r w:rsidRPr="00576336">
        <w:rPr>
          <w:rFonts w:cstheme="minorHAnsi"/>
          <w:b/>
          <w:i w:val="0"/>
          <w:vertAlign w:val="superscript"/>
          <w:lang w:val="en-US"/>
        </w:rPr>
        <w:t>5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Thomas Steiner</w:t>
      </w:r>
      <w:r w:rsidRPr="00576336">
        <w:rPr>
          <w:rFonts w:cstheme="minorHAnsi"/>
          <w:b/>
          <w:i w:val="0"/>
          <w:vertAlign w:val="superscript"/>
          <w:lang w:val="en-US"/>
        </w:rPr>
        <w:t>6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 xml:space="preserve">Björn </w:t>
      </w:r>
      <w:r>
        <w:rPr>
          <w:rFonts w:cstheme="minorHAnsi"/>
          <w:b/>
          <w:i w:val="0"/>
          <w:lang w:val="en-US"/>
        </w:rPr>
        <w:t xml:space="preserve">Theodor </w:t>
      </w:r>
      <w:r w:rsidRPr="00576336">
        <w:rPr>
          <w:rFonts w:cstheme="minorHAnsi"/>
          <w:b/>
          <w:i w:val="0"/>
          <w:lang w:val="en-US"/>
        </w:rPr>
        <w:t>Kaftan</w:t>
      </w:r>
      <w:r w:rsidRPr="00576336">
        <w:rPr>
          <w:rFonts w:cstheme="minorHAnsi"/>
          <w:b/>
          <w:i w:val="0"/>
          <w:vertAlign w:val="superscript"/>
          <w:lang w:val="en-US"/>
        </w:rPr>
        <w:t>7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Frank Kunath</w:t>
      </w:r>
      <w:r w:rsidRPr="00576336">
        <w:rPr>
          <w:rFonts w:cstheme="minorHAnsi"/>
          <w:b/>
          <w:i w:val="0"/>
          <w:vertAlign w:val="superscript"/>
          <w:lang w:val="en-US"/>
        </w:rPr>
        <w:t>8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Boris Hadaschik</w:t>
      </w:r>
      <w:r w:rsidRPr="00576336">
        <w:rPr>
          <w:rFonts w:cstheme="minorHAnsi"/>
          <w:b/>
          <w:i w:val="0"/>
          <w:vertAlign w:val="superscript"/>
          <w:lang w:val="en-US"/>
        </w:rPr>
        <w:t>9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Simba-Joshua Oostdam</w:t>
      </w:r>
      <w:r w:rsidRPr="00576336">
        <w:rPr>
          <w:rFonts w:cstheme="minorHAnsi"/>
          <w:b/>
          <w:i w:val="0"/>
          <w:vertAlign w:val="superscript"/>
          <w:lang w:val="en-US"/>
        </w:rPr>
        <w:t>10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Rein Jüri Palisaar</w:t>
      </w:r>
      <w:r w:rsidRPr="00576336">
        <w:rPr>
          <w:rFonts w:cstheme="minorHAnsi"/>
          <w:b/>
          <w:i w:val="0"/>
          <w:vertAlign w:val="superscript"/>
          <w:lang w:val="en-US"/>
        </w:rPr>
        <w:t>11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Mateusz Koralewski</w:t>
      </w:r>
      <w:r w:rsidRPr="00576336">
        <w:rPr>
          <w:rFonts w:cstheme="minorHAnsi"/>
          <w:b/>
          <w:i w:val="0"/>
          <w:vertAlign w:val="superscript"/>
          <w:lang w:val="en-US"/>
        </w:rPr>
        <w:t>12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Burkhard Beyer</w:t>
      </w:r>
      <w:r w:rsidRPr="00576336">
        <w:rPr>
          <w:rFonts w:cstheme="minorHAnsi"/>
          <w:b/>
          <w:i w:val="0"/>
          <w:vertAlign w:val="superscript"/>
          <w:lang w:val="en-US"/>
        </w:rPr>
        <w:t>13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Björn Haben</w:t>
      </w:r>
      <w:r w:rsidRPr="00576336">
        <w:rPr>
          <w:rFonts w:cstheme="minorHAnsi"/>
          <w:b/>
          <w:i w:val="0"/>
          <w:vertAlign w:val="superscript"/>
          <w:lang w:val="en-US"/>
        </w:rPr>
        <w:t>14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3819D6">
        <w:rPr>
          <w:lang w:val="en-US"/>
        </w:rPr>
        <w:t xml:space="preserve"> </w:t>
      </w:r>
      <w:r w:rsidRPr="003819D6">
        <w:rPr>
          <w:rFonts w:cstheme="minorHAnsi"/>
          <w:b/>
          <w:i w:val="0"/>
          <w:lang w:val="en-US"/>
        </w:rPr>
        <w:t xml:space="preserve">Tsaur, Igor 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</w:t>
      </w:r>
      <w:r w:rsidRPr="00083A22">
        <w:rPr>
          <w:rFonts w:cstheme="minorHAnsi"/>
          <w:b/>
          <w:i w:val="0"/>
          <w:lang w:val="en-US"/>
        </w:rPr>
        <w:t>imone Wesselmann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16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Christoph Kowalski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</w:p>
    <w:p w:rsidR="00784A00" w:rsidRPr="00083A22" w:rsidRDefault="00784A00" w:rsidP="00784A00">
      <w:pPr>
        <w:pStyle w:val="Author"/>
        <w:spacing w:line="360" w:lineRule="auto"/>
        <w:rPr>
          <w:rFonts w:cstheme="minorHAnsi"/>
          <w:i w:val="0"/>
          <w:sz w:val="20"/>
          <w:szCs w:val="20"/>
          <w:lang w:val="en-US"/>
        </w:rPr>
      </w:pPr>
    </w:p>
    <w:p w:rsidR="00784A00" w:rsidRPr="003819D6" w:rsidRDefault="00784A00" w:rsidP="00784A00">
      <w:pPr>
        <w:pStyle w:val="Author"/>
        <w:spacing w:line="360" w:lineRule="auto"/>
        <w:rPr>
          <w:rFonts w:cstheme="minorHAnsi"/>
          <w:i w:val="0"/>
          <w:sz w:val="20"/>
          <w:szCs w:val="20"/>
          <w:vertAlign w:val="superscript"/>
        </w:rPr>
      </w:pPr>
      <w:r w:rsidRPr="00C36079">
        <w:rPr>
          <w:rFonts w:cstheme="minorHAnsi"/>
          <w:i w:val="0"/>
          <w:sz w:val="20"/>
          <w:szCs w:val="20"/>
          <w:vertAlign w:val="superscript"/>
        </w:rPr>
        <w:t>1</w:t>
      </w:r>
      <w:r w:rsidRPr="00C36079">
        <w:rPr>
          <w:rFonts w:cstheme="minorHAnsi"/>
          <w:i w:val="0"/>
          <w:sz w:val="20"/>
          <w:szCs w:val="20"/>
        </w:rPr>
        <w:t xml:space="preserve"> Institute of Medical Statistics and Computational Biology, Medical Faculty, University of Cologne,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2 </w:t>
      </w:r>
      <w:r w:rsidRPr="00C36079">
        <w:rPr>
          <w:rFonts w:cstheme="minorHAnsi"/>
          <w:i w:val="0"/>
          <w:sz w:val="20"/>
          <w:szCs w:val="20"/>
        </w:rPr>
        <w:t xml:space="preserve">OnkoZert, Neu-Ulm,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3</w:t>
      </w:r>
      <w:r w:rsidRPr="00C36079">
        <w:rPr>
          <w:rFonts w:cstheme="minorHAnsi"/>
          <w:i w:val="0"/>
          <w:sz w:val="20"/>
          <w:szCs w:val="20"/>
        </w:rPr>
        <w:t xml:space="preserve"> Federal Association of German Prostate Cancer Patient Support Groups, Bonn,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4</w:t>
      </w:r>
      <w:r w:rsidRPr="00C36079">
        <w:rPr>
          <w:rFonts w:cstheme="minorHAnsi"/>
          <w:i w:val="0"/>
          <w:sz w:val="20"/>
          <w:szCs w:val="20"/>
        </w:rPr>
        <w:t> Help for Prostate Cancer Patients (</w:t>
      </w:r>
      <w:r w:rsidRPr="00C36079">
        <w:rPr>
          <w:rFonts w:cstheme="minorHAnsi"/>
          <w:sz w:val="20"/>
          <w:szCs w:val="20"/>
        </w:rPr>
        <w:t>Förderverein Hilfe bei Prostatakrebs e.V., FHbP</w:t>
      </w:r>
      <w:r w:rsidRPr="00C36079">
        <w:rPr>
          <w:rFonts w:cstheme="minorHAnsi"/>
          <w:i w:val="0"/>
          <w:sz w:val="20"/>
          <w:szCs w:val="20"/>
        </w:rPr>
        <w:t xml:space="preserve">), Tornesch, </w:t>
      </w:r>
      <w:r w:rsidRPr="003819D6">
        <w:rPr>
          <w:rFonts w:cstheme="minorHAnsi"/>
          <w:i w:val="0"/>
          <w:sz w:val="20"/>
          <w:szCs w:val="20"/>
        </w:rPr>
        <w:t xml:space="preserve">Germany; </w:t>
      </w:r>
      <w:r w:rsidRPr="003819D6">
        <w:rPr>
          <w:rFonts w:cstheme="minorHAnsi"/>
          <w:i w:val="0"/>
          <w:vertAlign w:val="superscript"/>
        </w:rPr>
        <w:t>5</w:t>
      </w:r>
      <w:r w:rsidRPr="003819D6">
        <w:rPr>
          <w:rFonts w:cstheme="minorHAnsi"/>
          <w:i w:val="0"/>
          <w:sz w:val="20"/>
          <w:szCs w:val="20"/>
        </w:rPr>
        <w:t xml:space="preserve"> Franziskus Hospital, Bielefeld; </w:t>
      </w:r>
      <w:r w:rsidRPr="003819D6">
        <w:rPr>
          <w:rFonts w:cstheme="minorHAnsi"/>
          <w:i w:val="0"/>
          <w:sz w:val="20"/>
          <w:szCs w:val="20"/>
          <w:vertAlign w:val="superscript"/>
        </w:rPr>
        <w:t>6</w:t>
      </w:r>
      <w:r w:rsidRPr="003819D6">
        <w:rPr>
          <w:rFonts w:cstheme="minorHAnsi"/>
          <w:i w:val="0"/>
          <w:sz w:val="20"/>
          <w:szCs w:val="20"/>
        </w:rPr>
        <w:t xml:space="preserve"> Helios Klinikum Erfurt; </w:t>
      </w:r>
      <w:r w:rsidRPr="003819D6">
        <w:rPr>
          <w:rFonts w:cstheme="minorHAnsi"/>
          <w:i w:val="0"/>
          <w:sz w:val="20"/>
          <w:szCs w:val="20"/>
          <w:vertAlign w:val="superscript"/>
        </w:rPr>
        <w:t>7</w:t>
      </w:r>
      <w:r w:rsidRPr="003819D6">
        <w:rPr>
          <w:rFonts w:cstheme="minorHAnsi"/>
          <w:i w:val="0"/>
          <w:sz w:val="20"/>
          <w:szCs w:val="20"/>
        </w:rPr>
        <w:t xml:space="preserve"> Städtisches Klinikum Lüneburg;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8</w:t>
      </w:r>
      <w:r w:rsidRPr="003819D6">
        <w:rPr>
          <w:rFonts w:cstheme="minorHAnsi"/>
          <w:i w:val="0"/>
          <w:sz w:val="20"/>
          <w:szCs w:val="20"/>
        </w:rPr>
        <w:t xml:space="preserve"> Department of Urology and Pediatric Urology, University Hospital Erlangen, FAU Erlangen-Nürnberg;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9</w:t>
      </w:r>
      <w:r w:rsidRPr="003819D6">
        <w:rPr>
          <w:rFonts w:cstheme="minorHAnsi"/>
          <w:i w:val="0"/>
          <w:sz w:val="20"/>
          <w:szCs w:val="20"/>
        </w:rPr>
        <w:t xml:space="preserve"> Klinik und Poliklinik für Urologie,Kinderurologie und Uroonkologie, Universitätsklinikum Essen (AöR); </w:t>
      </w:r>
      <w:r w:rsidRPr="003819D6">
        <w:rPr>
          <w:rFonts w:cstheme="minorHAnsi"/>
          <w:i w:val="0"/>
          <w:sz w:val="20"/>
          <w:szCs w:val="20"/>
          <w:vertAlign w:val="superscript"/>
        </w:rPr>
        <w:t>10</w:t>
      </w:r>
      <w:r w:rsidRPr="003819D6">
        <w:rPr>
          <w:rFonts w:cstheme="minorHAnsi"/>
          <w:i w:val="0"/>
          <w:sz w:val="20"/>
          <w:szCs w:val="20"/>
        </w:rPr>
        <w:t xml:space="preserve"> Vinzenz-Krankenhaus Hannover;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11</w:t>
      </w:r>
      <w:r w:rsidRPr="003819D6">
        <w:rPr>
          <w:rFonts w:cstheme="minorHAnsi"/>
          <w:i w:val="0"/>
          <w:sz w:val="20"/>
          <w:szCs w:val="20"/>
        </w:rPr>
        <w:t xml:space="preserve"> Urologische Klinik, Marien Hospital Herne; </w:t>
      </w:r>
      <w:r w:rsidRPr="003819D6">
        <w:rPr>
          <w:rFonts w:cstheme="minorHAnsi"/>
          <w:i w:val="0"/>
          <w:sz w:val="20"/>
          <w:szCs w:val="20"/>
          <w:vertAlign w:val="superscript"/>
        </w:rPr>
        <w:t>12</w:t>
      </w:r>
      <w:r w:rsidRPr="003819D6">
        <w:rPr>
          <w:rFonts w:cstheme="minorHAnsi"/>
          <w:i w:val="0"/>
          <w:sz w:val="20"/>
          <w:szCs w:val="20"/>
        </w:rPr>
        <w:t> Urologie, Krankenhaus der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</w:rPr>
        <w:t xml:space="preserve">Barmherzigen Brüder Trier;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13</w:t>
      </w:r>
      <w:r w:rsidRPr="003819D6">
        <w:rPr>
          <w:rFonts w:cstheme="minorHAnsi"/>
          <w:i w:val="0"/>
          <w:sz w:val="20"/>
          <w:szCs w:val="20"/>
        </w:rPr>
        <w:t xml:space="preserve"> Martini-Klinik Prostate Cancer Center Hamburg;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14</w:t>
      </w:r>
      <w:r w:rsidRPr="003819D6">
        <w:rPr>
          <w:rFonts w:cstheme="minorHAnsi"/>
          <w:i w:val="0"/>
          <w:sz w:val="20"/>
          <w:szCs w:val="20"/>
        </w:rPr>
        <w:t xml:space="preserve"> St. Marien Hospital Ahaus; 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15 </w:t>
      </w:r>
      <w:r w:rsidRPr="003819D6">
        <w:rPr>
          <w:rFonts w:cstheme="minorHAnsi"/>
          <w:i w:val="0"/>
          <w:sz w:val="20"/>
          <w:szCs w:val="20"/>
        </w:rPr>
        <w:t>Klinik und Poliklinik für Urologie und Kinderurologie, Universitätsmedizin der Johannes Gutenberg-Universität Mainz;</w:t>
      </w:r>
      <w:r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  <w:vertAlign w:val="superscript"/>
        </w:rPr>
        <w:t>16</w:t>
      </w:r>
      <w:r w:rsidRPr="003819D6">
        <w:rPr>
          <w:rFonts w:cstheme="minorHAnsi"/>
          <w:i w:val="0"/>
          <w:sz w:val="20"/>
          <w:szCs w:val="20"/>
        </w:rPr>
        <w:t> German Cancer Society, Berlin, Germany</w:t>
      </w:r>
    </w:p>
    <w:p w:rsidR="00784A00" w:rsidRPr="003819D6" w:rsidRDefault="00784A00" w:rsidP="00784A00">
      <w:pPr>
        <w:pStyle w:val="Author"/>
        <w:spacing w:line="360" w:lineRule="auto"/>
        <w:rPr>
          <w:rFonts w:cstheme="minorHAnsi"/>
          <w:i w:val="0"/>
          <w:sz w:val="20"/>
          <w:szCs w:val="20"/>
        </w:rPr>
      </w:pPr>
    </w:p>
    <w:p w:rsidR="000C0224" w:rsidRPr="00784A00" w:rsidRDefault="000C0224">
      <w:pPr>
        <w:spacing w:after="160" w:line="259" w:lineRule="auto"/>
        <w:rPr>
          <w:i/>
          <w:iCs/>
          <w:color w:val="44546A" w:themeColor="text2"/>
          <w:sz w:val="18"/>
          <w:szCs w:val="18"/>
        </w:rPr>
      </w:pPr>
      <w:r w:rsidRPr="00784A00">
        <w:br w:type="page"/>
      </w:r>
    </w:p>
    <w:p w:rsidR="000E3597" w:rsidRPr="000E3597" w:rsidRDefault="00EF2A6E" w:rsidP="000E3597">
      <w:pPr>
        <w:pStyle w:val="Beschriftung"/>
        <w:keepNext/>
        <w:rPr>
          <w:lang w:val="en-US"/>
        </w:rPr>
      </w:pPr>
      <w:r w:rsidRPr="00EF2A6E">
        <w:rPr>
          <w:lang w:val="en-US"/>
        </w:rPr>
        <w:lastRenderedPageBreak/>
        <w:t xml:space="preserve">Online Resource </w:t>
      </w:r>
      <w:r w:rsidR="004750B3">
        <w:rPr>
          <w:lang w:val="en-US"/>
        </w:rPr>
        <w:t>2</w:t>
      </w:r>
      <w:r w:rsidR="000E3597" w:rsidRPr="000E3597">
        <w:rPr>
          <w:lang w:val="en-US"/>
        </w:rPr>
        <w:t xml:space="preserve">: </w:t>
      </w:r>
      <w:r w:rsidR="000E3597" w:rsidRPr="00086D5E">
        <w:rPr>
          <w:lang w:val="en-US"/>
        </w:rPr>
        <w:t xml:space="preserve">Results of </w:t>
      </w:r>
      <w:r w:rsidR="00622149">
        <w:rPr>
          <w:lang w:val="en-US"/>
        </w:rPr>
        <w:t xml:space="preserve">linear </w:t>
      </w:r>
      <w:r w:rsidR="000E3597" w:rsidRPr="00086D5E">
        <w:rPr>
          <w:lang w:val="en-US"/>
        </w:rPr>
        <w:t>multilevel analys</w:t>
      </w:r>
      <w:r w:rsidR="00D84939">
        <w:rPr>
          <w:lang w:val="en-US"/>
        </w:rPr>
        <w:t>e</w:t>
      </w:r>
      <w:r w:rsidR="000E3597" w:rsidRPr="00086D5E">
        <w:rPr>
          <w:lang w:val="en-US"/>
        </w:rPr>
        <w:t xml:space="preserve">s for </w:t>
      </w:r>
      <w:r w:rsidR="000E3597">
        <w:rPr>
          <w:lang w:val="en-US"/>
        </w:rPr>
        <w:t>pre</w:t>
      </w:r>
      <w:r w:rsidR="0046208B">
        <w:rPr>
          <w:lang w:val="en-US"/>
        </w:rPr>
        <w:t>therapeutic</w:t>
      </w:r>
      <w:r w:rsidR="000E3597">
        <w:rPr>
          <w:lang w:val="en-US"/>
        </w:rPr>
        <w:t xml:space="preserve"> </w:t>
      </w:r>
      <w:r w:rsidR="000E3597" w:rsidRPr="00DA5415">
        <w:rPr>
          <w:lang w:val="en-US"/>
        </w:rPr>
        <w:t xml:space="preserve">self-reported functional status </w:t>
      </w:r>
      <w:r w:rsidR="000E3597">
        <w:rPr>
          <w:lang w:val="en-US"/>
        </w:rPr>
        <w:t>(</w:t>
      </w:r>
      <w:r w:rsidR="000E3597" w:rsidRPr="00086D5E">
        <w:rPr>
          <w:lang w:val="en-US"/>
        </w:rPr>
        <w:t xml:space="preserve">model </w:t>
      </w:r>
      <w:r w:rsidR="004750B3">
        <w:rPr>
          <w:lang w:val="en-US"/>
        </w:rPr>
        <w:t>1</w:t>
      </w:r>
      <w:r w:rsidR="000E3597">
        <w:rPr>
          <w:lang w:val="en-US"/>
        </w:rPr>
        <w:t>)</w:t>
      </w:r>
    </w:p>
    <w:tbl>
      <w:tblPr>
        <w:tblStyle w:val="Tabellenraster"/>
        <w:tblW w:w="12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8"/>
        <w:gridCol w:w="1920"/>
        <w:gridCol w:w="231"/>
        <w:gridCol w:w="758"/>
        <w:gridCol w:w="1870"/>
        <w:gridCol w:w="1897"/>
        <w:gridCol w:w="1961"/>
        <w:gridCol w:w="1978"/>
      </w:tblGrid>
      <w:tr w:rsidR="00747AFB" w:rsidRPr="00C36079" w:rsidTr="00747AFB">
        <w:trPr>
          <w:tblHeader/>
        </w:trPr>
        <w:tc>
          <w:tcPr>
            <w:tcW w:w="1908" w:type="dxa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Urinary incontinence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0C0939" w:rsidRPr="000C0939">
              <w:rPr>
                <w:rFonts w:asciiTheme="minorHAnsi" w:hAnsiTheme="minorHAnsi"/>
                <w:color w:val="000000"/>
                <w:sz w:val="19"/>
                <w:szCs w:val="19"/>
              </w:rPr>
              <w:t>2699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patients, 43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47AFB" w:rsidRPr="00C36079" w:rsidRDefault="00747AFB" w:rsidP="000C0939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  <w:r w:rsidRPr="00C36079">
              <w:rPr>
                <w:rFonts w:asciiTheme="minorHAnsi" w:hAnsiTheme="minorHAnsi"/>
                <w:sz w:val="19"/>
                <w:szCs w:val="19"/>
                <w:lang w:val="en-US"/>
              </w:rPr>
              <w:t>Urinary irritative/obstructive</w:t>
            </w:r>
            <w:r w:rsidRPr="00C36079">
              <w:rPr>
                <w:rFonts w:asciiTheme="minorHAnsi" w:hAnsiTheme="minorHAnsi"/>
                <w:sz w:val="19"/>
                <w:szCs w:val="19"/>
                <w:lang w:val="en-US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(</w:t>
            </w:r>
            <w:r w:rsidR="000C0939" w:rsidRPr="000C093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2632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patients, 4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 xml:space="preserve"> centers)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47AFB" w:rsidRPr="00C36079" w:rsidRDefault="00747AFB" w:rsidP="000C0939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Bowel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0C0939" w:rsidRPr="000C0939">
              <w:rPr>
                <w:rFonts w:asciiTheme="minorHAnsi" w:hAnsiTheme="minorHAnsi"/>
                <w:color w:val="000000"/>
                <w:sz w:val="19"/>
                <w:szCs w:val="19"/>
              </w:rPr>
              <w:t>2636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patients, 4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47AFB" w:rsidRPr="00C36079" w:rsidRDefault="00747AFB" w:rsidP="000C0939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Sexual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0C0939" w:rsidRPr="000C0939">
              <w:rPr>
                <w:rFonts w:asciiTheme="minorHAnsi" w:hAnsiTheme="minorHAnsi"/>
                <w:color w:val="000000"/>
                <w:sz w:val="19"/>
                <w:szCs w:val="19"/>
              </w:rPr>
              <w:t>2749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patients, 4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1978" w:type="dxa"/>
            <w:tcBorders>
              <w:top w:val="single" w:sz="8" w:space="0" w:color="auto"/>
              <w:bottom w:val="single" w:sz="4" w:space="0" w:color="auto"/>
            </w:tcBorders>
          </w:tcPr>
          <w:p w:rsidR="00747AFB" w:rsidRPr="00C36079" w:rsidRDefault="00747AFB" w:rsidP="000C0939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Hormonal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0C0939" w:rsidRPr="000C0939">
              <w:rPr>
                <w:rFonts w:asciiTheme="minorHAnsi" w:hAnsiTheme="minorHAnsi"/>
                <w:color w:val="000000"/>
                <w:sz w:val="19"/>
                <w:szCs w:val="19"/>
              </w:rPr>
              <w:t>2698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patients, 4</w:t>
            </w:r>
            <w:r w:rsidR="000C0939">
              <w:rPr>
                <w:rFonts w:asciiTheme="minorHAnsi" w:hAnsiTheme="minorHAnsi"/>
                <w:color w:val="000000"/>
                <w:sz w:val="19"/>
                <w:szCs w:val="19"/>
              </w:rPr>
              <w:t>3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</w:tr>
      <w:tr w:rsidR="00747AFB" w:rsidRPr="00C36079" w:rsidTr="00747AFB">
        <w:trPr>
          <w:tblHeader/>
        </w:trPr>
        <w:tc>
          <w:tcPr>
            <w:tcW w:w="1908" w:type="dxa"/>
            <w:tcBorders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747AFB" w:rsidRPr="00C36079" w:rsidRDefault="00747AFB" w:rsidP="004F22EC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</w:tr>
      <w:tr w:rsidR="00747AFB" w:rsidRPr="00C36079" w:rsidTr="00747AFB">
        <w:tc>
          <w:tcPr>
            <w:tcW w:w="1908" w:type="dxa"/>
            <w:tcBorders>
              <w:top w:val="single" w:sz="12" w:space="0" w:color="auto"/>
            </w:tcBorders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(Intercept)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47AFB" w:rsidRPr="00747AFB" w:rsidRDefault="00747AFB" w:rsidP="00747AFB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102.97 (97.</w:t>
            </w:r>
            <w:r w:rsidRPr="00CC5AF3">
              <w:rPr>
                <w:rFonts w:asciiTheme="minorHAnsi" w:hAnsiTheme="minorHAnsi"/>
                <w:b/>
                <w:sz w:val="19"/>
                <w:szCs w:val="19"/>
              </w:rPr>
              <w:t>84</w:t>
            </w:r>
            <w:r w:rsidRPr="00747AFB">
              <w:rPr>
                <w:rFonts w:asciiTheme="minorHAnsi" w:hAnsiTheme="minorHAnsi"/>
                <w:sz w:val="19"/>
                <w:szCs w:val="19"/>
              </w:rPr>
              <w:t>-108.1)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47AFB" w:rsidRPr="00CC5AF3" w:rsidRDefault="00CC5AF3" w:rsidP="00CC5AF3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94.83 (89.15-100.51)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47AFB" w:rsidRPr="00321967" w:rsidRDefault="00D643BB" w:rsidP="00321967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21967">
              <w:rPr>
                <w:rFonts w:asciiTheme="minorHAnsi" w:hAnsiTheme="minorHAnsi"/>
                <w:sz w:val="19"/>
                <w:szCs w:val="19"/>
              </w:rPr>
              <w:t>96.33 (92.96-99.71)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tcMar>
              <w:left w:w="115" w:type="dxa"/>
              <w:right w:w="115" w:type="dxa"/>
            </w:tcMar>
          </w:tcPr>
          <w:p w:rsidR="00747AFB" w:rsidRPr="002055D9" w:rsidRDefault="002055D9" w:rsidP="002055D9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2055D9">
              <w:rPr>
                <w:rFonts w:asciiTheme="minorHAnsi" w:hAnsiTheme="minorHAnsi"/>
                <w:sz w:val="19"/>
                <w:szCs w:val="19"/>
              </w:rPr>
              <w:t>147.35 (137.84-156.86)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747AFB" w:rsidRPr="003836BC" w:rsidRDefault="003836BC" w:rsidP="003836BC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836BC">
              <w:rPr>
                <w:rFonts w:asciiTheme="minorHAnsi" w:hAnsiTheme="minorHAnsi"/>
                <w:sz w:val="19"/>
                <w:szCs w:val="19"/>
              </w:rPr>
              <w:t>74.3 (69.2-79.4)</w:t>
            </w:r>
          </w:p>
        </w:tc>
      </w:tr>
      <w:tr w:rsidR="00747AFB" w:rsidRPr="00C36079" w:rsidTr="00747AFB">
        <w:trPr>
          <w:gridAfter w:val="4"/>
          <w:wAfter w:w="7706" w:type="dxa"/>
        </w:trPr>
        <w:tc>
          <w:tcPr>
            <w:tcW w:w="3828" w:type="dxa"/>
            <w:gridSpan w:val="2"/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Patient characteristics</w:t>
            </w:r>
          </w:p>
        </w:tc>
        <w:tc>
          <w:tcPr>
            <w:tcW w:w="989" w:type="dxa"/>
            <w:gridSpan w:val="2"/>
          </w:tcPr>
          <w:p w:rsidR="00747AFB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47AFB" w:rsidRPr="00C36079" w:rsidTr="00747AFB">
        <w:trPr>
          <w:gridAfter w:val="4"/>
          <w:wAfter w:w="7706" w:type="dxa"/>
        </w:trPr>
        <w:tc>
          <w:tcPr>
            <w:tcW w:w="3828" w:type="dxa"/>
            <w:gridSpan w:val="2"/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Sociodemographic information</w:t>
            </w:r>
          </w:p>
        </w:tc>
        <w:tc>
          <w:tcPr>
            <w:tcW w:w="989" w:type="dxa"/>
            <w:gridSpan w:val="2"/>
          </w:tcPr>
          <w:p w:rsidR="00747AFB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747AFB">
            <w:pPr>
              <w:pStyle w:val="Tables"/>
              <w:tabs>
                <w:tab w:val="left" w:pos="216"/>
              </w:tabs>
              <w:spacing w:after="0"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Age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CC5AF3" w:rsidRDefault="00747AFB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747AFB">
              <w:rPr>
                <w:rFonts w:asciiTheme="minorHAnsi" w:hAnsiTheme="minorHAnsi"/>
                <w:b/>
                <w:sz w:val="19"/>
                <w:szCs w:val="19"/>
              </w:rPr>
              <w:t>-0.18 (-0.26--0.11)</w:t>
            </w:r>
            <w:r w:rsidR="00CC5AF3">
              <w:rPr>
                <w:rFonts w:asciiTheme="minorHAnsi" w:hAnsiTheme="minorHAnsi"/>
                <w:b/>
                <w:sz w:val="19"/>
                <w:szCs w:val="19"/>
              </w:rPr>
              <w:t>;</w:t>
            </w:r>
          </w:p>
          <w:p w:rsidR="00747AFB" w:rsidRPr="00747AFB" w:rsidRDefault="00F674AD" w:rsidP="00F674AD">
            <w:pPr>
              <w:pStyle w:val="Tables"/>
              <w:spacing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&lt;0</w:t>
            </w:r>
            <w:r w:rsidR="00CC5AF3">
              <w:rPr>
                <w:rFonts w:asciiTheme="minorHAnsi" w:hAnsiTheme="minorHAnsi"/>
                <w:b/>
                <w:sz w:val="19"/>
                <w:szCs w:val="19"/>
              </w:rPr>
              <w:t>.</w:t>
            </w:r>
            <w:r w:rsidR="00747AFB" w:rsidRPr="00747AFB">
              <w:rPr>
                <w:rFonts w:asciiTheme="minorHAnsi" w:hAnsiTheme="minorHAnsi"/>
                <w:b/>
                <w:sz w:val="19"/>
                <w:szCs w:val="19"/>
              </w:rPr>
              <w:t>0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0</w:t>
            </w:r>
            <w:r w:rsidR="00747AFB" w:rsidRPr="00747AFB">
              <w:rPr>
                <w:rFonts w:asciiTheme="minorHAnsi" w:hAnsiTheme="minorHAnsi"/>
                <w:b/>
                <w:sz w:val="19"/>
                <w:szCs w:val="19"/>
              </w:rPr>
              <w:t>1*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CC5AF3" w:rsidRPr="00CC5AF3" w:rsidRDefault="00CC5AF3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CC5AF3">
              <w:rPr>
                <w:rFonts w:asciiTheme="minorHAnsi" w:hAnsiTheme="minorHAnsi"/>
                <w:b/>
                <w:sz w:val="19"/>
                <w:szCs w:val="19"/>
              </w:rPr>
              <w:t>-0.15 (-0.23--0.07)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;</w:t>
            </w:r>
          </w:p>
          <w:p w:rsidR="00CC5AF3" w:rsidRPr="00CC5AF3" w:rsidRDefault="00CC5AF3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CC5AF3">
              <w:rPr>
                <w:rFonts w:asciiTheme="minorHAnsi" w:hAnsiTheme="minorHAnsi"/>
                <w:b/>
                <w:sz w:val="19"/>
                <w:szCs w:val="19"/>
              </w:rPr>
              <w:t>&lt;0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.</w:t>
            </w:r>
            <w:r w:rsidRPr="00CC5AF3">
              <w:rPr>
                <w:rFonts w:asciiTheme="minorHAnsi" w:hAnsiTheme="minorHAnsi"/>
                <w:b/>
                <w:sz w:val="19"/>
                <w:szCs w:val="19"/>
              </w:rPr>
              <w:t>001*</w:t>
            </w:r>
          </w:p>
          <w:p w:rsidR="00747AFB" w:rsidRPr="00CC5AF3" w:rsidRDefault="00747AFB" w:rsidP="00CC5AF3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D643BB" w:rsidRPr="00321967" w:rsidRDefault="00D643BB" w:rsidP="00321967">
            <w:pPr>
              <w:pStyle w:val="Tables"/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21967">
              <w:rPr>
                <w:color w:val="000000"/>
                <w:sz w:val="19"/>
                <w:szCs w:val="19"/>
              </w:rPr>
              <w:t>-0.01 (-0.06-0.04);</w:t>
            </w:r>
          </w:p>
          <w:p w:rsidR="00747AFB" w:rsidRPr="00321967" w:rsidRDefault="00D643BB" w:rsidP="00321967">
            <w:pPr>
              <w:pStyle w:val="Tables"/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21967">
              <w:rPr>
                <w:color w:val="000000"/>
                <w:sz w:val="19"/>
                <w:szCs w:val="19"/>
              </w:rPr>
              <w:t>0.694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2055D9" w:rsidRPr="002055D9" w:rsidRDefault="002055D9" w:rsidP="002055D9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2055D9">
              <w:rPr>
                <w:rFonts w:asciiTheme="minorHAnsi" w:hAnsiTheme="minorHAnsi"/>
                <w:b/>
                <w:sz w:val="19"/>
                <w:szCs w:val="19"/>
              </w:rPr>
              <w:t>-1.42 (-1.56--1.28);</w:t>
            </w:r>
          </w:p>
          <w:p w:rsidR="00747AFB" w:rsidRPr="002055D9" w:rsidRDefault="00F674AD" w:rsidP="00F674AD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&lt;0</w:t>
            </w:r>
            <w:r w:rsidR="002055D9" w:rsidRPr="002055D9">
              <w:rPr>
                <w:rFonts w:asciiTheme="minorHAnsi" w:hAnsiTheme="minorHAnsi"/>
                <w:b/>
                <w:sz w:val="19"/>
                <w:szCs w:val="19"/>
              </w:rPr>
              <w:t>.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00</w:t>
            </w:r>
            <w:r w:rsidR="002055D9" w:rsidRPr="002055D9">
              <w:rPr>
                <w:rFonts w:asciiTheme="minorHAnsi" w:hAnsiTheme="minorHAnsi"/>
                <w:b/>
                <w:sz w:val="19"/>
                <w:szCs w:val="19"/>
              </w:rPr>
              <w:t>1*</w:t>
            </w:r>
          </w:p>
        </w:tc>
        <w:tc>
          <w:tcPr>
            <w:tcW w:w="1978" w:type="dxa"/>
          </w:tcPr>
          <w:p w:rsidR="003836BC" w:rsidRPr="003836BC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836BC">
              <w:rPr>
                <w:rFonts w:asciiTheme="minorHAnsi" w:hAnsiTheme="minorHAnsi"/>
                <w:b/>
                <w:sz w:val="19"/>
                <w:szCs w:val="19"/>
              </w:rPr>
              <w:t>0.22 (0.14-0.29);</w:t>
            </w:r>
          </w:p>
          <w:p w:rsidR="00747AFB" w:rsidRPr="003836BC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836BC">
              <w:rPr>
                <w:rFonts w:asciiTheme="minorHAnsi" w:hAnsiTheme="minorHAnsi"/>
                <w:b/>
                <w:sz w:val="19"/>
                <w:szCs w:val="19"/>
              </w:rPr>
              <w:t>&lt;0.001</w:t>
            </w: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Nationality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8" w:type="dxa"/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German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747AFB">
            <w:pPr>
              <w:pStyle w:val="Tables"/>
              <w:spacing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Other 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CC5AF3" w:rsidRDefault="00747AFB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-2.34 (-5.44-0.76)</w:t>
            </w:r>
            <w:r w:rsidR="00CC5AF3">
              <w:rPr>
                <w:rFonts w:asciiTheme="minorHAnsi" w:hAnsiTheme="minorHAnsi"/>
                <w:sz w:val="19"/>
                <w:szCs w:val="19"/>
              </w:rPr>
              <w:t>;</w:t>
            </w:r>
          </w:p>
          <w:p w:rsidR="00747AFB" w:rsidRPr="00747AFB" w:rsidRDefault="00747AFB" w:rsidP="00CC5AF3">
            <w:pPr>
              <w:pStyle w:val="Tables"/>
              <w:spacing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0.139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CC5AF3" w:rsidRPr="00CC5AF3" w:rsidRDefault="00CC5AF3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color w:val="000000"/>
                <w:sz w:val="19"/>
                <w:szCs w:val="19"/>
              </w:rPr>
              <w:t>-</w:t>
            </w:r>
            <w:r w:rsidRPr="00CC5AF3">
              <w:rPr>
                <w:rFonts w:asciiTheme="minorHAnsi" w:hAnsiTheme="minorHAnsi"/>
                <w:sz w:val="19"/>
                <w:szCs w:val="19"/>
              </w:rPr>
              <w:t>2.85 (-6.28-0.58);</w:t>
            </w:r>
          </w:p>
          <w:p w:rsidR="00CC5AF3" w:rsidRPr="00CC5AF3" w:rsidRDefault="00CC5AF3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0.103</w:t>
            </w:r>
          </w:p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D643BB" w:rsidRPr="00321967" w:rsidRDefault="00D643BB" w:rsidP="00321967">
            <w:pPr>
              <w:pStyle w:val="Tables"/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21967">
              <w:rPr>
                <w:color w:val="000000"/>
                <w:sz w:val="19"/>
                <w:szCs w:val="19"/>
              </w:rPr>
              <w:t>0.03 (-2-2.07);</w:t>
            </w:r>
          </w:p>
          <w:p w:rsidR="00747AFB" w:rsidRPr="00321967" w:rsidRDefault="00D643BB" w:rsidP="00321967">
            <w:pPr>
              <w:pStyle w:val="Tables"/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21967">
              <w:rPr>
                <w:color w:val="000000"/>
                <w:sz w:val="19"/>
                <w:szCs w:val="19"/>
              </w:rPr>
              <w:t>0.974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F674AD" w:rsidRPr="00F674AD" w:rsidRDefault="00F674AD" w:rsidP="00F674AD">
            <w:pPr>
              <w:pStyle w:val="Tables"/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F674AD">
              <w:rPr>
                <w:color w:val="000000"/>
                <w:sz w:val="19"/>
                <w:szCs w:val="19"/>
              </w:rPr>
              <w:t>0.8 (-4.98-6.58);</w:t>
            </w:r>
          </w:p>
          <w:p w:rsidR="00747AFB" w:rsidRPr="00F674AD" w:rsidRDefault="00F674AD" w:rsidP="00F674AD">
            <w:pPr>
              <w:pStyle w:val="Tables"/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F674AD">
              <w:rPr>
                <w:color w:val="000000"/>
                <w:sz w:val="19"/>
                <w:szCs w:val="19"/>
              </w:rPr>
              <w:t>0.786</w:t>
            </w:r>
          </w:p>
        </w:tc>
        <w:tc>
          <w:tcPr>
            <w:tcW w:w="1978" w:type="dxa"/>
          </w:tcPr>
          <w:p w:rsidR="003836BC" w:rsidRPr="003836BC" w:rsidRDefault="003836BC" w:rsidP="003836BC">
            <w:pPr>
              <w:pStyle w:val="Tables"/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836BC">
              <w:rPr>
                <w:color w:val="000000"/>
                <w:sz w:val="19"/>
                <w:szCs w:val="19"/>
              </w:rPr>
              <w:t>0.55 (-2.47-3.58);</w:t>
            </w:r>
          </w:p>
          <w:p w:rsidR="00747AFB" w:rsidRPr="003836BC" w:rsidRDefault="003836BC" w:rsidP="003836BC">
            <w:pPr>
              <w:pStyle w:val="Tables"/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3836BC">
              <w:rPr>
                <w:color w:val="000000"/>
                <w:sz w:val="19"/>
                <w:szCs w:val="19"/>
              </w:rPr>
              <w:t>0.720</w:t>
            </w: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Insurance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Statutory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lastRenderedPageBreak/>
              <w:tab/>
              <w:t>Private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747AFB" w:rsidRDefault="00747AFB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1.13 (-0.3-2.55)</w:t>
            </w:r>
          </w:p>
          <w:p w:rsidR="00747AFB" w:rsidRPr="00C36079" w:rsidRDefault="00747AFB" w:rsidP="00CC5AF3">
            <w:pPr>
              <w:pStyle w:val="Tables"/>
              <w:spacing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0.122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CC5AF3" w:rsidRPr="00CC5AF3" w:rsidRDefault="00CC5AF3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1.41 (-0.17-3);</w:t>
            </w:r>
          </w:p>
          <w:p w:rsidR="00747AFB" w:rsidRPr="00CC5AF3" w:rsidRDefault="00CC5AF3" w:rsidP="00CC5AF3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0.080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D643BB" w:rsidRPr="00566574" w:rsidRDefault="00D643BB" w:rsidP="00566574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0.75 (-0.2-1.69);</w:t>
            </w:r>
          </w:p>
          <w:p w:rsidR="00747AFB" w:rsidRPr="00566574" w:rsidRDefault="00D643BB" w:rsidP="00566574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0.121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F674AD" w:rsidRPr="00F674AD" w:rsidRDefault="00F674AD" w:rsidP="00F674AD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F674AD">
              <w:rPr>
                <w:rFonts w:asciiTheme="minorHAnsi" w:hAnsiTheme="minorHAnsi"/>
                <w:sz w:val="19"/>
                <w:szCs w:val="19"/>
              </w:rPr>
              <w:t>2.61 (-0.02-5.25);</w:t>
            </w:r>
          </w:p>
          <w:p w:rsidR="00747AFB" w:rsidRPr="00F674AD" w:rsidRDefault="00F674AD" w:rsidP="00F674AD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F674AD">
              <w:rPr>
                <w:rFonts w:asciiTheme="minorHAnsi" w:hAnsiTheme="minorHAnsi"/>
                <w:sz w:val="19"/>
                <w:szCs w:val="19"/>
              </w:rPr>
              <w:t>0.051</w:t>
            </w:r>
          </w:p>
        </w:tc>
        <w:tc>
          <w:tcPr>
            <w:tcW w:w="1978" w:type="dxa"/>
          </w:tcPr>
          <w:p w:rsidR="003836BC" w:rsidRPr="00EA7054" w:rsidRDefault="003836BC" w:rsidP="003836BC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EA7054">
              <w:rPr>
                <w:color w:val="000000"/>
                <w:sz w:val="19"/>
                <w:szCs w:val="19"/>
              </w:rPr>
              <w:t>1.36 (-0.05-2.77);</w:t>
            </w:r>
          </w:p>
          <w:p w:rsidR="00747AFB" w:rsidRPr="00EA7054" w:rsidRDefault="003836BC" w:rsidP="003836BC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EA7054">
              <w:rPr>
                <w:color w:val="000000"/>
                <w:sz w:val="19"/>
                <w:szCs w:val="19"/>
              </w:rPr>
              <w:t>0.058</w:t>
            </w: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School-leaving qualification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747AFB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8" w:type="dxa"/>
          </w:tcPr>
          <w:p w:rsidR="00747AFB" w:rsidRPr="00EA7054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47AFB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Lower secondary school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47AFB" w:rsidRPr="00C36079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:rsidR="00747AFB" w:rsidRPr="00EA7054" w:rsidRDefault="00747AFB" w:rsidP="004F22EC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A7054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3836BC" w:rsidRPr="00C36079" w:rsidTr="00C54B68">
        <w:tc>
          <w:tcPr>
            <w:tcW w:w="1908" w:type="dxa"/>
            <w:tcMar>
              <w:left w:w="115" w:type="dxa"/>
              <w:right w:w="115" w:type="dxa"/>
            </w:tcMar>
          </w:tcPr>
          <w:p w:rsidR="003836BC" w:rsidRPr="00C36079" w:rsidRDefault="003836BC" w:rsidP="003836B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Intermediate secondary school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747AFB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1.29 (-0.17-2.76)</w:t>
            </w:r>
          </w:p>
          <w:p w:rsidR="003836BC" w:rsidRPr="00747AFB" w:rsidRDefault="003836BC" w:rsidP="003836BC">
            <w:pPr>
              <w:pStyle w:val="Tables"/>
              <w:spacing w:line="240" w:lineRule="auto"/>
              <w:jc w:val="center"/>
              <w:rPr>
                <w:color w:val="000000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0.083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0.39 (-1.23-2.02);</w:t>
            </w:r>
          </w:p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0.635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0.32 (-0.65-1.3);</w:t>
            </w:r>
          </w:p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0.513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F674AD">
              <w:rPr>
                <w:rFonts w:asciiTheme="minorHAnsi" w:hAnsiTheme="minorHAnsi"/>
                <w:b/>
                <w:sz w:val="19"/>
                <w:szCs w:val="19"/>
              </w:rPr>
              <w:t>3.53 (0.85-6.21);</w:t>
            </w:r>
          </w:p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b/>
                <w:color w:val="000000"/>
              </w:rPr>
            </w:pPr>
            <w:r w:rsidRPr="00F674AD">
              <w:rPr>
                <w:rFonts w:asciiTheme="minorHAnsi" w:hAnsiTheme="minorHAnsi"/>
                <w:b/>
                <w:sz w:val="19"/>
                <w:szCs w:val="19"/>
              </w:rPr>
              <w:t>0.010*</w:t>
            </w:r>
          </w:p>
        </w:tc>
        <w:tc>
          <w:tcPr>
            <w:tcW w:w="1978" w:type="dxa"/>
            <w:vAlign w:val="bottom"/>
          </w:tcPr>
          <w:p w:rsidR="003836BC" w:rsidRPr="00EA7054" w:rsidRDefault="003836BC" w:rsidP="00EA7054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A7054">
              <w:rPr>
                <w:b/>
                <w:color w:val="000000"/>
                <w:sz w:val="19"/>
                <w:szCs w:val="19"/>
              </w:rPr>
              <w:t>2.22 (0.77-3.67);</w:t>
            </w:r>
          </w:p>
          <w:p w:rsidR="003836BC" w:rsidRPr="00EA7054" w:rsidRDefault="003836BC" w:rsidP="00EA7054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A7054">
              <w:rPr>
                <w:b/>
                <w:color w:val="000000"/>
                <w:sz w:val="19"/>
                <w:szCs w:val="19"/>
              </w:rPr>
              <w:t>0.003*</w:t>
            </w:r>
          </w:p>
        </w:tc>
      </w:tr>
      <w:tr w:rsidR="003836BC" w:rsidRPr="00C36079" w:rsidTr="00C54B68">
        <w:tc>
          <w:tcPr>
            <w:tcW w:w="1908" w:type="dxa"/>
            <w:tcMar>
              <w:left w:w="115" w:type="dxa"/>
              <w:right w:w="115" w:type="dxa"/>
            </w:tcMar>
          </w:tcPr>
          <w:p w:rsidR="003836BC" w:rsidRPr="00C36079" w:rsidRDefault="003836BC" w:rsidP="003836B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FHSR</w:t>
            </w:r>
            <w:r w:rsidR="00E10390" w:rsidRPr="00E10390">
              <w:rPr>
                <w:rFonts w:asciiTheme="minorHAnsi" w:hAnsiTheme="minorHAnsi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747AFB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1.12 (-0.72-2.95)</w:t>
            </w:r>
          </w:p>
          <w:p w:rsidR="003836BC" w:rsidRDefault="003836BC" w:rsidP="003836BC">
            <w:pPr>
              <w:pStyle w:val="Tables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0.233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-0.35 (-2.39-1.69) ;</w:t>
            </w:r>
          </w:p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0.734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-0.75 (-1.98-0.49);</w:t>
            </w:r>
          </w:p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0.235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F674AD">
              <w:rPr>
                <w:rFonts w:asciiTheme="minorHAnsi" w:hAnsiTheme="minorHAnsi"/>
                <w:b/>
                <w:sz w:val="19"/>
                <w:szCs w:val="19"/>
              </w:rPr>
              <w:t>6.33 (2.93-9.72);</w:t>
            </w:r>
          </w:p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F674AD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:rsidR="003836BC" w:rsidRPr="00EA7054" w:rsidRDefault="003836BC" w:rsidP="00EA705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EA7054">
              <w:rPr>
                <w:color w:val="000000"/>
                <w:sz w:val="19"/>
                <w:szCs w:val="19"/>
              </w:rPr>
              <w:t>-0.06 (-1.9-1.78);</w:t>
            </w:r>
          </w:p>
          <w:p w:rsidR="003836BC" w:rsidRPr="00EA7054" w:rsidRDefault="003836BC" w:rsidP="00EA705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EA7054">
              <w:rPr>
                <w:color w:val="000000"/>
                <w:sz w:val="19"/>
                <w:szCs w:val="19"/>
              </w:rPr>
              <w:t>0.951</w:t>
            </w:r>
          </w:p>
        </w:tc>
      </w:tr>
      <w:tr w:rsidR="003836BC" w:rsidRPr="00C36079" w:rsidTr="00C54B68">
        <w:tc>
          <w:tcPr>
            <w:tcW w:w="1908" w:type="dxa"/>
            <w:tcMar>
              <w:left w:w="115" w:type="dxa"/>
              <w:right w:w="115" w:type="dxa"/>
            </w:tcMar>
          </w:tcPr>
          <w:p w:rsidR="003836BC" w:rsidRPr="00C36079" w:rsidRDefault="003836BC" w:rsidP="003836B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University entrance certificate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AE45DE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E45DE">
              <w:rPr>
                <w:rFonts w:asciiTheme="minorHAnsi" w:hAnsiTheme="minorHAnsi"/>
                <w:sz w:val="19"/>
                <w:szCs w:val="19"/>
              </w:rPr>
              <w:t>0.67 (-0.94-2.27)</w:t>
            </w:r>
          </w:p>
          <w:p w:rsidR="003836BC" w:rsidRDefault="003836BC" w:rsidP="003836BC">
            <w:pPr>
              <w:pStyle w:val="Tables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E45DE">
              <w:rPr>
                <w:rFonts w:asciiTheme="minorHAnsi" w:hAnsiTheme="minorHAnsi"/>
                <w:sz w:val="19"/>
                <w:szCs w:val="19"/>
              </w:rPr>
              <w:t>0.418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-0.05 (-1.84-1.74);</w:t>
            </w:r>
          </w:p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0.955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0.27 (-0.8-1.34);</w:t>
            </w:r>
          </w:p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0.616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F674AD">
              <w:rPr>
                <w:rFonts w:asciiTheme="minorHAnsi" w:hAnsiTheme="minorHAnsi"/>
                <w:b/>
                <w:sz w:val="19"/>
                <w:szCs w:val="19"/>
              </w:rPr>
              <w:t>8.58 (5.6-11.56);</w:t>
            </w:r>
          </w:p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F674AD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:rsidR="003836BC" w:rsidRPr="00EA7054" w:rsidRDefault="003836BC" w:rsidP="00EA7054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A7054">
              <w:rPr>
                <w:b/>
                <w:color w:val="000000"/>
                <w:sz w:val="19"/>
                <w:szCs w:val="19"/>
              </w:rPr>
              <w:t>2.21 (0.62-3.8);</w:t>
            </w:r>
          </w:p>
          <w:p w:rsidR="003836BC" w:rsidRPr="00EA7054" w:rsidRDefault="003836BC" w:rsidP="00EA7054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A7054">
              <w:rPr>
                <w:b/>
                <w:color w:val="000000"/>
                <w:sz w:val="19"/>
                <w:szCs w:val="19"/>
              </w:rPr>
              <w:t>0.007*</w:t>
            </w:r>
          </w:p>
        </w:tc>
      </w:tr>
      <w:tr w:rsidR="003836BC" w:rsidRPr="00C36079" w:rsidTr="00C54B68">
        <w:tc>
          <w:tcPr>
            <w:tcW w:w="1908" w:type="dxa"/>
            <w:tcMar>
              <w:left w:w="115" w:type="dxa"/>
              <w:right w:w="115" w:type="dxa"/>
            </w:tcMar>
          </w:tcPr>
          <w:p w:rsidR="003836BC" w:rsidRPr="00C36079" w:rsidRDefault="003836BC" w:rsidP="003836B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Other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AE45DE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E45DE">
              <w:rPr>
                <w:rFonts w:asciiTheme="minorHAnsi" w:hAnsiTheme="minorHAnsi"/>
                <w:sz w:val="19"/>
                <w:szCs w:val="19"/>
              </w:rPr>
              <w:t>0.96 (-3.53-5.45)</w:t>
            </w:r>
          </w:p>
          <w:p w:rsidR="003836BC" w:rsidRPr="00AE45DE" w:rsidRDefault="003836BC" w:rsidP="003836BC">
            <w:pPr>
              <w:pStyle w:val="Tables"/>
              <w:spacing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E45DE">
              <w:rPr>
                <w:rFonts w:asciiTheme="minorHAnsi" w:hAnsiTheme="minorHAnsi"/>
                <w:sz w:val="19"/>
                <w:szCs w:val="19"/>
              </w:rPr>
              <w:t>0.675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-2.3 (-7.29-2.69) ;</w:t>
            </w:r>
          </w:p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sz w:val="19"/>
                <w:szCs w:val="19"/>
              </w:rPr>
              <w:t>0.366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1.1 (-1.81-4.01);</w:t>
            </w:r>
          </w:p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0.460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F674AD">
              <w:rPr>
                <w:rFonts w:asciiTheme="minorHAnsi" w:hAnsiTheme="minorHAnsi"/>
                <w:sz w:val="19"/>
                <w:szCs w:val="19"/>
              </w:rPr>
              <w:t>-0.34 (-8.6-7.93);</w:t>
            </w:r>
          </w:p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F674AD">
              <w:rPr>
                <w:rFonts w:asciiTheme="minorHAnsi" w:hAnsiTheme="minorHAnsi"/>
                <w:sz w:val="19"/>
                <w:szCs w:val="19"/>
              </w:rPr>
              <w:t>0.937</w:t>
            </w:r>
          </w:p>
        </w:tc>
        <w:tc>
          <w:tcPr>
            <w:tcW w:w="1978" w:type="dxa"/>
            <w:vAlign w:val="bottom"/>
          </w:tcPr>
          <w:p w:rsidR="003836BC" w:rsidRPr="00EA7054" w:rsidRDefault="003836BC" w:rsidP="00EA705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EA7054">
              <w:rPr>
                <w:color w:val="000000"/>
                <w:sz w:val="19"/>
                <w:szCs w:val="19"/>
              </w:rPr>
              <w:t>1.83 (-2.58-6.24);</w:t>
            </w:r>
          </w:p>
          <w:p w:rsidR="003836BC" w:rsidRPr="00EA7054" w:rsidRDefault="003836BC" w:rsidP="00EA705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EA7054">
              <w:rPr>
                <w:color w:val="000000"/>
                <w:sz w:val="19"/>
                <w:szCs w:val="19"/>
              </w:rPr>
              <w:t>0.417</w:t>
            </w:r>
          </w:p>
        </w:tc>
      </w:tr>
      <w:tr w:rsidR="003836BC" w:rsidRPr="00C36079" w:rsidTr="00C54B68">
        <w:tc>
          <w:tcPr>
            <w:tcW w:w="1908" w:type="dxa"/>
            <w:tcMar>
              <w:left w:w="115" w:type="dxa"/>
              <w:right w:w="115" w:type="dxa"/>
            </w:tcMar>
          </w:tcPr>
          <w:p w:rsidR="003836BC" w:rsidRPr="00C36079" w:rsidRDefault="003836BC" w:rsidP="003836BC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None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E45DE">
              <w:rPr>
                <w:rFonts w:asciiTheme="minorHAnsi" w:hAnsiTheme="minorHAnsi"/>
                <w:sz w:val="19"/>
                <w:szCs w:val="19"/>
              </w:rPr>
              <w:t>-</w:t>
            </w:r>
            <w:r w:rsidRPr="00747AFB">
              <w:rPr>
                <w:rFonts w:asciiTheme="minorHAnsi" w:hAnsiTheme="minorHAnsi"/>
                <w:sz w:val="19"/>
                <w:szCs w:val="19"/>
              </w:rPr>
              <w:t>0.62 (-7.43-6.19)</w:t>
            </w:r>
          </w:p>
          <w:p w:rsidR="003836BC" w:rsidRPr="00AE45DE" w:rsidRDefault="003836BC" w:rsidP="003836BC">
            <w:pPr>
              <w:pStyle w:val="Tables"/>
              <w:spacing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747AFB">
              <w:rPr>
                <w:rFonts w:asciiTheme="minorHAnsi" w:hAnsiTheme="minorHAnsi"/>
                <w:sz w:val="19"/>
                <w:szCs w:val="19"/>
              </w:rPr>
              <w:t>0.859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CC5AF3">
              <w:rPr>
                <w:rFonts w:asciiTheme="minorHAnsi" w:hAnsiTheme="minorHAnsi"/>
                <w:b/>
                <w:sz w:val="19"/>
                <w:szCs w:val="19"/>
              </w:rPr>
              <w:t>-10.91 (-18.4--3.43);</w:t>
            </w:r>
          </w:p>
          <w:p w:rsidR="003836BC" w:rsidRPr="00CC5AF3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C5AF3">
              <w:rPr>
                <w:rFonts w:asciiTheme="minorHAnsi" w:hAnsiTheme="minorHAnsi"/>
                <w:b/>
                <w:sz w:val="19"/>
                <w:szCs w:val="19"/>
              </w:rPr>
              <w:t>0.004*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-4.64 (-8.94--0.35);</w:t>
            </w:r>
          </w:p>
          <w:p w:rsidR="003836BC" w:rsidRPr="00566574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566574">
              <w:rPr>
                <w:rFonts w:asciiTheme="minorHAnsi" w:hAnsiTheme="minorHAnsi"/>
                <w:sz w:val="19"/>
                <w:szCs w:val="19"/>
              </w:rPr>
              <w:t>0.034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F674AD">
              <w:rPr>
                <w:rFonts w:asciiTheme="minorHAnsi" w:hAnsiTheme="minorHAnsi"/>
                <w:sz w:val="19"/>
                <w:szCs w:val="19"/>
              </w:rPr>
              <w:t>-8.49 (-20.58-3.61);</w:t>
            </w:r>
          </w:p>
          <w:p w:rsidR="003836BC" w:rsidRPr="00F674AD" w:rsidRDefault="003836BC" w:rsidP="003836BC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F674AD">
              <w:rPr>
                <w:rFonts w:asciiTheme="minorHAnsi" w:hAnsiTheme="minorHAnsi"/>
                <w:sz w:val="19"/>
                <w:szCs w:val="19"/>
              </w:rPr>
              <w:t>0,169</w:t>
            </w:r>
          </w:p>
        </w:tc>
        <w:tc>
          <w:tcPr>
            <w:tcW w:w="1978" w:type="dxa"/>
            <w:vAlign w:val="bottom"/>
          </w:tcPr>
          <w:p w:rsidR="003836BC" w:rsidRPr="00EA7054" w:rsidRDefault="003836BC" w:rsidP="00EA705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EA7054">
              <w:rPr>
                <w:color w:val="000000"/>
                <w:sz w:val="19"/>
                <w:szCs w:val="19"/>
              </w:rPr>
              <w:t>0.42 (-6.19-7.03);</w:t>
            </w:r>
          </w:p>
          <w:p w:rsidR="003836BC" w:rsidRPr="00EA7054" w:rsidRDefault="003836BC" w:rsidP="00EA7054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EA7054">
              <w:rPr>
                <w:color w:val="000000"/>
                <w:sz w:val="19"/>
                <w:szCs w:val="19"/>
              </w:rPr>
              <w:t>0.900</w:t>
            </w:r>
          </w:p>
        </w:tc>
      </w:tr>
      <w:tr w:rsidR="00747AFB" w:rsidRPr="00C36079" w:rsidTr="00747AFB">
        <w:trPr>
          <w:gridAfter w:val="4"/>
          <w:wAfter w:w="7706" w:type="dxa"/>
        </w:trPr>
        <w:tc>
          <w:tcPr>
            <w:tcW w:w="3828" w:type="dxa"/>
            <w:gridSpan w:val="2"/>
          </w:tcPr>
          <w:p w:rsidR="00747AFB" w:rsidRPr="00C36079" w:rsidRDefault="00747AFB" w:rsidP="004F22EC">
            <w:pPr>
              <w:pStyle w:val="Tables"/>
              <w:spacing w:line="36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89" w:type="dxa"/>
            <w:gridSpan w:val="2"/>
          </w:tcPr>
          <w:p w:rsidR="00747AFB" w:rsidRPr="00C36079" w:rsidRDefault="00747AFB" w:rsidP="004F22EC">
            <w:pPr>
              <w:pStyle w:val="Tables"/>
              <w:spacing w:line="36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bookmarkStart w:id="0" w:name="_GoBack"/>
        <w:bookmarkEnd w:id="0"/>
      </w:tr>
      <w:tr w:rsidR="00781541" w:rsidRPr="00C36079" w:rsidTr="00747AFB">
        <w:tc>
          <w:tcPr>
            <w:tcW w:w="1908" w:type="dxa"/>
            <w:tcMar>
              <w:left w:w="115" w:type="dxa"/>
              <w:right w:w="115" w:type="dxa"/>
            </w:tcMar>
          </w:tcPr>
          <w:p w:rsidR="00781541" w:rsidRPr="00C36079" w:rsidRDefault="00781541" w:rsidP="00781541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Null model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81541" w:rsidRPr="00DF384C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0.014;</w:t>
            </w:r>
          </w:p>
          <w:p w:rsidR="00781541" w:rsidRPr="00DF384C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0.059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781541" w:rsidRPr="00DF384C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0.008;</w:t>
            </w:r>
          </w:p>
          <w:p w:rsidR="00781541" w:rsidRPr="00DF384C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0.154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&lt;0.001;</w:t>
            </w:r>
          </w:p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0.581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0.024;</w:t>
            </w:r>
          </w:p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0.015</w:t>
            </w:r>
          </w:p>
        </w:tc>
        <w:tc>
          <w:tcPr>
            <w:tcW w:w="1978" w:type="dxa"/>
          </w:tcPr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0.008;</w:t>
            </w:r>
          </w:p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0.134</w:t>
            </w:r>
          </w:p>
        </w:tc>
      </w:tr>
      <w:tr w:rsidR="00781541" w:rsidRPr="00C36079" w:rsidTr="00747AFB">
        <w:tc>
          <w:tcPr>
            <w:tcW w:w="1908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:rsidR="00781541" w:rsidRPr="00C36079" w:rsidRDefault="00781541" w:rsidP="00781541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ab/>
              <w:t>Model 1</w:t>
            </w:r>
          </w:p>
        </w:tc>
        <w:tc>
          <w:tcPr>
            <w:tcW w:w="2151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81541" w:rsidRPr="00DF384C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781541" w:rsidRPr="00DF384C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0.180</w:t>
            </w:r>
          </w:p>
        </w:tc>
        <w:tc>
          <w:tcPr>
            <w:tcW w:w="2628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81541" w:rsidRPr="00DF384C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781541" w:rsidRPr="00DF384C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F384C">
              <w:rPr>
                <w:rFonts w:asciiTheme="minorHAnsi" w:hAnsiTheme="minorHAnsi"/>
                <w:sz w:val="19"/>
                <w:szCs w:val="19"/>
              </w:rPr>
              <w:t>0.185</w:t>
            </w: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&lt;0.001;</w:t>
            </w:r>
          </w:p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0.773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0.163</w:t>
            </w:r>
          </w:p>
        </w:tc>
        <w:tc>
          <w:tcPr>
            <w:tcW w:w="1978" w:type="dxa"/>
            <w:tcBorders>
              <w:bottom w:val="single" w:sz="8" w:space="0" w:color="auto"/>
            </w:tcBorders>
          </w:tcPr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0.007;</w:t>
            </w:r>
          </w:p>
          <w:p w:rsidR="00781541" w:rsidRPr="0080214B" w:rsidRDefault="00781541" w:rsidP="00781541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0214B">
              <w:rPr>
                <w:rFonts w:asciiTheme="minorHAnsi" w:hAnsiTheme="minorHAnsi"/>
                <w:sz w:val="19"/>
                <w:szCs w:val="19"/>
              </w:rPr>
              <w:t>0.187</w:t>
            </w:r>
          </w:p>
        </w:tc>
      </w:tr>
    </w:tbl>
    <w:p w:rsidR="000E3597" w:rsidRDefault="000E3597" w:rsidP="000E3597">
      <w:pPr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Note: (1) Multilevel mo</w:t>
      </w:r>
      <w:r w:rsidR="004750B3">
        <w:rPr>
          <w:rFonts w:ascii="Times New Roman" w:hAnsi="Times New Roman"/>
          <w:lang w:val="en-US"/>
        </w:rPr>
        <w:t>del 1</w:t>
      </w:r>
      <w:r>
        <w:rPr>
          <w:rFonts w:ascii="Times New Roman" w:hAnsi="Times New Roman"/>
          <w:lang w:val="en-US"/>
        </w:rPr>
        <w:t xml:space="preserve"> </w:t>
      </w:r>
      <w:r w:rsidRPr="00DA5415">
        <w:rPr>
          <w:rFonts w:ascii="Times New Roman" w:hAnsi="Times New Roman"/>
          <w:lang w:val="en-US"/>
        </w:rPr>
        <w:t>account</w:t>
      </w:r>
      <w:r>
        <w:rPr>
          <w:rFonts w:ascii="Times New Roman" w:hAnsi="Times New Roman"/>
          <w:lang w:val="en-US"/>
        </w:rPr>
        <w:t>s</w:t>
      </w:r>
      <w:r w:rsidRPr="00DA5415">
        <w:rPr>
          <w:rFonts w:ascii="Times New Roman" w:hAnsi="Times New Roman"/>
          <w:lang w:val="en-US"/>
        </w:rPr>
        <w:t xml:space="preserve"> for the clustering of patien</w:t>
      </w:r>
      <w:r>
        <w:rPr>
          <w:rFonts w:ascii="Times New Roman" w:hAnsi="Times New Roman"/>
          <w:lang w:val="en-US"/>
        </w:rPr>
        <w:t>ts (le</w:t>
      </w:r>
      <w:r w:rsidR="004E07D5">
        <w:rPr>
          <w:rFonts w:ascii="Times New Roman" w:hAnsi="Times New Roman"/>
          <w:lang w:val="en-US"/>
        </w:rPr>
        <w:t xml:space="preserve">vel 1) in </w:t>
      </w:r>
      <w:r w:rsidR="004E07D5" w:rsidRPr="00DA5415">
        <w:rPr>
          <w:rFonts w:ascii="Times New Roman" w:hAnsi="Times New Roman"/>
          <w:lang w:val="en-US"/>
        </w:rPr>
        <w:t>P</w:t>
      </w:r>
      <w:r w:rsidR="004E07D5">
        <w:rPr>
          <w:rFonts w:ascii="Times New Roman" w:hAnsi="Times New Roman"/>
          <w:lang w:val="en-US"/>
        </w:rPr>
        <w:t xml:space="preserve">rostate </w:t>
      </w:r>
      <w:r w:rsidR="004E07D5" w:rsidRPr="00DA5415">
        <w:rPr>
          <w:rFonts w:ascii="Times New Roman" w:hAnsi="Times New Roman"/>
          <w:lang w:val="en-US"/>
        </w:rPr>
        <w:t>C</w:t>
      </w:r>
      <w:r w:rsidR="004E07D5">
        <w:rPr>
          <w:rFonts w:ascii="Times New Roman" w:hAnsi="Times New Roman"/>
          <w:lang w:val="en-US"/>
        </w:rPr>
        <w:t xml:space="preserve">ancer </w:t>
      </w:r>
      <w:r w:rsidR="004E07D5" w:rsidRPr="00DA5415">
        <w:rPr>
          <w:rFonts w:ascii="Times New Roman" w:hAnsi="Times New Roman"/>
          <w:lang w:val="en-US"/>
        </w:rPr>
        <w:t>C</w:t>
      </w:r>
      <w:r w:rsidR="004E07D5">
        <w:rPr>
          <w:rFonts w:ascii="Times New Roman" w:hAnsi="Times New Roman"/>
          <w:lang w:val="en-US"/>
        </w:rPr>
        <w:t>enter</w:t>
      </w:r>
      <w:r>
        <w:rPr>
          <w:rFonts w:ascii="Times New Roman" w:hAnsi="Times New Roman"/>
          <w:lang w:val="en-US"/>
        </w:rPr>
        <w:t>s (level 2) with a random intercept. Fixed effects for</w:t>
      </w:r>
      <w:r w:rsidRPr="00DA5415">
        <w:rPr>
          <w:rFonts w:ascii="Times New Roman" w:hAnsi="Times New Roman"/>
          <w:lang w:val="en-US"/>
        </w:rPr>
        <w:t xml:space="preserve"> sociodemographic predictors</w:t>
      </w:r>
      <w:r w:rsidR="004750B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are included</w:t>
      </w:r>
      <w:r w:rsidRPr="00DA5415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(2) </w:t>
      </w:r>
      <w:r w:rsidR="00BC1F5B">
        <w:rPr>
          <w:rFonts w:ascii="Times New Roman" w:hAnsi="Times New Roman"/>
          <w:lang w:val="en-US"/>
        </w:rPr>
        <w:t xml:space="preserve">Patient numbers vary between analyses of different scores due to the different number of missing values for the respective scores. (3) </w:t>
      </w:r>
      <w:r w:rsidRPr="00E81521">
        <w:rPr>
          <w:rFonts w:ascii="Times New Roman" w:hAnsi="Times New Roman"/>
          <w:lang w:val="en-US"/>
        </w:rPr>
        <w:t xml:space="preserve">Results regarding the missing categories </w:t>
      </w:r>
      <w:r>
        <w:rPr>
          <w:rFonts w:ascii="Times New Roman" w:hAnsi="Times New Roman"/>
          <w:lang w:val="en-US"/>
        </w:rPr>
        <w:t xml:space="preserve">for categorical variables </w:t>
      </w:r>
      <w:r w:rsidRPr="00E81521">
        <w:rPr>
          <w:rFonts w:ascii="Times New Roman" w:hAnsi="Times New Roman"/>
          <w:lang w:val="en-US"/>
        </w:rPr>
        <w:t>are not presented in this table.</w:t>
      </w:r>
    </w:p>
    <w:p w:rsidR="000E3597" w:rsidRPr="000D3316" w:rsidRDefault="00D23567" w:rsidP="000E3597">
      <w:pPr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a</w:t>
      </w:r>
      <w:r w:rsidR="000E3597">
        <w:rPr>
          <w:rFonts w:ascii="Times New Roman" w:hAnsi="Times New Roman"/>
          <w:lang w:val="en-US"/>
        </w:rPr>
        <w:t xml:space="preserve"> FHSR: entrance certificate for a higher technical college/university of applied science</w:t>
      </w:r>
      <w:r w:rsidR="000E3597" w:rsidRPr="000D3316" w:rsidDel="006B5C26">
        <w:rPr>
          <w:rFonts w:ascii="Times New Roman" w:hAnsi="Times New Roman"/>
          <w:lang w:val="en-US"/>
        </w:rPr>
        <w:t xml:space="preserve"> </w:t>
      </w:r>
    </w:p>
    <w:p w:rsidR="00CD66F1" w:rsidRPr="00C14AF7" w:rsidRDefault="00B23448" w:rsidP="00E541C3">
      <w:pPr>
        <w:spacing w:after="0"/>
        <w:rPr>
          <w:rFonts w:ascii="Times New Roman" w:hAnsi="Times New Roman"/>
          <w:lang w:val="en-US"/>
        </w:rPr>
      </w:pPr>
      <w:r w:rsidRPr="00C14AF7">
        <w:rPr>
          <w:rFonts w:ascii="Times New Roman" w:hAnsi="Times New Roman"/>
          <w:lang w:val="en-US"/>
        </w:rPr>
        <w:t>*P &lt; 0.</w:t>
      </w:r>
      <w:r w:rsidRPr="00E541C3">
        <w:rPr>
          <w:rFonts w:ascii="Times New Roman" w:hAnsi="Times New Roman"/>
          <w:lang w:val="en-US"/>
        </w:rPr>
        <w:t>05</w:t>
      </w:r>
    </w:p>
    <w:sectPr w:rsidR="00CD66F1" w:rsidRPr="00C14AF7" w:rsidSect="007A134F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19" w:rsidRDefault="00554119" w:rsidP="004750B3">
      <w:pPr>
        <w:spacing w:after="0" w:line="240" w:lineRule="auto"/>
      </w:pPr>
      <w:r>
        <w:separator/>
      </w:r>
    </w:p>
  </w:endnote>
  <w:endnote w:type="continuationSeparator" w:id="0">
    <w:p w:rsidR="00554119" w:rsidRDefault="00554119" w:rsidP="004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827737"/>
      <w:docPartObj>
        <w:docPartGallery w:val="Page Numbers (Bottom of Page)"/>
        <w:docPartUnique/>
      </w:docPartObj>
    </w:sdtPr>
    <w:sdtEndPr/>
    <w:sdtContent>
      <w:p w:rsidR="004750B3" w:rsidRDefault="004750B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A05">
          <w:rPr>
            <w:noProof/>
          </w:rPr>
          <w:t>4</w:t>
        </w:r>
        <w:r>
          <w:fldChar w:fldCharType="end"/>
        </w:r>
      </w:p>
    </w:sdtContent>
  </w:sdt>
  <w:p w:rsidR="004750B3" w:rsidRDefault="004750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19" w:rsidRDefault="00554119" w:rsidP="004750B3">
      <w:pPr>
        <w:spacing w:after="0" w:line="240" w:lineRule="auto"/>
      </w:pPr>
      <w:r>
        <w:separator/>
      </w:r>
    </w:p>
  </w:footnote>
  <w:footnote w:type="continuationSeparator" w:id="0">
    <w:p w:rsidR="00554119" w:rsidRDefault="00554119" w:rsidP="00475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4F"/>
    <w:rsid w:val="000B489A"/>
    <w:rsid w:val="000C0224"/>
    <w:rsid w:val="000C0939"/>
    <w:rsid w:val="000E3597"/>
    <w:rsid w:val="000F21CD"/>
    <w:rsid w:val="001445B4"/>
    <w:rsid w:val="00177967"/>
    <w:rsid w:val="00185EC5"/>
    <w:rsid w:val="00193A7E"/>
    <w:rsid w:val="001E4E69"/>
    <w:rsid w:val="001F149F"/>
    <w:rsid w:val="002055D9"/>
    <w:rsid w:val="002115D5"/>
    <w:rsid w:val="00271DDE"/>
    <w:rsid w:val="00295944"/>
    <w:rsid w:val="00321967"/>
    <w:rsid w:val="003265DF"/>
    <w:rsid w:val="00334B8C"/>
    <w:rsid w:val="0037296B"/>
    <w:rsid w:val="00374A8D"/>
    <w:rsid w:val="00381082"/>
    <w:rsid w:val="003836BC"/>
    <w:rsid w:val="00395106"/>
    <w:rsid w:val="0046208B"/>
    <w:rsid w:val="004750B3"/>
    <w:rsid w:val="004C7672"/>
    <w:rsid w:val="004E07D5"/>
    <w:rsid w:val="004E310C"/>
    <w:rsid w:val="00504A05"/>
    <w:rsid w:val="00532E8B"/>
    <w:rsid w:val="00554119"/>
    <w:rsid w:val="005552DF"/>
    <w:rsid w:val="00566574"/>
    <w:rsid w:val="00574EC6"/>
    <w:rsid w:val="00622149"/>
    <w:rsid w:val="006F136E"/>
    <w:rsid w:val="00747AFB"/>
    <w:rsid w:val="00767BCF"/>
    <w:rsid w:val="00774475"/>
    <w:rsid w:val="00781541"/>
    <w:rsid w:val="00784A00"/>
    <w:rsid w:val="007A134F"/>
    <w:rsid w:val="008109CB"/>
    <w:rsid w:val="00817385"/>
    <w:rsid w:val="00836123"/>
    <w:rsid w:val="008B1B80"/>
    <w:rsid w:val="008D5A0A"/>
    <w:rsid w:val="008D76D4"/>
    <w:rsid w:val="008E55AA"/>
    <w:rsid w:val="00923E01"/>
    <w:rsid w:val="009A47B4"/>
    <w:rsid w:val="009B2AE8"/>
    <w:rsid w:val="009B33DA"/>
    <w:rsid w:val="009E2BB8"/>
    <w:rsid w:val="00A6027A"/>
    <w:rsid w:val="00AE45DE"/>
    <w:rsid w:val="00B23448"/>
    <w:rsid w:val="00BC1F5B"/>
    <w:rsid w:val="00C05D0E"/>
    <w:rsid w:val="00C131CB"/>
    <w:rsid w:val="00C14AF7"/>
    <w:rsid w:val="00C732AB"/>
    <w:rsid w:val="00CA09CF"/>
    <w:rsid w:val="00CC5AF3"/>
    <w:rsid w:val="00CD66F1"/>
    <w:rsid w:val="00CE6043"/>
    <w:rsid w:val="00D23567"/>
    <w:rsid w:val="00D643BB"/>
    <w:rsid w:val="00D84939"/>
    <w:rsid w:val="00DB47B3"/>
    <w:rsid w:val="00E10390"/>
    <w:rsid w:val="00E11D8E"/>
    <w:rsid w:val="00E51409"/>
    <w:rsid w:val="00E541C3"/>
    <w:rsid w:val="00EA7054"/>
    <w:rsid w:val="00EC3131"/>
    <w:rsid w:val="00EF2A6E"/>
    <w:rsid w:val="00F3092A"/>
    <w:rsid w:val="00F66354"/>
    <w:rsid w:val="00F674AD"/>
    <w:rsid w:val="00FD49F5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E19A-EEC2-421A-BB99-F7B7478E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3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1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E359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7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0B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0B3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0C0224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784A00"/>
    <w:pPr>
      <w:spacing w:before="360" w:after="120" w:line="259" w:lineRule="auto"/>
    </w:pPr>
    <w:rPr>
      <w:rFonts w:eastAsia="MS Mincho" w:cs="Arial"/>
      <w:b/>
      <w:sz w:val="28"/>
    </w:rPr>
  </w:style>
  <w:style w:type="character" w:customStyle="1" w:styleId="TitelZchn">
    <w:name w:val="Titel Zchn"/>
    <w:basedOn w:val="Absatz-Standardschriftart"/>
    <w:link w:val="Titel"/>
    <w:rsid w:val="00784A00"/>
    <w:rPr>
      <w:rFonts w:ascii="Calibri" w:eastAsia="MS Mincho" w:hAnsi="Calibri" w:cs="Arial"/>
      <w:b/>
      <w:sz w:val="28"/>
    </w:rPr>
  </w:style>
  <w:style w:type="paragraph" w:customStyle="1" w:styleId="Author">
    <w:name w:val="Author"/>
    <w:basedOn w:val="Standard"/>
    <w:qFormat/>
    <w:rsid w:val="00784A00"/>
    <w:pPr>
      <w:spacing w:after="160" w:line="259" w:lineRule="auto"/>
    </w:pPr>
    <w:rPr>
      <w:rFonts w:asciiTheme="minorHAnsi" w:eastAsiaTheme="minorHAnsi" w:hAnsiTheme="minorHAnsi" w:cstheme="minorBidi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DF"/>
    <w:rPr>
      <w:rFonts w:ascii="Segoe UI" w:eastAsia="Calibri" w:hAnsi="Segoe UI" w:cs="Segoe UI"/>
      <w:sz w:val="18"/>
      <w:szCs w:val="18"/>
    </w:rPr>
  </w:style>
  <w:style w:type="paragraph" w:customStyle="1" w:styleId="Tables">
    <w:name w:val="Tables"/>
    <w:basedOn w:val="Standard"/>
    <w:rsid w:val="00747AFB"/>
    <w:pPr>
      <w:suppressAutoHyphens/>
      <w:spacing w:after="160" w:line="259" w:lineRule="auto"/>
    </w:pPr>
    <w:rPr>
      <w:rFonts w:eastAsia="Times New Roman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1703-DCA5-4E83-AD61-EFB02C91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Hein</dc:creator>
  <cp:keywords/>
  <dc:description/>
  <cp:lastModifiedBy>Rebecca Roth</cp:lastModifiedBy>
  <cp:revision>2</cp:revision>
  <dcterms:created xsi:type="dcterms:W3CDTF">2019-10-24T09:45:00Z</dcterms:created>
  <dcterms:modified xsi:type="dcterms:W3CDTF">2019-10-24T09:45:00Z</dcterms:modified>
</cp:coreProperties>
</file>