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12" w:rsidRPr="00083A22" w:rsidRDefault="002C4012" w:rsidP="002C4012">
      <w:pPr>
        <w:pStyle w:val="Titel"/>
        <w:rPr>
          <w:i/>
          <w:sz w:val="20"/>
          <w:szCs w:val="20"/>
          <w:lang w:val="en-US"/>
        </w:rPr>
      </w:pPr>
      <w:r w:rsidRPr="00083A22">
        <w:rPr>
          <w:lang w:val="en-US"/>
        </w:rPr>
        <w:t xml:space="preserve">Determinants of self-reported functional status (EPIC-26) in prostate cancer patients prior to </w:t>
      </w:r>
      <w:r w:rsidRPr="0002112A">
        <w:rPr>
          <w:lang w:val="en-US"/>
        </w:rPr>
        <w:t>treatment</w:t>
      </w:r>
    </w:p>
    <w:p w:rsidR="002C4012" w:rsidRPr="00083A22" w:rsidRDefault="002C4012" w:rsidP="002C4012">
      <w:pPr>
        <w:pStyle w:val="Author"/>
        <w:rPr>
          <w:rFonts w:cstheme="minorHAnsi"/>
          <w:b/>
          <w:i w:val="0"/>
          <w:lang w:val="en-US"/>
        </w:rPr>
      </w:pPr>
    </w:p>
    <w:p w:rsidR="002C4012" w:rsidRPr="00083A22" w:rsidRDefault="002C4012" w:rsidP="002C4012">
      <w:pPr>
        <w:pStyle w:val="Author"/>
        <w:rPr>
          <w:rFonts w:cstheme="minorHAnsi"/>
          <w:b/>
          <w:i w:val="0"/>
          <w:lang w:val="en-US"/>
        </w:rPr>
      </w:pPr>
      <w:r w:rsidRPr="00083A22">
        <w:rPr>
          <w:rFonts w:cstheme="minorHAnsi"/>
          <w:b/>
          <w:i w:val="0"/>
          <w:lang w:val="en-US"/>
        </w:rPr>
        <w:t>Rebecca Hein</w:t>
      </w:r>
      <w:r w:rsidRPr="00083A22">
        <w:rPr>
          <w:rFonts w:cstheme="minorHAnsi"/>
          <w:i w:val="0"/>
          <w:vertAlign w:val="superscript"/>
          <w:lang w:val="en-US"/>
        </w:rPr>
        <w:t> 1,*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Sebastian Dieng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Alisa Oesterle</w:t>
      </w:r>
      <w:r w:rsidRPr="00083A22">
        <w:rPr>
          <w:rFonts w:cstheme="minorHAnsi"/>
          <w:i w:val="0"/>
          <w:vertAlign w:val="superscript"/>
          <w:lang w:val="en-US"/>
        </w:rPr>
        <w:t> 2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Gün</w:t>
      </w:r>
      <w:r w:rsidRPr="00576336">
        <w:rPr>
          <w:rFonts w:cstheme="minorHAnsi"/>
          <w:b/>
          <w:i w:val="0"/>
          <w:lang w:val="en-US"/>
        </w:rPr>
        <w:t>ter Feick</w:t>
      </w:r>
      <w:r w:rsidRPr="00576336">
        <w:rPr>
          <w:rFonts w:cstheme="minorHAnsi"/>
          <w:b/>
          <w:i w:val="0"/>
          <w:vertAlign w:val="superscript"/>
          <w:lang w:val="en-US"/>
        </w:rPr>
        <w:t> 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Günther Carl</w:t>
      </w:r>
      <w:r w:rsidRPr="00576336">
        <w:rPr>
          <w:rFonts w:cstheme="minorHAnsi"/>
          <w:b/>
          <w:i w:val="0"/>
          <w:vertAlign w:val="superscript"/>
          <w:lang w:val="en-US"/>
        </w:rPr>
        <w:t> 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Andreas Hinkel</w:t>
      </w:r>
      <w:r w:rsidRPr="00576336">
        <w:rPr>
          <w:rFonts w:cstheme="minorHAnsi"/>
          <w:b/>
          <w:i w:val="0"/>
          <w:vertAlign w:val="superscript"/>
          <w:lang w:val="en-US"/>
        </w:rPr>
        <w:t>5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Thomas Steiner</w:t>
      </w:r>
      <w:r w:rsidRPr="00576336">
        <w:rPr>
          <w:rFonts w:cstheme="minorHAnsi"/>
          <w:b/>
          <w:i w:val="0"/>
          <w:vertAlign w:val="superscript"/>
          <w:lang w:val="en-US"/>
        </w:rPr>
        <w:t>6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 xml:space="preserve">Björn </w:t>
      </w:r>
      <w:r>
        <w:rPr>
          <w:rFonts w:cstheme="minorHAnsi"/>
          <w:b/>
          <w:i w:val="0"/>
          <w:lang w:val="en-US"/>
        </w:rPr>
        <w:t xml:space="preserve">Theodor </w:t>
      </w:r>
      <w:r w:rsidRPr="00576336">
        <w:rPr>
          <w:rFonts w:cstheme="minorHAnsi"/>
          <w:b/>
          <w:i w:val="0"/>
          <w:lang w:val="en-US"/>
        </w:rPr>
        <w:t>Kaftan</w:t>
      </w:r>
      <w:r w:rsidRPr="00576336">
        <w:rPr>
          <w:rFonts w:cstheme="minorHAnsi"/>
          <w:b/>
          <w:i w:val="0"/>
          <w:vertAlign w:val="superscript"/>
          <w:lang w:val="en-US"/>
        </w:rPr>
        <w:t>7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Frank Kunath</w:t>
      </w:r>
      <w:r w:rsidRPr="00576336">
        <w:rPr>
          <w:rFonts w:cstheme="minorHAnsi"/>
          <w:b/>
          <w:i w:val="0"/>
          <w:vertAlign w:val="superscript"/>
          <w:lang w:val="en-US"/>
        </w:rPr>
        <w:t>8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Boris Hadaschik</w:t>
      </w:r>
      <w:r w:rsidRPr="00576336">
        <w:rPr>
          <w:rFonts w:cstheme="minorHAnsi"/>
          <w:b/>
          <w:i w:val="0"/>
          <w:vertAlign w:val="superscript"/>
          <w:lang w:val="en-US"/>
        </w:rPr>
        <w:t>9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Simba-Joshua Oostdam</w:t>
      </w:r>
      <w:r w:rsidRPr="00576336">
        <w:rPr>
          <w:rFonts w:cstheme="minorHAnsi"/>
          <w:b/>
          <w:i w:val="0"/>
          <w:vertAlign w:val="superscript"/>
          <w:lang w:val="en-US"/>
        </w:rPr>
        <w:t>10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Rein Jüri Palisaar</w:t>
      </w:r>
      <w:r w:rsidRPr="00576336">
        <w:rPr>
          <w:rFonts w:cstheme="minorHAnsi"/>
          <w:b/>
          <w:i w:val="0"/>
          <w:vertAlign w:val="superscript"/>
          <w:lang w:val="en-US"/>
        </w:rPr>
        <w:t>11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Mateusz Koralewski</w:t>
      </w:r>
      <w:r w:rsidRPr="00576336">
        <w:rPr>
          <w:rFonts w:cstheme="minorHAnsi"/>
          <w:b/>
          <w:i w:val="0"/>
          <w:vertAlign w:val="superscript"/>
          <w:lang w:val="en-US"/>
        </w:rPr>
        <w:t>12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Burkhard Beyer</w:t>
      </w:r>
      <w:r w:rsidRPr="00576336">
        <w:rPr>
          <w:rFonts w:cstheme="minorHAnsi"/>
          <w:b/>
          <w:i w:val="0"/>
          <w:vertAlign w:val="superscript"/>
          <w:lang w:val="en-US"/>
        </w:rPr>
        <w:t>13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Björn Haben</w:t>
      </w:r>
      <w:r w:rsidRPr="00576336">
        <w:rPr>
          <w:rFonts w:cstheme="minorHAnsi"/>
          <w:b/>
          <w:i w:val="0"/>
          <w:vertAlign w:val="superscript"/>
          <w:lang w:val="en-US"/>
        </w:rPr>
        <w:t>14</w:t>
      </w:r>
      <w:r w:rsidRPr="00576336">
        <w:rPr>
          <w:rFonts w:cstheme="minorHAnsi"/>
          <w:b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·</w:t>
      </w:r>
      <w:r w:rsidRPr="00576336">
        <w:rPr>
          <w:rFonts w:cstheme="minorHAnsi"/>
          <w:b/>
          <w:i w:val="0"/>
        </w:rPr>
        <w:t> </w:t>
      </w:r>
      <w:r w:rsidRPr="003819D6">
        <w:rPr>
          <w:lang w:val="en-US"/>
        </w:rPr>
        <w:t xml:space="preserve"> </w:t>
      </w:r>
      <w:r w:rsidRPr="003819D6">
        <w:rPr>
          <w:rFonts w:cstheme="minorHAnsi"/>
          <w:b/>
          <w:i w:val="0"/>
          <w:lang w:val="en-US"/>
        </w:rPr>
        <w:t xml:space="preserve">Tsaur, Igor 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576336">
        <w:rPr>
          <w:rFonts w:cstheme="minorHAnsi"/>
          <w:b/>
          <w:i w:val="0"/>
          <w:lang w:val="en-US"/>
        </w:rPr>
        <w:t>S</w:t>
      </w:r>
      <w:r w:rsidRPr="00083A22">
        <w:rPr>
          <w:rFonts w:cstheme="minorHAnsi"/>
          <w:b/>
          <w:i w:val="0"/>
          <w:lang w:val="en-US"/>
        </w:rPr>
        <w:t>imone Wesselmann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16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i w:val="0"/>
          <w:lang w:val="en-US"/>
        </w:rPr>
        <w:t>·</w:t>
      </w:r>
      <w:r w:rsidRPr="00B22228">
        <w:rPr>
          <w:rFonts w:cstheme="minorHAnsi"/>
          <w:i w:val="0"/>
        </w:rPr>
        <w:t> </w:t>
      </w:r>
      <w:r w:rsidRPr="00083A22">
        <w:rPr>
          <w:rFonts w:cstheme="minorHAnsi"/>
          <w:b/>
          <w:i w:val="0"/>
          <w:lang w:val="en-US"/>
        </w:rPr>
        <w:t>Christoph Kowalski</w:t>
      </w:r>
      <w:r w:rsidRPr="00083A22">
        <w:rPr>
          <w:rFonts w:cstheme="minorHAnsi"/>
          <w:i w:val="0"/>
          <w:vertAlign w:val="superscript"/>
          <w:lang w:val="en-US"/>
        </w:rPr>
        <w:t> </w:t>
      </w:r>
      <w:r>
        <w:rPr>
          <w:rFonts w:cstheme="minorHAnsi"/>
          <w:i w:val="0"/>
          <w:vertAlign w:val="superscript"/>
          <w:lang w:val="en-US"/>
        </w:rPr>
        <w:t>1</w:t>
      </w:r>
      <w:r w:rsidRPr="00083A22">
        <w:rPr>
          <w:rFonts w:cstheme="minorHAnsi"/>
          <w:i w:val="0"/>
          <w:vertAlign w:val="superscript"/>
          <w:lang w:val="en-US"/>
        </w:rPr>
        <w:t>5</w:t>
      </w:r>
    </w:p>
    <w:p w:rsidR="002C4012" w:rsidRPr="00083A22" w:rsidRDefault="002C4012" w:rsidP="002C4012">
      <w:pPr>
        <w:pStyle w:val="Author"/>
        <w:spacing w:line="360" w:lineRule="auto"/>
        <w:rPr>
          <w:rFonts w:cstheme="minorHAnsi"/>
          <w:i w:val="0"/>
          <w:sz w:val="20"/>
          <w:szCs w:val="20"/>
          <w:lang w:val="en-US"/>
        </w:rPr>
      </w:pPr>
    </w:p>
    <w:p w:rsidR="002C4012" w:rsidRPr="003819D6" w:rsidRDefault="002C4012" w:rsidP="002C4012">
      <w:pPr>
        <w:pStyle w:val="Author"/>
        <w:spacing w:line="360" w:lineRule="auto"/>
        <w:rPr>
          <w:rFonts w:cstheme="minorHAnsi"/>
          <w:i w:val="0"/>
          <w:sz w:val="20"/>
          <w:szCs w:val="20"/>
          <w:vertAlign w:val="superscript"/>
        </w:rPr>
      </w:pPr>
      <w:r w:rsidRPr="00C36079">
        <w:rPr>
          <w:rFonts w:cstheme="minorHAnsi"/>
          <w:i w:val="0"/>
          <w:sz w:val="20"/>
          <w:szCs w:val="20"/>
          <w:vertAlign w:val="superscript"/>
        </w:rPr>
        <w:t>1</w:t>
      </w:r>
      <w:r w:rsidRPr="00C36079">
        <w:rPr>
          <w:rFonts w:cstheme="minorHAnsi"/>
          <w:i w:val="0"/>
          <w:sz w:val="20"/>
          <w:szCs w:val="20"/>
        </w:rPr>
        <w:t xml:space="preserve"> Institute of Medical Statistics and Computational Biology, Medical Faculty, University of Cologne,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2 </w:t>
      </w:r>
      <w:r w:rsidRPr="00C36079">
        <w:rPr>
          <w:rFonts w:cstheme="minorHAnsi"/>
          <w:i w:val="0"/>
          <w:sz w:val="20"/>
          <w:szCs w:val="20"/>
        </w:rPr>
        <w:t xml:space="preserve">OnkoZert, Neu-Ulm,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3</w:t>
      </w:r>
      <w:r w:rsidRPr="00C36079">
        <w:rPr>
          <w:rFonts w:cstheme="minorHAnsi"/>
          <w:i w:val="0"/>
          <w:sz w:val="20"/>
          <w:szCs w:val="20"/>
        </w:rPr>
        <w:t xml:space="preserve"> Federal Association of German Prostate Cancer Patient Support Groups, Bonn, Germany; </w:t>
      </w:r>
      <w:r w:rsidRPr="00C36079">
        <w:rPr>
          <w:rFonts w:cstheme="minorHAnsi"/>
          <w:i w:val="0"/>
          <w:sz w:val="20"/>
          <w:szCs w:val="20"/>
          <w:vertAlign w:val="superscript"/>
        </w:rPr>
        <w:t>4</w:t>
      </w:r>
      <w:r w:rsidRPr="00C36079">
        <w:rPr>
          <w:rFonts w:cstheme="minorHAnsi"/>
          <w:i w:val="0"/>
          <w:sz w:val="20"/>
          <w:szCs w:val="20"/>
        </w:rPr>
        <w:t> Help for Prostate Cancer Patients (</w:t>
      </w:r>
      <w:r w:rsidRPr="00C36079">
        <w:rPr>
          <w:rFonts w:cstheme="minorHAnsi"/>
          <w:sz w:val="20"/>
          <w:szCs w:val="20"/>
        </w:rPr>
        <w:t>Förderverein Hilfe bei Prostatakrebs e.V., FHbP</w:t>
      </w:r>
      <w:r w:rsidRPr="00C36079">
        <w:rPr>
          <w:rFonts w:cstheme="minorHAnsi"/>
          <w:i w:val="0"/>
          <w:sz w:val="20"/>
          <w:szCs w:val="20"/>
        </w:rPr>
        <w:t xml:space="preserve">), Tornesch, </w:t>
      </w:r>
      <w:r w:rsidRPr="003819D6">
        <w:rPr>
          <w:rFonts w:cstheme="minorHAnsi"/>
          <w:i w:val="0"/>
          <w:sz w:val="20"/>
          <w:szCs w:val="20"/>
        </w:rPr>
        <w:t xml:space="preserve">Germany; </w:t>
      </w:r>
      <w:r w:rsidRPr="003819D6">
        <w:rPr>
          <w:rFonts w:cstheme="minorHAnsi"/>
          <w:i w:val="0"/>
          <w:vertAlign w:val="superscript"/>
        </w:rPr>
        <w:t>5</w:t>
      </w:r>
      <w:r w:rsidRPr="003819D6">
        <w:rPr>
          <w:rFonts w:cstheme="minorHAnsi"/>
          <w:i w:val="0"/>
          <w:sz w:val="20"/>
          <w:szCs w:val="20"/>
        </w:rPr>
        <w:t xml:space="preserve"> Franziskus Hospital, Bielefeld; </w:t>
      </w:r>
      <w:r w:rsidRPr="003819D6">
        <w:rPr>
          <w:rFonts w:cstheme="minorHAnsi"/>
          <w:i w:val="0"/>
          <w:sz w:val="20"/>
          <w:szCs w:val="20"/>
          <w:vertAlign w:val="superscript"/>
        </w:rPr>
        <w:t>6</w:t>
      </w:r>
      <w:r w:rsidRPr="003819D6">
        <w:rPr>
          <w:rFonts w:cstheme="minorHAnsi"/>
          <w:i w:val="0"/>
          <w:sz w:val="20"/>
          <w:szCs w:val="20"/>
        </w:rPr>
        <w:t xml:space="preserve"> Helios Klinikum Erfurt; </w:t>
      </w:r>
      <w:r w:rsidRPr="003819D6">
        <w:rPr>
          <w:rFonts w:cstheme="minorHAnsi"/>
          <w:i w:val="0"/>
          <w:sz w:val="20"/>
          <w:szCs w:val="20"/>
          <w:vertAlign w:val="superscript"/>
        </w:rPr>
        <w:t>7</w:t>
      </w:r>
      <w:r w:rsidRPr="003819D6">
        <w:rPr>
          <w:rFonts w:cstheme="minorHAnsi"/>
          <w:i w:val="0"/>
          <w:sz w:val="20"/>
          <w:szCs w:val="20"/>
        </w:rPr>
        <w:t xml:space="preserve"> Städtisches Klinikum Lüneburg;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8</w:t>
      </w:r>
      <w:r w:rsidRPr="003819D6">
        <w:rPr>
          <w:rFonts w:cstheme="minorHAnsi"/>
          <w:i w:val="0"/>
          <w:sz w:val="20"/>
          <w:szCs w:val="20"/>
        </w:rPr>
        <w:t xml:space="preserve"> Department of Urology and Pediatric Urology, University Hospital Erlangen, FAU Erlangen-Nürnberg;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9</w:t>
      </w:r>
      <w:r w:rsidRPr="003819D6">
        <w:rPr>
          <w:rFonts w:cstheme="minorHAnsi"/>
          <w:i w:val="0"/>
          <w:sz w:val="20"/>
          <w:szCs w:val="20"/>
        </w:rPr>
        <w:t xml:space="preserve"> Klinik und Poliklinik für Urologie,Kinderurologie und Uroonkologie, Universitätsklinikum Essen (AöR); </w:t>
      </w:r>
      <w:r w:rsidRPr="003819D6">
        <w:rPr>
          <w:rFonts w:cstheme="minorHAnsi"/>
          <w:i w:val="0"/>
          <w:sz w:val="20"/>
          <w:szCs w:val="20"/>
          <w:vertAlign w:val="superscript"/>
        </w:rPr>
        <w:t>10</w:t>
      </w:r>
      <w:r w:rsidRPr="003819D6">
        <w:rPr>
          <w:rFonts w:cstheme="minorHAnsi"/>
          <w:i w:val="0"/>
          <w:sz w:val="20"/>
          <w:szCs w:val="20"/>
        </w:rPr>
        <w:t xml:space="preserve"> Vinzenz-Krankenhaus Hannover;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11</w:t>
      </w:r>
      <w:r w:rsidRPr="003819D6">
        <w:rPr>
          <w:rFonts w:cstheme="minorHAnsi"/>
          <w:i w:val="0"/>
          <w:sz w:val="20"/>
          <w:szCs w:val="20"/>
        </w:rPr>
        <w:t xml:space="preserve"> Urologische Klinik, Marien Hospital Herne; </w:t>
      </w:r>
      <w:r w:rsidRPr="003819D6">
        <w:rPr>
          <w:rFonts w:cstheme="minorHAnsi"/>
          <w:i w:val="0"/>
          <w:sz w:val="20"/>
          <w:szCs w:val="20"/>
          <w:vertAlign w:val="superscript"/>
        </w:rPr>
        <w:t>12</w:t>
      </w:r>
      <w:r w:rsidRPr="003819D6">
        <w:rPr>
          <w:rFonts w:cstheme="minorHAnsi"/>
          <w:i w:val="0"/>
          <w:sz w:val="20"/>
          <w:szCs w:val="20"/>
        </w:rPr>
        <w:t> Urologie, Krankenhaus der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</w:rPr>
        <w:t xml:space="preserve">Barmherzigen Brüder Trier; </w:t>
      </w:r>
      <w:r w:rsidRPr="003819D6">
        <w:rPr>
          <w:rFonts w:cstheme="minorHAnsi"/>
          <w:i w:val="0"/>
          <w:sz w:val="20"/>
          <w:szCs w:val="20"/>
          <w:vertAlign w:val="superscript"/>
        </w:rPr>
        <w:t>13</w:t>
      </w:r>
      <w:r w:rsidRPr="003819D6">
        <w:rPr>
          <w:rFonts w:cstheme="minorHAnsi"/>
          <w:i w:val="0"/>
          <w:sz w:val="20"/>
          <w:szCs w:val="20"/>
        </w:rPr>
        <w:t xml:space="preserve"> Martini-Klinik Prostate Cancer Center Hamburg; </w:t>
      </w:r>
      <w:r w:rsidRPr="003819D6">
        <w:rPr>
          <w:rFonts w:cstheme="minorHAnsi"/>
          <w:i w:val="0"/>
          <w:sz w:val="20"/>
          <w:szCs w:val="20"/>
          <w:vertAlign w:val="superscript"/>
        </w:rPr>
        <w:t>14</w:t>
      </w:r>
      <w:r w:rsidRPr="003819D6">
        <w:rPr>
          <w:rFonts w:cstheme="minorHAnsi"/>
          <w:i w:val="0"/>
          <w:sz w:val="20"/>
          <w:szCs w:val="20"/>
        </w:rPr>
        <w:t xml:space="preserve"> St. Marien Hospital Ahaus; </w:t>
      </w:r>
      <w:r w:rsidRPr="003819D6">
        <w:rPr>
          <w:rFonts w:cstheme="minorHAnsi"/>
          <w:i w:val="0"/>
          <w:sz w:val="20"/>
          <w:szCs w:val="20"/>
          <w:vertAlign w:val="superscript"/>
        </w:rPr>
        <w:t xml:space="preserve">15 </w:t>
      </w:r>
      <w:r w:rsidRPr="003819D6">
        <w:rPr>
          <w:rFonts w:cstheme="minorHAnsi"/>
          <w:i w:val="0"/>
          <w:sz w:val="20"/>
          <w:szCs w:val="20"/>
        </w:rPr>
        <w:t>Klinik und Poliklinik für Urologie und Kinderurologie, Universitätsmedizin der Johannes Gutenberg-Universität Mainz;</w:t>
      </w:r>
      <w:r>
        <w:rPr>
          <w:rFonts w:cstheme="minorHAnsi"/>
          <w:i w:val="0"/>
          <w:sz w:val="20"/>
          <w:szCs w:val="20"/>
          <w:vertAlign w:val="superscript"/>
        </w:rPr>
        <w:t xml:space="preserve"> </w:t>
      </w:r>
      <w:r w:rsidRPr="003819D6">
        <w:rPr>
          <w:rFonts w:cstheme="minorHAnsi"/>
          <w:i w:val="0"/>
          <w:sz w:val="20"/>
          <w:szCs w:val="20"/>
          <w:vertAlign w:val="superscript"/>
        </w:rPr>
        <w:t>16</w:t>
      </w:r>
      <w:r w:rsidRPr="003819D6">
        <w:rPr>
          <w:rFonts w:cstheme="minorHAnsi"/>
          <w:i w:val="0"/>
          <w:sz w:val="20"/>
          <w:szCs w:val="20"/>
        </w:rPr>
        <w:t> German Cancer Society, Berlin, Germany</w:t>
      </w:r>
    </w:p>
    <w:p w:rsidR="002C4012" w:rsidRDefault="002C4012">
      <w:r>
        <w:br w:type="page"/>
      </w:r>
    </w:p>
    <w:p w:rsidR="002C4012" w:rsidRPr="002C4012" w:rsidRDefault="002C4012" w:rsidP="002C4012">
      <w:pPr>
        <w:pStyle w:val="Beschriftung"/>
        <w:keepNext/>
        <w:rPr>
          <w:lang w:val="en-US"/>
        </w:rPr>
      </w:pPr>
      <w:r w:rsidRPr="00EF2A6E">
        <w:rPr>
          <w:lang w:val="en-US"/>
        </w:rPr>
        <w:lastRenderedPageBreak/>
        <w:t xml:space="preserve">Online Resource </w:t>
      </w:r>
      <w:r>
        <w:rPr>
          <w:lang w:val="en-US"/>
        </w:rPr>
        <w:t>4</w:t>
      </w:r>
      <w:r w:rsidRPr="000E3597">
        <w:rPr>
          <w:lang w:val="en-US"/>
        </w:rPr>
        <w:t xml:space="preserve">: </w:t>
      </w:r>
      <w:r>
        <w:rPr>
          <w:lang w:val="en-US"/>
        </w:rPr>
        <w:t xml:space="preserve">Intraclass correlation coefficients for </w:t>
      </w:r>
      <w:r>
        <w:rPr>
          <w:lang w:val="en-US"/>
        </w:rPr>
        <w:t xml:space="preserve">linear </w:t>
      </w:r>
      <w:r w:rsidRPr="00086D5E">
        <w:rPr>
          <w:lang w:val="en-US"/>
        </w:rPr>
        <w:t xml:space="preserve">multilevel </w:t>
      </w:r>
      <w:r w:rsidR="002E12A3">
        <w:rPr>
          <w:lang w:val="en-US"/>
        </w:rPr>
        <w:t>models 1 to 3 and the null model</w:t>
      </w:r>
    </w:p>
    <w:tbl>
      <w:tblPr>
        <w:tblStyle w:val="Tabellenraster"/>
        <w:tblW w:w="12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1920"/>
        <w:gridCol w:w="231"/>
        <w:gridCol w:w="758"/>
        <w:gridCol w:w="1870"/>
        <w:gridCol w:w="2230"/>
        <w:gridCol w:w="1961"/>
        <w:gridCol w:w="1978"/>
      </w:tblGrid>
      <w:tr w:rsidR="002C4012" w:rsidRPr="00D06188" w:rsidTr="0060719D">
        <w:trPr>
          <w:tblHeader/>
        </w:trPr>
        <w:tc>
          <w:tcPr>
            <w:tcW w:w="1908" w:type="dxa"/>
            <w:tcBorders>
              <w:top w:val="single" w:sz="8" w:space="0" w:color="auto"/>
            </w:tcBorders>
            <w:tcMar>
              <w:left w:w="115" w:type="dxa"/>
              <w:right w:w="115" w:type="dxa"/>
            </w:tcMar>
          </w:tcPr>
          <w:p w:rsidR="002C4012" w:rsidRPr="002C4012" w:rsidRDefault="002C4012" w:rsidP="0060719D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E12A3" w:rsidP="002E12A3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Urinary incontinence</w:t>
            </w:r>
          </w:p>
        </w:tc>
        <w:tc>
          <w:tcPr>
            <w:tcW w:w="2628" w:type="dxa"/>
            <w:gridSpan w:val="2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C4012" w:rsidP="0046632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Urinary irritative/obstructive</w:t>
            </w:r>
          </w:p>
        </w:tc>
        <w:tc>
          <w:tcPr>
            <w:tcW w:w="2230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C4012" w:rsidP="0046632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Bowel</w:t>
            </w:r>
          </w:p>
        </w:tc>
        <w:tc>
          <w:tcPr>
            <w:tcW w:w="1961" w:type="dxa"/>
            <w:tcBorders>
              <w:top w:val="single" w:sz="8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C4012" w:rsidP="0046632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Sexual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4" w:space="0" w:color="auto"/>
            </w:tcBorders>
          </w:tcPr>
          <w:p w:rsidR="002C4012" w:rsidRPr="00D06188" w:rsidRDefault="002C4012" w:rsidP="0046632A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Hormonal</w:t>
            </w:r>
            <w:bookmarkStart w:id="0" w:name="_GoBack"/>
            <w:bookmarkEnd w:id="0"/>
          </w:p>
        </w:tc>
      </w:tr>
      <w:tr w:rsidR="002C4012" w:rsidRPr="00D06188" w:rsidTr="0060719D">
        <w:trPr>
          <w:tblHeader/>
        </w:trPr>
        <w:tc>
          <w:tcPr>
            <w:tcW w:w="1908" w:type="dxa"/>
            <w:tcBorders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tabs>
                <w:tab w:val="left" w:pos="216"/>
              </w:tabs>
              <w:spacing w:before="240" w:line="360" w:lineRule="auto"/>
              <w:ind w:left="216" w:hanging="216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E12A3" w:rsidP="0060719D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ICC</w:t>
            </w: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; p-value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E12A3" w:rsidP="0060719D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ICC</w:t>
            </w:r>
            <w:r w:rsidR="002C4012" w:rsidRPr="00D06188">
              <w:rPr>
                <w:rFonts w:asciiTheme="minorHAnsi" w:hAnsiTheme="minorHAnsi"/>
                <w:sz w:val="19"/>
                <w:szCs w:val="19"/>
                <w:lang w:val="en-US"/>
              </w:rPr>
              <w:t>; p-value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E12A3" w:rsidP="0060719D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ICC</w:t>
            </w:r>
            <w:r w:rsidR="002C4012" w:rsidRPr="00D06188">
              <w:rPr>
                <w:rFonts w:asciiTheme="minorHAnsi" w:hAnsiTheme="minorHAnsi"/>
                <w:sz w:val="19"/>
                <w:szCs w:val="19"/>
                <w:lang w:val="en-US"/>
              </w:rPr>
              <w:t>; p-value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12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E12A3" w:rsidP="0060719D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ICC</w:t>
            </w:r>
            <w:r w:rsidR="002C4012" w:rsidRPr="00D06188">
              <w:rPr>
                <w:rFonts w:asciiTheme="minorHAnsi" w:hAnsiTheme="minorHAnsi"/>
                <w:sz w:val="19"/>
                <w:szCs w:val="19"/>
                <w:lang w:val="en-US"/>
              </w:rPr>
              <w:t>; p-value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</w:tcPr>
          <w:p w:rsidR="002C4012" w:rsidRPr="00D06188" w:rsidRDefault="002E12A3" w:rsidP="0060719D">
            <w:pPr>
              <w:pStyle w:val="Tables"/>
              <w:spacing w:before="240" w:line="360" w:lineRule="auto"/>
              <w:jc w:val="center"/>
              <w:rPr>
                <w:rFonts w:asciiTheme="minorHAnsi" w:hAnsiTheme="minorHAnsi"/>
                <w:i/>
                <w:sz w:val="19"/>
                <w:szCs w:val="19"/>
                <w:lang w:val="en-US"/>
              </w:rPr>
            </w:pPr>
            <w:r>
              <w:rPr>
                <w:rFonts w:asciiTheme="minorHAnsi" w:hAnsiTheme="minorHAnsi"/>
                <w:sz w:val="19"/>
                <w:szCs w:val="19"/>
                <w:lang w:val="en-US"/>
              </w:rPr>
              <w:t>ICC</w:t>
            </w:r>
            <w:r w:rsidR="002C4012" w:rsidRPr="00D06188">
              <w:rPr>
                <w:rFonts w:asciiTheme="minorHAnsi" w:hAnsiTheme="minorHAnsi"/>
                <w:sz w:val="19"/>
                <w:szCs w:val="19"/>
                <w:lang w:val="en-US"/>
              </w:rPr>
              <w:t>; p-value</w:t>
            </w:r>
          </w:p>
        </w:tc>
      </w:tr>
      <w:tr w:rsidR="002C4012" w:rsidRPr="00D06188" w:rsidTr="0060719D">
        <w:trPr>
          <w:gridAfter w:val="4"/>
          <w:wAfter w:w="8039" w:type="dxa"/>
        </w:trPr>
        <w:tc>
          <w:tcPr>
            <w:tcW w:w="3828" w:type="dxa"/>
            <w:gridSpan w:val="2"/>
          </w:tcPr>
          <w:p w:rsidR="002C4012" w:rsidRPr="00D06188" w:rsidRDefault="002C4012" w:rsidP="0060719D">
            <w:pPr>
              <w:pStyle w:val="Tables"/>
              <w:spacing w:line="360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2C4012" w:rsidRPr="00D06188" w:rsidRDefault="002C4012" w:rsidP="0060719D">
            <w:pPr>
              <w:pStyle w:val="Tables"/>
              <w:spacing w:line="360" w:lineRule="auto"/>
              <w:rPr>
                <w:rFonts w:asciiTheme="minorHAnsi" w:hAnsiTheme="minorHAnsi"/>
                <w:sz w:val="19"/>
                <w:szCs w:val="19"/>
                <w:lang w:val="en-US"/>
              </w:rPr>
            </w:pPr>
          </w:p>
        </w:tc>
      </w:tr>
      <w:tr w:rsidR="002C4012" w:rsidRPr="00D06188" w:rsidTr="0060719D">
        <w:tc>
          <w:tcPr>
            <w:tcW w:w="1908" w:type="dxa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ab/>
              <w:t>Null model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0.014;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0.059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0.008;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0.154</w:t>
            </w:r>
          </w:p>
        </w:tc>
        <w:tc>
          <w:tcPr>
            <w:tcW w:w="2230" w:type="dxa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&lt;0.001;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0.581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0.024;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0.015</w:t>
            </w:r>
          </w:p>
        </w:tc>
        <w:tc>
          <w:tcPr>
            <w:tcW w:w="1978" w:type="dxa"/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0.008;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0.134</w:t>
            </w:r>
          </w:p>
        </w:tc>
      </w:tr>
      <w:tr w:rsidR="002C4012" w:rsidRPr="00D06188" w:rsidTr="0060719D">
        <w:tc>
          <w:tcPr>
            <w:tcW w:w="1908" w:type="dxa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ab/>
              <w:t>Model 1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0.007;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0.180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0.007;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0.185</w:t>
            </w:r>
          </w:p>
        </w:tc>
        <w:tc>
          <w:tcPr>
            <w:tcW w:w="2230" w:type="dxa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&lt;0.001;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0.773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0.007;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0.163</w:t>
            </w:r>
          </w:p>
        </w:tc>
        <w:tc>
          <w:tcPr>
            <w:tcW w:w="1978" w:type="dxa"/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0.007;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0.187</w:t>
            </w:r>
          </w:p>
        </w:tc>
      </w:tr>
      <w:tr w:rsidR="002C4012" w:rsidRPr="00D06188" w:rsidTr="0060719D">
        <w:tc>
          <w:tcPr>
            <w:tcW w:w="1908" w:type="dxa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ab/>
              <w:t>Model 2</w:t>
            </w:r>
          </w:p>
        </w:tc>
        <w:tc>
          <w:tcPr>
            <w:tcW w:w="2151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0.003;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0.336</w:t>
            </w:r>
          </w:p>
        </w:tc>
        <w:tc>
          <w:tcPr>
            <w:tcW w:w="2628" w:type="dxa"/>
            <w:gridSpan w:val="2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0.007;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0.198</w:t>
            </w:r>
          </w:p>
        </w:tc>
        <w:tc>
          <w:tcPr>
            <w:tcW w:w="2230" w:type="dxa"/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&lt;0.001;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0.964</w:t>
            </w:r>
          </w:p>
        </w:tc>
        <w:tc>
          <w:tcPr>
            <w:tcW w:w="1961" w:type="dxa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0.002;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0.412</w:t>
            </w:r>
          </w:p>
        </w:tc>
        <w:tc>
          <w:tcPr>
            <w:tcW w:w="1978" w:type="dxa"/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0.001;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0.531</w:t>
            </w:r>
          </w:p>
        </w:tc>
      </w:tr>
      <w:tr w:rsidR="002C4012" w:rsidRPr="00D06188" w:rsidTr="0060719D">
        <w:tc>
          <w:tcPr>
            <w:tcW w:w="1908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tabs>
                <w:tab w:val="left" w:pos="216"/>
              </w:tabs>
              <w:spacing w:line="360" w:lineRule="auto"/>
              <w:ind w:left="216" w:hanging="216"/>
              <w:rPr>
                <w:rFonts w:asciiTheme="minorHAnsi" w:hAnsiTheme="minorHAns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ab/>
              <w:t>Model 3</w:t>
            </w:r>
          </w:p>
        </w:tc>
        <w:tc>
          <w:tcPr>
            <w:tcW w:w="2151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0.005;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0.290</w:t>
            </w:r>
          </w:p>
        </w:tc>
        <w:tc>
          <w:tcPr>
            <w:tcW w:w="2628" w:type="dxa"/>
            <w:gridSpan w:val="2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0.009;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 w:cstheme="minorBidi"/>
                <w:sz w:val="19"/>
                <w:szCs w:val="19"/>
                <w:lang w:val="en-US"/>
              </w:rPr>
              <w:t>0.180</w:t>
            </w:r>
          </w:p>
        </w:tc>
        <w:tc>
          <w:tcPr>
            <w:tcW w:w="2230" w:type="dxa"/>
            <w:tcBorders>
              <w:bottom w:val="single" w:sz="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&lt;0.001;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0.586</w:t>
            </w:r>
          </w:p>
        </w:tc>
        <w:tc>
          <w:tcPr>
            <w:tcW w:w="1961" w:type="dxa"/>
            <w:tcBorders>
              <w:bottom w:val="single" w:sz="8" w:space="0" w:color="auto"/>
            </w:tcBorders>
            <w:tcMar>
              <w:left w:w="115" w:type="dxa"/>
              <w:right w:w="115" w:type="dxa"/>
            </w:tcMar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0.004;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0.357</w:t>
            </w:r>
          </w:p>
        </w:tc>
        <w:tc>
          <w:tcPr>
            <w:tcW w:w="1978" w:type="dxa"/>
            <w:tcBorders>
              <w:bottom w:val="single" w:sz="8" w:space="0" w:color="auto"/>
            </w:tcBorders>
          </w:tcPr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&lt;0.001;</w:t>
            </w:r>
          </w:p>
          <w:p w:rsidR="002C4012" w:rsidRPr="00D06188" w:rsidRDefault="002C4012" w:rsidP="0060719D">
            <w:pPr>
              <w:pStyle w:val="Tables"/>
              <w:jc w:val="center"/>
              <w:rPr>
                <w:rFonts w:asciiTheme="minorHAnsi" w:hAnsiTheme="minorHAnsi" w:cstheme="minorBidi"/>
                <w:sz w:val="19"/>
                <w:szCs w:val="19"/>
                <w:lang w:val="en-US"/>
              </w:rPr>
            </w:pPr>
            <w:r w:rsidRPr="00D06188">
              <w:rPr>
                <w:rFonts w:asciiTheme="minorHAnsi" w:hAnsiTheme="minorHAnsi"/>
                <w:sz w:val="19"/>
                <w:szCs w:val="19"/>
                <w:lang w:val="en-US"/>
              </w:rPr>
              <w:t>0.913</w:t>
            </w:r>
          </w:p>
        </w:tc>
      </w:tr>
    </w:tbl>
    <w:p w:rsidR="00357EFE" w:rsidRDefault="00357EFE"/>
    <w:sectPr w:rsidR="00357EFE" w:rsidSect="002C40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12"/>
    <w:rsid w:val="002C4012"/>
    <w:rsid w:val="002E12A3"/>
    <w:rsid w:val="00357EFE"/>
    <w:rsid w:val="0046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EC4F"/>
  <w15:chartTrackingRefBased/>
  <w15:docId w15:val="{FACF2372-E5C3-4435-8ED9-452243A8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0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40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C4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40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4012"/>
    <w:rPr>
      <w:sz w:val="20"/>
      <w:szCs w:val="20"/>
    </w:rPr>
  </w:style>
  <w:style w:type="paragraph" w:customStyle="1" w:styleId="Tables">
    <w:name w:val="Tables"/>
    <w:basedOn w:val="Standard"/>
    <w:rsid w:val="002C4012"/>
    <w:pPr>
      <w:suppressAutoHyphens/>
    </w:pPr>
    <w:rPr>
      <w:rFonts w:ascii="Calibri" w:eastAsia="Times New Roman" w:hAnsi="Calibri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012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2C4012"/>
    <w:pPr>
      <w:spacing w:before="360" w:after="120"/>
    </w:pPr>
    <w:rPr>
      <w:rFonts w:ascii="Calibri" w:eastAsia="MS Mincho" w:hAnsi="Calibri" w:cs="Arial"/>
      <w:b/>
      <w:sz w:val="28"/>
    </w:rPr>
  </w:style>
  <w:style w:type="character" w:customStyle="1" w:styleId="TitelZchn">
    <w:name w:val="Titel Zchn"/>
    <w:basedOn w:val="Absatz-Standardschriftart"/>
    <w:link w:val="Titel"/>
    <w:rsid w:val="002C4012"/>
    <w:rPr>
      <w:rFonts w:ascii="Calibri" w:eastAsia="MS Mincho" w:hAnsi="Calibri" w:cs="Arial"/>
      <w:b/>
      <w:sz w:val="28"/>
    </w:rPr>
  </w:style>
  <w:style w:type="paragraph" w:customStyle="1" w:styleId="Author">
    <w:name w:val="Author"/>
    <w:basedOn w:val="Standard"/>
    <w:qFormat/>
    <w:rsid w:val="002C4012"/>
    <w:rPr>
      <w:i/>
    </w:rPr>
  </w:style>
  <w:style w:type="paragraph" w:styleId="Beschriftung">
    <w:name w:val="caption"/>
    <w:basedOn w:val="Standard"/>
    <w:next w:val="Standard"/>
    <w:uiPriority w:val="35"/>
    <w:unhideWhenUsed/>
    <w:qFormat/>
    <w:rsid w:val="002C4012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zu Koeln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Roth</dc:creator>
  <cp:keywords/>
  <dc:description/>
  <cp:lastModifiedBy>Rebecca Roth</cp:lastModifiedBy>
  <cp:revision>1</cp:revision>
  <dcterms:created xsi:type="dcterms:W3CDTF">2019-12-09T11:18:00Z</dcterms:created>
  <dcterms:modified xsi:type="dcterms:W3CDTF">2019-12-09T12:38:00Z</dcterms:modified>
</cp:coreProperties>
</file>