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70F5D" w14:textId="55544EBE" w:rsidR="00E82888" w:rsidRPr="00083A22" w:rsidRDefault="00E82888" w:rsidP="00E82888">
      <w:pPr>
        <w:pStyle w:val="Titel"/>
        <w:rPr>
          <w:i/>
          <w:sz w:val="20"/>
          <w:szCs w:val="20"/>
          <w:lang w:val="en-US"/>
        </w:rPr>
      </w:pPr>
      <w:r w:rsidRPr="00083A22">
        <w:rPr>
          <w:lang w:val="en-US"/>
        </w:rPr>
        <w:t xml:space="preserve">Determinants of self-reported functional status (EPIC-26) in prostate cancer patients prior </w:t>
      </w:r>
      <w:r w:rsidRPr="004E5F6B">
        <w:rPr>
          <w:lang w:val="en-US"/>
        </w:rPr>
        <w:t>to</w:t>
      </w:r>
      <w:r w:rsidRPr="006432BF">
        <w:rPr>
          <w:lang w:val="en-US"/>
        </w:rPr>
        <w:t xml:space="preserve"> treatment</w:t>
      </w:r>
    </w:p>
    <w:p w14:paraId="7D150B78" w14:textId="77777777" w:rsidR="00E82888" w:rsidRPr="00083A22" w:rsidRDefault="00E82888" w:rsidP="00E82888">
      <w:pPr>
        <w:pStyle w:val="Author"/>
        <w:rPr>
          <w:rFonts w:cstheme="minorHAnsi"/>
          <w:b/>
          <w:i w:val="0"/>
          <w:lang w:val="en-US"/>
        </w:rPr>
      </w:pPr>
    </w:p>
    <w:p w14:paraId="2B65ECA3" w14:textId="77777777" w:rsidR="00E82888" w:rsidRPr="00083A22" w:rsidRDefault="00E82888" w:rsidP="00E82888">
      <w:pPr>
        <w:pStyle w:val="Author"/>
        <w:rPr>
          <w:rFonts w:cstheme="minorHAnsi"/>
          <w:b/>
          <w:i w:val="0"/>
          <w:lang w:val="en-US"/>
        </w:rPr>
      </w:pPr>
      <w:r w:rsidRPr="00083A22">
        <w:rPr>
          <w:rFonts w:cstheme="minorHAnsi"/>
          <w:b/>
          <w:i w:val="0"/>
          <w:lang w:val="en-US"/>
        </w:rPr>
        <w:t>Rebecca Hein</w:t>
      </w:r>
      <w:r w:rsidRPr="00083A22">
        <w:rPr>
          <w:rFonts w:cstheme="minorHAnsi"/>
          <w:i w:val="0"/>
          <w:vertAlign w:val="superscript"/>
          <w:lang w:val="en-US"/>
        </w:rPr>
        <w:t> 1,*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Sebastian Dieng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Alisa Oesterle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Gün</w:t>
      </w:r>
      <w:r w:rsidRPr="00576336">
        <w:rPr>
          <w:rFonts w:cstheme="minorHAnsi"/>
          <w:b/>
          <w:i w:val="0"/>
          <w:lang w:val="en-US"/>
        </w:rPr>
        <w:t>ter Feick</w:t>
      </w:r>
      <w:r w:rsidRPr="00576336">
        <w:rPr>
          <w:rFonts w:cstheme="minorHAnsi"/>
          <w:b/>
          <w:i w:val="0"/>
          <w:vertAlign w:val="superscript"/>
          <w:lang w:val="en-US"/>
        </w:rPr>
        <w:t> 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Günther Carl</w:t>
      </w:r>
      <w:r w:rsidRPr="00576336">
        <w:rPr>
          <w:rFonts w:cstheme="minorHAnsi"/>
          <w:b/>
          <w:i w:val="0"/>
          <w:vertAlign w:val="superscript"/>
          <w:lang w:val="en-US"/>
        </w:rPr>
        <w:t> 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Andreas Hinkel</w:t>
      </w:r>
      <w:r w:rsidRPr="00576336">
        <w:rPr>
          <w:rFonts w:cstheme="minorHAnsi"/>
          <w:b/>
          <w:i w:val="0"/>
          <w:vertAlign w:val="superscript"/>
          <w:lang w:val="en-US"/>
        </w:rPr>
        <w:t>5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Thomas Steiner</w:t>
      </w:r>
      <w:r w:rsidRPr="00576336">
        <w:rPr>
          <w:rFonts w:cstheme="minorHAnsi"/>
          <w:b/>
          <w:i w:val="0"/>
          <w:vertAlign w:val="superscript"/>
          <w:lang w:val="en-US"/>
        </w:rPr>
        <w:t>6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 xml:space="preserve">Björn </w:t>
      </w:r>
      <w:r>
        <w:rPr>
          <w:rFonts w:cstheme="minorHAnsi"/>
          <w:b/>
          <w:i w:val="0"/>
          <w:lang w:val="en-US"/>
        </w:rPr>
        <w:t xml:space="preserve">Theodor </w:t>
      </w:r>
      <w:r w:rsidRPr="00576336">
        <w:rPr>
          <w:rFonts w:cstheme="minorHAnsi"/>
          <w:b/>
          <w:i w:val="0"/>
          <w:lang w:val="en-US"/>
        </w:rPr>
        <w:t>Kaftan</w:t>
      </w:r>
      <w:r w:rsidRPr="00576336">
        <w:rPr>
          <w:rFonts w:cstheme="minorHAnsi"/>
          <w:b/>
          <w:i w:val="0"/>
          <w:vertAlign w:val="superscript"/>
          <w:lang w:val="en-US"/>
        </w:rPr>
        <w:t>7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Frank Kunath</w:t>
      </w:r>
      <w:r w:rsidRPr="00576336">
        <w:rPr>
          <w:rFonts w:cstheme="minorHAnsi"/>
          <w:b/>
          <w:i w:val="0"/>
          <w:vertAlign w:val="superscript"/>
          <w:lang w:val="en-US"/>
        </w:rPr>
        <w:t>8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Boris Hadaschik</w:t>
      </w:r>
      <w:r w:rsidRPr="00576336">
        <w:rPr>
          <w:rFonts w:cstheme="minorHAnsi"/>
          <w:b/>
          <w:i w:val="0"/>
          <w:vertAlign w:val="superscript"/>
          <w:lang w:val="en-US"/>
        </w:rPr>
        <w:t>9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Simba-Joshua Oostdam</w:t>
      </w:r>
      <w:r w:rsidRPr="00576336">
        <w:rPr>
          <w:rFonts w:cstheme="minorHAnsi"/>
          <w:b/>
          <w:i w:val="0"/>
          <w:vertAlign w:val="superscript"/>
          <w:lang w:val="en-US"/>
        </w:rPr>
        <w:t>10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Rein Jüri Palisaar</w:t>
      </w:r>
      <w:r w:rsidRPr="00576336">
        <w:rPr>
          <w:rFonts w:cstheme="minorHAnsi"/>
          <w:b/>
          <w:i w:val="0"/>
          <w:vertAlign w:val="superscript"/>
          <w:lang w:val="en-US"/>
        </w:rPr>
        <w:t>11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Mateusz Koralewski</w:t>
      </w:r>
      <w:r w:rsidRPr="00576336">
        <w:rPr>
          <w:rFonts w:cstheme="minorHAnsi"/>
          <w:b/>
          <w:i w:val="0"/>
          <w:vertAlign w:val="superscript"/>
          <w:lang w:val="en-US"/>
        </w:rPr>
        <w:t>12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Burkhard Beyer</w:t>
      </w:r>
      <w:r w:rsidRPr="00576336">
        <w:rPr>
          <w:rFonts w:cstheme="minorHAnsi"/>
          <w:b/>
          <w:i w:val="0"/>
          <w:vertAlign w:val="superscript"/>
          <w:lang w:val="en-US"/>
        </w:rPr>
        <w:t>13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Björn Haben</w:t>
      </w:r>
      <w:r w:rsidRPr="00576336">
        <w:rPr>
          <w:rFonts w:cstheme="minorHAnsi"/>
          <w:b/>
          <w:i w:val="0"/>
          <w:vertAlign w:val="superscript"/>
          <w:lang w:val="en-US"/>
        </w:rPr>
        <w:t>14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3819D6">
        <w:rPr>
          <w:lang w:val="en-US"/>
        </w:rPr>
        <w:t xml:space="preserve"> </w:t>
      </w:r>
      <w:r w:rsidRPr="003819D6">
        <w:rPr>
          <w:rFonts w:cstheme="minorHAnsi"/>
          <w:b/>
          <w:i w:val="0"/>
          <w:lang w:val="en-US"/>
        </w:rPr>
        <w:t xml:space="preserve">Tsaur, Igor 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</w:t>
      </w:r>
      <w:r w:rsidRPr="00083A22">
        <w:rPr>
          <w:rFonts w:cstheme="minorHAnsi"/>
          <w:b/>
          <w:i w:val="0"/>
          <w:lang w:val="en-US"/>
        </w:rPr>
        <w:t>imone Wesselmann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16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Christoph Kowalski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</w:p>
    <w:p w14:paraId="0033EE61" w14:textId="77777777" w:rsidR="00E82888" w:rsidRPr="00083A22" w:rsidRDefault="00E82888" w:rsidP="00E82888">
      <w:pPr>
        <w:pStyle w:val="Author"/>
        <w:spacing w:line="360" w:lineRule="auto"/>
        <w:rPr>
          <w:rFonts w:cstheme="minorHAnsi"/>
          <w:i w:val="0"/>
          <w:sz w:val="20"/>
          <w:szCs w:val="20"/>
          <w:lang w:val="en-US"/>
        </w:rPr>
      </w:pPr>
    </w:p>
    <w:p w14:paraId="634CA573" w14:textId="77777777" w:rsidR="00E82888" w:rsidRPr="003819D6" w:rsidRDefault="00E82888" w:rsidP="00E82888">
      <w:pPr>
        <w:pStyle w:val="Author"/>
        <w:spacing w:line="360" w:lineRule="auto"/>
        <w:rPr>
          <w:rFonts w:cstheme="minorHAnsi"/>
          <w:i w:val="0"/>
          <w:sz w:val="20"/>
          <w:szCs w:val="20"/>
          <w:vertAlign w:val="superscript"/>
        </w:rPr>
      </w:pPr>
      <w:r w:rsidRPr="00C36079">
        <w:rPr>
          <w:rFonts w:cstheme="minorHAnsi"/>
          <w:i w:val="0"/>
          <w:sz w:val="20"/>
          <w:szCs w:val="20"/>
          <w:vertAlign w:val="superscript"/>
        </w:rPr>
        <w:t>1</w:t>
      </w:r>
      <w:r w:rsidRPr="00C36079">
        <w:rPr>
          <w:rFonts w:cstheme="minorHAnsi"/>
          <w:i w:val="0"/>
          <w:sz w:val="20"/>
          <w:szCs w:val="20"/>
        </w:rPr>
        <w:t xml:space="preserve"> Institute of Medical Statistics and Computational Biology, Medical Faculty, University of Cologne,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2 </w:t>
      </w:r>
      <w:r w:rsidRPr="00C36079">
        <w:rPr>
          <w:rFonts w:cstheme="minorHAnsi"/>
          <w:i w:val="0"/>
          <w:sz w:val="20"/>
          <w:szCs w:val="20"/>
        </w:rPr>
        <w:t xml:space="preserve">OnkoZert, Neu-Ulm,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3</w:t>
      </w:r>
      <w:r w:rsidRPr="00C36079">
        <w:rPr>
          <w:rFonts w:cstheme="minorHAnsi"/>
          <w:i w:val="0"/>
          <w:sz w:val="20"/>
          <w:szCs w:val="20"/>
        </w:rPr>
        <w:t xml:space="preserve"> Federal Association of German Prostate Cancer Patient Support Groups, Bonn,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4</w:t>
      </w:r>
      <w:r w:rsidRPr="00C36079">
        <w:rPr>
          <w:rFonts w:cstheme="minorHAnsi"/>
          <w:i w:val="0"/>
          <w:sz w:val="20"/>
          <w:szCs w:val="20"/>
        </w:rPr>
        <w:t> Help for Prostate Cancer Patients (</w:t>
      </w:r>
      <w:r w:rsidRPr="00C36079">
        <w:rPr>
          <w:rFonts w:cstheme="minorHAnsi"/>
          <w:sz w:val="20"/>
          <w:szCs w:val="20"/>
        </w:rPr>
        <w:t>Förderverein Hilfe bei Prostatakrebs e.V., FHbP</w:t>
      </w:r>
      <w:r w:rsidRPr="00C36079">
        <w:rPr>
          <w:rFonts w:cstheme="minorHAnsi"/>
          <w:i w:val="0"/>
          <w:sz w:val="20"/>
          <w:szCs w:val="20"/>
        </w:rPr>
        <w:t xml:space="preserve">), Tornesch, </w:t>
      </w:r>
      <w:r w:rsidRPr="003819D6">
        <w:rPr>
          <w:rFonts w:cstheme="minorHAnsi"/>
          <w:i w:val="0"/>
          <w:sz w:val="20"/>
          <w:szCs w:val="20"/>
        </w:rPr>
        <w:t xml:space="preserve">Germany; </w:t>
      </w:r>
      <w:r w:rsidRPr="003819D6">
        <w:rPr>
          <w:rFonts w:cstheme="minorHAnsi"/>
          <w:i w:val="0"/>
          <w:vertAlign w:val="superscript"/>
        </w:rPr>
        <w:t>5</w:t>
      </w:r>
      <w:r w:rsidRPr="003819D6">
        <w:rPr>
          <w:rFonts w:cstheme="minorHAnsi"/>
          <w:i w:val="0"/>
          <w:sz w:val="20"/>
          <w:szCs w:val="20"/>
        </w:rPr>
        <w:t xml:space="preserve"> Franziskus Hospital, Bielefeld; </w:t>
      </w:r>
      <w:r w:rsidRPr="003819D6">
        <w:rPr>
          <w:rFonts w:cstheme="minorHAnsi"/>
          <w:i w:val="0"/>
          <w:sz w:val="20"/>
          <w:szCs w:val="20"/>
          <w:vertAlign w:val="superscript"/>
        </w:rPr>
        <w:t>6</w:t>
      </w:r>
      <w:r w:rsidRPr="003819D6">
        <w:rPr>
          <w:rFonts w:cstheme="minorHAnsi"/>
          <w:i w:val="0"/>
          <w:sz w:val="20"/>
          <w:szCs w:val="20"/>
        </w:rPr>
        <w:t xml:space="preserve"> Helios Klinikum Erfurt; </w:t>
      </w:r>
      <w:r w:rsidRPr="003819D6">
        <w:rPr>
          <w:rFonts w:cstheme="minorHAnsi"/>
          <w:i w:val="0"/>
          <w:sz w:val="20"/>
          <w:szCs w:val="20"/>
          <w:vertAlign w:val="superscript"/>
        </w:rPr>
        <w:t>7</w:t>
      </w:r>
      <w:r w:rsidRPr="003819D6">
        <w:rPr>
          <w:rFonts w:cstheme="minorHAnsi"/>
          <w:i w:val="0"/>
          <w:sz w:val="20"/>
          <w:szCs w:val="20"/>
        </w:rPr>
        <w:t xml:space="preserve"> Städtisches Klinikum Lüneburg;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8</w:t>
      </w:r>
      <w:r w:rsidRPr="003819D6">
        <w:rPr>
          <w:rFonts w:cstheme="minorHAnsi"/>
          <w:i w:val="0"/>
          <w:sz w:val="20"/>
          <w:szCs w:val="20"/>
        </w:rPr>
        <w:t xml:space="preserve"> Department of Urology and Pediatric Urology, University Hospital Erlangen, FAU Erlangen-Nürnberg;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9</w:t>
      </w:r>
      <w:r w:rsidRPr="003819D6">
        <w:rPr>
          <w:rFonts w:cstheme="minorHAnsi"/>
          <w:i w:val="0"/>
          <w:sz w:val="20"/>
          <w:szCs w:val="20"/>
        </w:rPr>
        <w:t xml:space="preserve"> Klinik und Poliklinik für Urologie,Kinderurologie und Uroonkologie, Universitätsklinikum Essen (AöR); </w:t>
      </w:r>
      <w:r w:rsidRPr="003819D6">
        <w:rPr>
          <w:rFonts w:cstheme="minorHAnsi"/>
          <w:i w:val="0"/>
          <w:sz w:val="20"/>
          <w:szCs w:val="20"/>
          <w:vertAlign w:val="superscript"/>
        </w:rPr>
        <w:t>10</w:t>
      </w:r>
      <w:r w:rsidRPr="003819D6">
        <w:rPr>
          <w:rFonts w:cstheme="minorHAnsi"/>
          <w:i w:val="0"/>
          <w:sz w:val="20"/>
          <w:szCs w:val="20"/>
        </w:rPr>
        <w:t xml:space="preserve"> Vinzenz-Krankenhaus Hannover;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11</w:t>
      </w:r>
      <w:r w:rsidRPr="003819D6">
        <w:rPr>
          <w:rFonts w:cstheme="minorHAnsi"/>
          <w:i w:val="0"/>
          <w:sz w:val="20"/>
          <w:szCs w:val="20"/>
        </w:rPr>
        <w:t xml:space="preserve"> Urologische Klinik, Marien Hospital Herne; </w:t>
      </w:r>
      <w:r w:rsidRPr="003819D6">
        <w:rPr>
          <w:rFonts w:cstheme="minorHAnsi"/>
          <w:i w:val="0"/>
          <w:sz w:val="20"/>
          <w:szCs w:val="20"/>
          <w:vertAlign w:val="superscript"/>
        </w:rPr>
        <w:t>12</w:t>
      </w:r>
      <w:r w:rsidRPr="003819D6">
        <w:rPr>
          <w:rFonts w:cstheme="minorHAnsi"/>
          <w:i w:val="0"/>
          <w:sz w:val="20"/>
          <w:szCs w:val="20"/>
        </w:rPr>
        <w:t> Urologie, Krankenhaus der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</w:rPr>
        <w:t xml:space="preserve">Barmherzigen Brüder Trier;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13</w:t>
      </w:r>
      <w:r w:rsidRPr="003819D6">
        <w:rPr>
          <w:rFonts w:cstheme="minorHAnsi"/>
          <w:i w:val="0"/>
          <w:sz w:val="20"/>
          <w:szCs w:val="20"/>
        </w:rPr>
        <w:t xml:space="preserve"> Martini-Klinik Prostate Cancer Center Hamburg;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14</w:t>
      </w:r>
      <w:r w:rsidRPr="003819D6">
        <w:rPr>
          <w:rFonts w:cstheme="minorHAnsi"/>
          <w:i w:val="0"/>
          <w:sz w:val="20"/>
          <w:szCs w:val="20"/>
        </w:rPr>
        <w:t xml:space="preserve"> St. Marien Hospital Ahaus; 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15 </w:t>
      </w:r>
      <w:r w:rsidRPr="003819D6">
        <w:rPr>
          <w:rFonts w:cstheme="minorHAnsi"/>
          <w:i w:val="0"/>
          <w:sz w:val="20"/>
          <w:szCs w:val="20"/>
        </w:rPr>
        <w:t>Klinik und Poliklinik für Urologie und Kinderurologie, Universitätsmedizin der Johannes Gutenberg-Universität Mainz;</w:t>
      </w:r>
      <w:r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  <w:vertAlign w:val="superscript"/>
        </w:rPr>
        <w:t>16</w:t>
      </w:r>
      <w:r w:rsidRPr="003819D6">
        <w:rPr>
          <w:rFonts w:cstheme="minorHAnsi"/>
          <w:i w:val="0"/>
          <w:sz w:val="20"/>
          <w:szCs w:val="20"/>
        </w:rPr>
        <w:t> German Cancer Society, Berlin, Germany</w:t>
      </w:r>
    </w:p>
    <w:p w14:paraId="0E741F0C" w14:textId="77777777" w:rsidR="00E82888" w:rsidRPr="003819D6" w:rsidRDefault="00E82888" w:rsidP="00E82888">
      <w:pPr>
        <w:pStyle w:val="Author"/>
        <w:spacing w:line="360" w:lineRule="auto"/>
        <w:rPr>
          <w:rFonts w:cstheme="minorHAnsi"/>
          <w:i w:val="0"/>
          <w:sz w:val="20"/>
          <w:szCs w:val="20"/>
        </w:rPr>
      </w:pPr>
    </w:p>
    <w:p w14:paraId="197F537C" w14:textId="77777777" w:rsidR="007A01D0" w:rsidRPr="00E82888" w:rsidRDefault="007A01D0">
      <w:pPr>
        <w:spacing w:after="160" w:line="259" w:lineRule="auto"/>
        <w:rPr>
          <w:i/>
          <w:iCs/>
          <w:color w:val="44546A" w:themeColor="text2"/>
          <w:sz w:val="18"/>
          <w:szCs w:val="18"/>
        </w:rPr>
      </w:pPr>
      <w:r w:rsidRPr="00E82888">
        <w:br w:type="page"/>
      </w:r>
    </w:p>
    <w:p w14:paraId="44B271D8" w14:textId="658FD1B4" w:rsidR="003E456E" w:rsidRPr="000E3597" w:rsidRDefault="00400C09" w:rsidP="003E456E">
      <w:pPr>
        <w:pStyle w:val="Beschriftung"/>
        <w:keepNext/>
        <w:rPr>
          <w:lang w:val="en-US"/>
        </w:rPr>
      </w:pPr>
      <w:r w:rsidRPr="00400C09">
        <w:rPr>
          <w:lang w:val="en-US"/>
        </w:rPr>
        <w:lastRenderedPageBreak/>
        <w:t xml:space="preserve">Online Resource </w:t>
      </w:r>
      <w:r w:rsidR="00850585">
        <w:rPr>
          <w:lang w:val="en-US"/>
        </w:rPr>
        <w:t>8</w:t>
      </w:r>
      <w:bookmarkStart w:id="0" w:name="_GoBack"/>
      <w:bookmarkEnd w:id="0"/>
      <w:r w:rsidR="003E456E" w:rsidRPr="000E3597">
        <w:rPr>
          <w:lang w:val="en-US"/>
        </w:rPr>
        <w:t xml:space="preserve">: </w:t>
      </w:r>
      <w:r w:rsidR="00D379B2">
        <w:rPr>
          <w:lang w:val="en-US"/>
        </w:rPr>
        <w:t xml:space="preserve">Sensitivity analysis: </w:t>
      </w:r>
      <w:r w:rsidR="00273768">
        <w:rPr>
          <w:lang w:val="en-US"/>
        </w:rPr>
        <w:t>R</w:t>
      </w:r>
      <w:r w:rsidR="003E456E" w:rsidRPr="00086D5E">
        <w:rPr>
          <w:lang w:val="en-US"/>
        </w:rPr>
        <w:t xml:space="preserve">esults of </w:t>
      </w:r>
      <w:r w:rsidR="00A96187">
        <w:rPr>
          <w:lang w:val="en-US"/>
        </w:rPr>
        <w:t xml:space="preserve">linear </w:t>
      </w:r>
      <w:r w:rsidR="00974D61">
        <w:rPr>
          <w:lang w:val="en-US"/>
        </w:rPr>
        <w:t>multilevel analyse</w:t>
      </w:r>
      <w:r w:rsidR="003E456E" w:rsidRPr="00086D5E">
        <w:rPr>
          <w:lang w:val="en-US"/>
        </w:rPr>
        <w:t xml:space="preserve">s for </w:t>
      </w:r>
      <w:r w:rsidR="003E456E">
        <w:rPr>
          <w:lang w:val="en-US"/>
        </w:rPr>
        <w:t>pre</w:t>
      </w:r>
      <w:r w:rsidR="002F6B41">
        <w:rPr>
          <w:lang w:val="en-US"/>
        </w:rPr>
        <w:t>therapeutic</w:t>
      </w:r>
      <w:r w:rsidR="003E456E">
        <w:rPr>
          <w:lang w:val="en-US"/>
        </w:rPr>
        <w:t xml:space="preserve"> </w:t>
      </w:r>
      <w:r w:rsidR="003E456E" w:rsidRPr="00DA5415">
        <w:rPr>
          <w:lang w:val="en-US"/>
        </w:rPr>
        <w:t xml:space="preserve">functional status </w:t>
      </w:r>
      <w:r w:rsidR="003E456E">
        <w:rPr>
          <w:lang w:val="en-US"/>
        </w:rPr>
        <w:t>(</w:t>
      </w:r>
      <w:r w:rsidR="003E456E" w:rsidRPr="00086D5E">
        <w:rPr>
          <w:lang w:val="en-US"/>
        </w:rPr>
        <w:t>model 3</w:t>
      </w:r>
      <w:r w:rsidR="003E456E">
        <w:rPr>
          <w:lang w:val="en-US"/>
        </w:rPr>
        <w:t>)</w:t>
      </w:r>
      <w:r w:rsidR="00974D61">
        <w:rPr>
          <w:lang w:val="en-US"/>
        </w:rPr>
        <w:t xml:space="preserve"> for centers documenting the number of comorbidities</w:t>
      </w:r>
    </w:p>
    <w:tbl>
      <w:tblPr>
        <w:tblStyle w:val="Tabellenraster"/>
        <w:tblW w:w="12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920"/>
        <w:gridCol w:w="231"/>
        <w:gridCol w:w="758"/>
        <w:gridCol w:w="1870"/>
        <w:gridCol w:w="1897"/>
        <w:gridCol w:w="1961"/>
        <w:gridCol w:w="1978"/>
      </w:tblGrid>
      <w:tr w:rsidR="00536F45" w:rsidRPr="00C36079" w14:paraId="33C42802" w14:textId="77777777" w:rsidTr="00390FAA">
        <w:trPr>
          <w:tblHeader/>
        </w:trPr>
        <w:tc>
          <w:tcPr>
            <w:tcW w:w="1908" w:type="dxa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5779C067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D72547" w14:textId="4A7A3919" w:rsidR="00536F45" w:rsidRPr="00C36079" w:rsidRDefault="00536F45" w:rsidP="00F81452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Urinary incontinence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F81452" w:rsidRPr="00F81452">
              <w:rPr>
                <w:rFonts w:asciiTheme="minorHAnsi" w:hAnsiTheme="minorHAnsi"/>
                <w:color w:val="000000"/>
                <w:sz w:val="19"/>
                <w:szCs w:val="19"/>
              </w:rPr>
              <w:t>2133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patients, 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>28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CBE0A47" w14:textId="5EAF0BAE" w:rsidR="00536F45" w:rsidRPr="00C36079" w:rsidRDefault="00536F45" w:rsidP="00F81452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t>Urinary irritative/obstructive</w:t>
            </w:r>
            <w:r w:rsidRPr="00C36079">
              <w:rPr>
                <w:rFonts w:asciiTheme="minorHAnsi" w:hAnsiTheme="minorHAnsi"/>
                <w:sz w:val="19"/>
                <w:szCs w:val="19"/>
                <w:lang w:val="en-US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(</w:t>
            </w:r>
            <w:r w:rsidR="00F81452" w:rsidRPr="00F81452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2075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patients, 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>28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  <w:lang w:val="en-US"/>
              </w:rPr>
              <w:t xml:space="preserve"> centers)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9D3ECE" w14:textId="0CAEC36C" w:rsidR="00536F45" w:rsidRPr="00C36079" w:rsidRDefault="00536F45" w:rsidP="00F81452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Bowel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F81452" w:rsidRPr="00F81452">
              <w:rPr>
                <w:rFonts w:asciiTheme="minorHAnsi" w:hAnsiTheme="minorHAnsi"/>
                <w:color w:val="000000"/>
                <w:sz w:val="19"/>
                <w:szCs w:val="19"/>
              </w:rPr>
              <w:t>2081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patients, 2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7F25CD" w14:textId="3FD06D51" w:rsidR="00536F45" w:rsidRPr="00C36079" w:rsidRDefault="00536F45" w:rsidP="00F81452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Sexual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F81452" w:rsidRPr="00F81452">
              <w:rPr>
                <w:rFonts w:asciiTheme="minorHAnsi" w:hAnsiTheme="minorHAnsi"/>
                <w:color w:val="000000"/>
                <w:sz w:val="19"/>
                <w:szCs w:val="19"/>
              </w:rPr>
              <w:t>2160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patients, 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>28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4" w:space="0" w:color="auto"/>
            </w:tcBorders>
          </w:tcPr>
          <w:p w14:paraId="30D9EF75" w14:textId="0FEF0005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Hormonal</w:t>
            </w:r>
            <w:r w:rsidRPr="00C36079">
              <w:rPr>
                <w:rFonts w:asciiTheme="minorHAnsi" w:hAnsiTheme="minorHAnsi"/>
                <w:sz w:val="19"/>
                <w:szCs w:val="19"/>
              </w:rPr>
              <w:br/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(</w:t>
            </w:r>
            <w:r w:rsidR="00F81452" w:rsidRPr="00F81452">
              <w:rPr>
                <w:rFonts w:asciiTheme="minorHAnsi" w:hAnsiTheme="minorHAnsi"/>
                <w:color w:val="000000"/>
                <w:sz w:val="19"/>
                <w:szCs w:val="19"/>
              </w:rPr>
              <w:t>2130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patients, 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2</w:t>
            </w:r>
            <w:r w:rsidR="00F81452"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centers)</w:t>
            </w:r>
          </w:p>
        </w:tc>
      </w:tr>
      <w:tr w:rsidR="00536F45" w:rsidRPr="00C36079" w14:paraId="26DEE334" w14:textId="77777777" w:rsidTr="00390FAA">
        <w:trPr>
          <w:tblHeader/>
        </w:trPr>
        <w:tc>
          <w:tcPr>
            <w:tcW w:w="1908" w:type="dxa"/>
            <w:tcBorders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14:paraId="073F99AA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DF6C66E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F274239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02483DC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14:paraId="23E37234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14:paraId="67A10237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Estimate (95% CI)</w:t>
            </w:r>
            <w:r>
              <w:rPr>
                <w:rFonts w:asciiTheme="minorHAnsi" w:hAnsiTheme="minorHAnsi"/>
                <w:sz w:val="19"/>
                <w:szCs w:val="19"/>
              </w:rPr>
              <w:t>; p-value</w:t>
            </w:r>
          </w:p>
        </w:tc>
      </w:tr>
      <w:tr w:rsidR="00536F45" w:rsidRPr="00C36079" w14:paraId="4C7251AF" w14:textId="77777777" w:rsidTr="00390FAA">
        <w:tc>
          <w:tcPr>
            <w:tcW w:w="1908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14:paraId="4FBF18F5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(Intercept)</w:t>
            </w:r>
          </w:p>
        </w:tc>
        <w:tc>
          <w:tcPr>
            <w:tcW w:w="215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D4B63" w14:textId="49B3E8C7" w:rsidR="00536F45" w:rsidRPr="00390FAA" w:rsidRDefault="004660A1" w:rsidP="00390FAA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102.8 (96.73-108.87)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B213BE" w14:textId="6CE424C8" w:rsidR="00536F45" w:rsidRPr="00390FAA" w:rsidRDefault="009C55DC" w:rsidP="00390FAA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95.55 (88.6-102.49)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AC46C0" w14:textId="3398D57C" w:rsidR="00536F45" w:rsidRPr="00390FAA" w:rsidRDefault="007B25D7" w:rsidP="00390FAA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94.38 (90.45-98.32)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tcMar>
              <w:left w:w="115" w:type="dxa"/>
              <w:right w:w="115" w:type="dxa"/>
            </w:tcMar>
          </w:tcPr>
          <w:p w14:paraId="07230ECB" w14:textId="1D4820CD" w:rsidR="00536F45" w:rsidRPr="00390FAA" w:rsidRDefault="007B25D7" w:rsidP="00390FAA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144.32 (132.6-156.04)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14:paraId="66FB2975" w14:textId="218504F9" w:rsidR="00536F45" w:rsidRPr="00390FAA" w:rsidRDefault="007E7B49" w:rsidP="00390FAA">
            <w:pPr>
              <w:pStyle w:val="Tables"/>
              <w:spacing w:before="240"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74.95 (69.02-80.89)</w:t>
            </w:r>
          </w:p>
        </w:tc>
      </w:tr>
      <w:tr w:rsidR="00536F45" w:rsidRPr="00C36079" w14:paraId="50D09C4D" w14:textId="77777777" w:rsidTr="00390FAA">
        <w:trPr>
          <w:gridAfter w:val="4"/>
          <w:wAfter w:w="7706" w:type="dxa"/>
        </w:trPr>
        <w:tc>
          <w:tcPr>
            <w:tcW w:w="3828" w:type="dxa"/>
            <w:gridSpan w:val="2"/>
          </w:tcPr>
          <w:p w14:paraId="58B47ACB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Patient characteristics</w:t>
            </w:r>
          </w:p>
        </w:tc>
        <w:tc>
          <w:tcPr>
            <w:tcW w:w="989" w:type="dxa"/>
            <w:gridSpan w:val="2"/>
          </w:tcPr>
          <w:p w14:paraId="1ED79DE2" w14:textId="77777777" w:rsidR="00536F45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536F45" w:rsidRPr="00C36079" w14:paraId="06DB1529" w14:textId="77777777" w:rsidTr="00390FAA">
        <w:trPr>
          <w:gridAfter w:val="4"/>
          <w:wAfter w:w="7706" w:type="dxa"/>
        </w:trPr>
        <w:tc>
          <w:tcPr>
            <w:tcW w:w="3828" w:type="dxa"/>
            <w:gridSpan w:val="2"/>
          </w:tcPr>
          <w:p w14:paraId="6E090E76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Sociodemographic information</w:t>
            </w:r>
          </w:p>
        </w:tc>
        <w:tc>
          <w:tcPr>
            <w:tcW w:w="989" w:type="dxa"/>
            <w:gridSpan w:val="2"/>
          </w:tcPr>
          <w:p w14:paraId="6C7CB28F" w14:textId="77777777" w:rsidR="00536F45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36F45" w:rsidRPr="00C36079" w14:paraId="197EECD7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1DC76717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Age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41B2E60" w14:textId="18DDA53B" w:rsidR="000269DD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-0.17 (-0.25--0.08);</w:t>
            </w:r>
          </w:p>
          <w:p w14:paraId="05CAA2BE" w14:textId="5F746CF9" w:rsidR="00536F45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5BEF933" w14:textId="77777777" w:rsidR="009C55DC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-0.12 (-0.21--0.02);</w:t>
            </w:r>
          </w:p>
          <w:p w14:paraId="49D20E24" w14:textId="00C376BB" w:rsidR="00536F45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0.015*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67881030" w14:textId="77777777" w:rsidR="007B25D7" w:rsidRDefault="007B25D7" w:rsidP="007B25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0.01 (-0.04-0.07);</w:t>
            </w:r>
          </w:p>
          <w:p w14:paraId="1A7560FC" w14:textId="4F5BB63A" w:rsidR="00536F45" w:rsidRPr="00C36079" w:rsidRDefault="007B25D7" w:rsidP="007B25D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3620F46C" w14:textId="0E949F92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-1.33 (-1.49--1.17);</w:t>
            </w:r>
          </w:p>
          <w:p w14:paraId="24165839" w14:textId="0AC7CC69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</w:tcPr>
          <w:p w14:paraId="1C844E89" w14:textId="209E0F5B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0.25 (0.17-0.33);</w:t>
            </w:r>
          </w:p>
          <w:p w14:paraId="084350C9" w14:textId="49A78119" w:rsidR="00536F45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</w:tr>
      <w:tr w:rsidR="00536F45" w:rsidRPr="00C36079" w14:paraId="2CC9CA9E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550A1F6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Nationality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1623A7F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06B1C10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08206A7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EA0B968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14:paraId="56F5BFBE" w14:textId="6A98539E" w:rsidR="00536F45" w:rsidRPr="007E7B49" w:rsidRDefault="00536F45" w:rsidP="007E7B4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36F45" w:rsidRPr="00C36079" w14:paraId="5111673C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546EED22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German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E8C141C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EEC3916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6756BC5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058403B1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348E459D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536F45" w:rsidRPr="00C36079" w14:paraId="0FD0B9B4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23B2426A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Other 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478656E0" w14:textId="46359288" w:rsidR="000269DD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-1.67 (-5.09-1.75);</w:t>
            </w:r>
          </w:p>
          <w:p w14:paraId="08AA9947" w14:textId="4C79E3C0" w:rsidR="00536F45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0.338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0137E1A" w14:textId="77777777" w:rsidR="009C55DC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-2.15 (-6.02-1.73);</w:t>
            </w:r>
          </w:p>
          <w:p w14:paraId="13C6F82F" w14:textId="6183EDC8" w:rsidR="00536F45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0.277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3C7E564F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1.37 (-0.88-3.62);</w:t>
            </w:r>
          </w:p>
          <w:p w14:paraId="532BF02D" w14:textId="480F44CE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0.234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2E60C586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1.83 (-4.72-8.38);</w:t>
            </w:r>
          </w:p>
          <w:p w14:paraId="57A9C4AA" w14:textId="2CA6C4D5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0.583</w:t>
            </w:r>
          </w:p>
        </w:tc>
        <w:tc>
          <w:tcPr>
            <w:tcW w:w="1978" w:type="dxa"/>
          </w:tcPr>
          <w:p w14:paraId="3828EA5B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1.65 (-1.68-4.99);</w:t>
            </w:r>
          </w:p>
          <w:p w14:paraId="26EA9131" w14:textId="14B36EB7" w:rsidR="00536F45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0.331</w:t>
            </w:r>
          </w:p>
        </w:tc>
      </w:tr>
      <w:tr w:rsidR="00536F45" w:rsidRPr="00C36079" w14:paraId="239709C5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5570EB02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Insurance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7F4838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A6740D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562F4DAC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6FC3A9F4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405BFA1D" w14:textId="77777777" w:rsidR="00536F45" w:rsidRPr="00390FAA" w:rsidRDefault="00536F45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6F45" w:rsidRPr="00C36079" w14:paraId="1602F35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45E9F3C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Statutory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D0FA460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0C21E02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0AA0F39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BAD9CE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2E693AD6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536F45" w:rsidRPr="00C36079" w14:paraId="13D8BB5E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0A3D4086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Private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9C4E5AF" w14:textId="002936D6" w:rsidR="000269DD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1.04 (-0.49-2.57);</w:t>
            </w:r>
          </w:p>
          <w:p w14:paraId="6AE0FCD7" w14:textId="27D0AD89" w:rsidR="00536F45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0.185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3A8C5D7" w14:textId="5CAC8EEA" w:rsidR="009C55DC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0.81 (-0.92-2.53);</w:t>
            </w:r>
          </w:p>
          <w:p w14:paraId="5450ABBB" w14:textId="17BB7BF3" w:rsidR="00536F45" w:rsidRPr="00390FAA" w:rsidRDefault="009C55DC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0.358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19505734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0.41 (-0.61-1.43);</w:t>
            </w:r>
          </w:p>
          <w:p w14:paraId="35D906DE" w14:textId="03EC5A6B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0.431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766EE6C8" w14:textId="078575FC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1.88 (-1.03-4.78);</w:t>
            </w:r>
          </w:p>
          <w:p w14:paraId="0EEDD3FE" w14:textId="00BEEF0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0.205</w:t>
            </w:r>
          </w:p>
          <w:p w14:paraId="61E935A2" w14:textId="77777777" w:rsidR="00536F45" w:rsidRPr="00390FAA" w:rsidRDefault="00536F45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14:paraId="2C4909A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1.55 (0.02-3.07);</w:t>
            </w:r>
          </w:p>
          <w:p w14:paraId="4ABB7087" w14:textId="6657BFC0" w:rsidR="00536F45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0.047*</w:t>
            </w:r>
          </w:p>
        </w:tc>
      </w:tr>
      <w:tr w:rsidR="00536F45" w:rsidRPr="00C36079" w14:paraId="52F7D75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C98D432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lastRenderedPageBreak/>
              <w:t>School-leaving qualification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0E11743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4EA3DA6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7EFEE11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130DD4E6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14:paraId="14AD2F2F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6F45" w:rsidRPr="00C36079" w14:paraId="1125E40E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090C35F1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Lower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47E072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1E59AF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4076E539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2C44A056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5FC7DAE8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E7B49" w:rsidRPr="00C36079" w14:paraId="78AE55DC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5AAA488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Intermediate secondary school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ED72AF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1.42 (-0.22-3.06);</w:t>
            </w:r>
          </w:p>
          <w:p w14:paraId="2E76DF22" w14:textId="0EF75742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0.091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2DFAA35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1.27 (-0.58-3.12);</w:t>
            </w:r>
          </w:p>
          <w:p w14:paraId="215ADA38" w14:textId="76A2D33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0.177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C6B73B4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0.68 (-0.42-1.77);</w:t>
            </w:r>
          </w:p>
          <w:p w14:paraId="35725908" w14:textId="259F68C0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0.226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351FA85D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3.57 (0.48-6.66);</w:t>
            </w:r>
          </w:p>
          <w:p w14:paraId="7ECE54B4" w14:textId="2F3D9BA5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0.023</w:t>
            </w:r>
            <w:r w:rsid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*</w:t>
            </w:r>
          </w:p>
        </w:tc>
        <w:tc>
          <w:tcPr>
            <w:tcW w:w="1978" w:type="dxa"/>
            <w:vAlign w:val="bottom"/>
          </w:tcPr>
          <w:p w14:paraId="2C9771C8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2.56 (0.92-4.2);</w:t>
            </w:r>
          </w:p>
          <w:p w14:paraId="4C948490" w14:textId="4340F7AE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0.002*</w:t>
            </w:r>
          </w:p>
        </w:tc>
      </w:tr>
      <w:tr w:rsidR="007E7B49" w:rsidRPr="00C36079" w14:paraId="5DCA0207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5320D90C" w14:textId="5CB1831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FHSR</w:t>
            </w:r>
            <w:r w:rsidRPr="005921B2">
              <w:rPr>
                <w:rFonts w:asciiTheme="minorHAnsi" w:hAnsiTheme="minorHAnsi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BCD775D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0.65 (-1.33-2.64);</w:t>
            </w:r>
          </w:p>
          <w:p w14:paraId="2E339294" w14:textId="68EFB8CB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0.520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A608E3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-0.26 (-2.49-1.97);</w:t>
            </w:r>
          </w:p>
          <w:p w14:paraId="0B8AFCDA" w14:textId="08A1337F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0.819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437883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-0.51 (-1.85-0.82);</w:t>
            </w:r>
          </w:p>
          <w:p w14:paraId="6E12FCCD" w14:textId="0AF81193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0.450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6CC38489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6.98 (3.22-10.74);</w:t>
            </w:r>
          </w:p>
          <w:p w14:paraId="69793ADB" w14:textId="79B2780D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14:paraId="7AD4D886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0.56 (-1.43-2.56);</w:t>
            </w:r>
          </w:p>
          <w:p w14:paraId="6AD3E375" w14:textId="79880951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0.580</w:t>
            </w:r>
          </w:p>
        </w:tc>
      </w:tr>
      <w:tr w:rsidR="007E7B49" w:rsidRPr="00C36079" w14:paraId="45FA732E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29BCB091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University entrance certificate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BCCE9A4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0.37 (-1.39-2.12);</w:t>
            </w:r>
          </w:p>
          <w:p w14:paraId="46CE8557" w14:textId="322531F5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0.683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3102FA6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0.57 (-1.4-2.55);</w:t>
            </w:r>
          </w:p>
          <w:p w14:paraId="7BDE2C33" w14:textId="4217DECE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0.570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E17200D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0.26 (-0.91-1.43);</w:t>
            </w:r>
          </w:p>
          <w:p w14:paraId="15529951" w14:textId="37FA1884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0.665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332B31EB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8.1 (4.77-11.43);</w:t>
            </w:r>
          </w:p>
          <w:p w14:paraId="1CD06469" w14:textId="79051E3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14:paraId="3EB9DC0C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2.02 (0.27-3.77);</w:t>
            </w:r>
          </w:p>
          <w:p w14:paraId="01A8DB87" w14:textId="25A2E960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0.024*</w:t>
            </w:r>
          </w:p>
        </w:tc>
      </w:tr>
      <w:tr w:rsidR="007E7B49" w:rsidRPr="00C36079" w14:paraId="4263499D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4217AD6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Other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31AC49F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0.97 (-3.81-5.76);</w:t>
            </w:r>
          </w:p>
          <w:p w14:paraId="037241DB" w14:textId="081AD1E0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0.690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EE8CF43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-2.31 (-7.69-3.07);</w:t>
            </w:r>
          </w:p>
          <w:p w14:paraId="5155276E" w14:textId="13F9205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0.400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83C96E1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0.54 (-2.55-3.62);</w:t>
            </w:r>
          </w:p>
          <w:p w14:paraId="4AD67BA1" w14:textId="0C605E73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0.733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632C03BD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-2.24 (-11.36-6.89);</w:t>
            </w:r>
          </w:p>
          <w:p w14:paraId="2151B312" w14:textId="47A5BBD2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0.631</w:t>
            </w:r>
          </w:p>
        </w:tc>
        <w:tc>
          <w:tcPr>
            <w:tcW w:w="1978" w:type="dxa"/>
            <w:vAlign w:val="bottom"/>
          </w:tcPr>
          <w:p w14:paraId="581D647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0.61 (-4.19-5.4);</w:t>
            </w:r>
          </w:p>
          <w:p w14:paraId="564F7C60" w14:textId="50F39D1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0.805</w:t>
            </w:r>
          </w:p>
        </w:tc>
      </w:tr>
      <w:tr w:rsidR="007E7B49" w:rsidRPr="00C36079" w14:paraId="25629004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60BE499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None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F437EB1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0.54 (-7.28-8.35);</w:t>
            </w:r>
          </w:p>
          <w:p w14:paraId="414DB63F" w14:textId="1407C921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0.893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E2A0497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-7.64 (-16.6-1.33);</w:t>
            </w:r>
          </w:p>
          <w:p w14:paraId="5D5561AE" w14:textId="36F78B5A" w:rsidR="007E7B49" w:rsidRPr="00390FAA" w:rsidRDefault="007E7B49" w:rsidP="007E7B49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0.095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656081E" w14:textId="77777777" w:rsidR="007E7B49" w:rsidRPr="00C36079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-3.3 (-8.28-1.69);</w:t>
            </w:r>
          </w:p>
          <w:p w14:paraId="2F914566" w14:textId="759EEAF9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0.195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44B72E9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-7.65 (-22.02-6.72);</w:t>
            </w:r>
          </w:p>
          <w:p w14:paraId="73203730" w14:textId="4EF6B85C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0.297</w:t>
            </w:r>
          </w:p>
        </w:tc>
        <w:tc>
          <w:tcPr>
            <w:tcW w:w="1978" w:type="dxa"/>
            <w:vAlign w:val="bottom"/>
          </w:tcPr>
          <w:p w14:paraId="503DA251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0.12 (-7.72-7.95);</w:t>
            </w:r>
          </w:p>
          <w:p w14:paraId="35F2242D" w14:textId="29BA758B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0.977</w:t>
            </w:r>
          </w:p>
        </w:tc>
      </w:tr>
      <w:tr w:rsidR="00536F45" w:rsidRPr="003E718B" w14:paraId="7B1A4C4B" w14:textId="77777777" w:rsidTr="00390FAA">
        <w:trPr>
          <w:gridAfter w:val="4"/>
          <w:wAfter w:w="7706" w:type="dxa"/>
        </w:trPr>
        <w:tc>
          <w:tcPr>
            <w:tcW w:w="3828" w:type="dxa"/>
            <w:gridSpan w:val="2"/>
          </w:tcPr>
          <w:p w14:paraId="513BAFBC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before="240" w:line="360" w:lineRule="auto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i/>
                <w:sz w:val="19"/>
                <w:szCs w:val="19"/>
                <w:lang w:val="en-US"/>
              </w:rPr>
              <w:t xml:space="preserve">Disease information </w:t>
            </w:r>
          </w:p>
        </w:tc>
        <w:tc>
          <w:tcPr>
            <w:tcW w:w="989" w:type="dxa"/>
            <w:gridSpan w:val="2"/>
          </w:tcPr>
          <w:p w14:paraId="79D1A7AB" w14:textId="77777777" w:rsidR="00536F45" w:rsidRDefault="00536F45" w:rsidP="00390FAA">
            <w:pPr>
              <w:pStyle w:val="Tables"/>
              <w:tabs>
                <w:tab w:val="left" w:pos="216"/>
              </w:tabs>
              <w:spacing w:before="240" w:line="360" w:lineRule="auto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</w:tr>
      <w:tr w:rsidR="00536F45" w:rsidRPr="00C36079" w14:paraId="0B4F6D04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AEDDF25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Comorbidities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29658B2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CD57EB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556B8C2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19EC5AE9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1B684C9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36F45" w:rsidRPr="00C36079" w14:paraId="49940E7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0115E75B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0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40594AAD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C92A6A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6110A890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71F903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70ECDAD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7E7B49" w:rsidRPr="00C36079" w14:paraId="03BA3386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4FFB0900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1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341FDC0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0.21 (-1.2-1.61);</w:t>
            </w:r>
          </w:p>
          <w:p w14:paraId="6C9519D1" w14:textId="365F9984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0.772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46C5C42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0.75 (-0.86-2.36);</w:t>
            </w:r>
          </w:p>
          <w:p w14:paraId="2F0C5872" w14:textId="0D91AAD7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0.364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61B9A01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-0.35 (-1.27-0.57);</w:t>
            </w:r>
          </w:p>
          <w:p w14:paraId="07A9C816" w14:textId="22DC7DEC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0.455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069A2BB1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-4.93 (-7.64--2.21);</w:t>
            </w:r>
          </w:p>
          <w:p w14:paraId="176DB016" w14:textId="75267834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14:paraId="2D9F20B4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-2.08 (-3.46--0.69);</w:t>
            </w:r>
          </w:p>
          <w:p w14:paraId="66090964" w14:textId="3949A12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0.003*</w:t>
            </w:r>
          </w:p>
        </w:tc>
      </w:tr>
      <w:tr w:rsidR="007E7B49" w:rsidRPr="00C36079" w14:paraId="5A0014D0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19574844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≥ 2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B10383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1.08 (-1.1-3.26);</w:t>
            </w:r>
          </w:p>
          <w:p w14:paraId="447C0F1A" w14:textId="15642C88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0.330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857796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-1.5 (-3.97-0.97);</w:t>
            </w:r>
          </w:p>
          <w:p w14:paraId="665C2D56" w14:textId="4D94D7CA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0.234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4BC8FDA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-1.67 (-3.11--0.24);</w:t>
            </w:r>
          </w:p>
          <w:p w14:paraId="794434B9" w14:textId="0F57ABE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0.022*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3F99E93A" w14:textId="40A11339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-9</w:t>
            </w:r>
            <w:r w:rsidR="00390FAA">
              <w:rPr>
                <w:rFonts w:asciiTheme="minorHAnsi" w:hAnsiTheme="minorHAnsi"/>
                <w:b/>
                <w:sz w:val="19"/>
                <w:szCs w:val="19"/>
              </w:rPr>
              <w:t>.00</w:t>
            </w: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 xml:space="preserve"> (-13.19--4.81);</w:t>
            </w:r>
          </w:p>
          <w:p w14:paraId="48A7A068" w14:textId="574846C2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78" w:type="dxa"/>
            <w:vAlign w:val="bottom"/>
          </w:tcPr>
          <w:p w14:paraId="4FE21FA7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-4.36 (-6.53--2.19);</w:t>
            </w:r>
          </w:p>
          <w:p w14:paraId="61C191B7" w14:textId="55A45FE2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</w:tr>
      <w:tr w:rsidR="00536F45" w:rsidRPr="00C36079" w14:paraId="136741A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502B48A7" w14:textId="387A72F7" w:rsidR="00536F45" w:rsidRPr="00C36079" w:rsidRDefault="005921B2" w:rsidP="00390FAA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Risk class</w:t>
            </w:r>
            <w:r>
              <w:rPr>
                <w:rFonts w:asciiTheme="minorHAnsi" w:hAnsiTheme="minorHAnsi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78F0763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51B16D7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6B480095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444B4319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1659F060" w14:textId="77777777" w:rsidR="00536F45" w:rsidRPr="00C36079" w:rsidRDefault="00536F45" w:rsidP="00390FA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E7B49" w:rsidRPr="00C36079" w14:paraId="7ED1299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B4DA483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High,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A3E9974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-0.26 (-2.15-1.63);</w:t>
            </w:r>
          </w:p>
          <w:p w14:paraId="6CAD2C6C" w14:textId="7ED68887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0.789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527414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-2.13 (-4.26-0);</w:t>
            </w:r>
          </w:p>
          <w:p w14:paraId="4A8E2EBC" w14:textId="332B8146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0.050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24BA6B8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-1.16 (-2.43-0.12);</w:t>
            </w:r>
          </w:p>
          <w:p w14:paraId="4BA3B3BE" w14:textId="64E0A3A9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0.076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2AAD6105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-0.28 (-3.89-3.34);</w:t>
            </w:r>
          </w:p>
          <w:p w14:paraId="62336ADF" w14:textId="128BE8E1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0.881</w:t>
            </w:r>
          </w:p>
        </w:tc>
        <w:tc>
          <w:tcPr>
            <w:tcW w:w="1978" w:type="dxa"/>
            <w:vAlign w:val="bottom"/>
          </w:tcPr>
          <w:p w14:paraId="40D12D41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-1.93 (-3.83--0.03);</w:t>
            </w:r>
          </w:p>
          <w:p w14:paraId="6997C799" w14:textId="4B91DF92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0.047*</w:t>
            </w:r>
          </w:p>
        </w:tc>
      </w:tr>
      <w:tr w:rsidR="007E7B49" w:rsidRPr="00C36079" w14:paraId="2A18006A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934C2F2" w14:textId="77777777" w:rsidR="007E7B49" w:rsidRPr="00C36079" w:rsidRDefault="007E7B49" w:rsidP="007E7B4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Intermediate,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2D3F323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0.56 (-1.24-2.36);</w:t>
            </w:r>
          </w:p>
          <w:p w14:paraId="38278FF6" w14:textId="19755FCF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0.539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E770DAB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-0.42 (-2.46-1.63);</w:t>
            </w:r>
          </w:p>
          <w:p w14:paraId="60CAA63C" w14:textId="44F3C19D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0.690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8BDC486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-0.54 (-1.76-0.67);</w:t>
            </w:r>
          </w:p>
          <w:p w14:paraId="59582BC7" w14:textId="160C8217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0.381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64B3EECC" w14:textId="77777777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2.87 (-0.56-6.3);</w:t>
            </w:r>
          </w:p>
          <w:p w14:paraId="26946549" w14:textId="3602DB33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0.101</w:t>
            </w:r>
          </w:p>
        </w:tc>
        <w:tc>
          <w:tcPr>
            <w:tcW w:w="1978" w:type="dxa"/>
            <w:vAlign w:val="bottom"/>
          </w:tcPr>
          <w:p w14:paraId="1372AE34" w14:textId="56025AD9" w:rsidR="007E7B49" w:rsidRPr="00390FAA" w:rsidRDefault="007E7B4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-0.5</w:t>
            </w:r>
            <w:r w:rsidR="00390FAA">
              <w:rPr>
                <w:rFonts w:asciiTheme="minorHAnsi" w:hAnsiTheme="minorHAnsi"/>
                <w:sz w:val="19"/>
                <w:szCs w:val="19"/>
              </w:rPr>
              <w:t>0</w:t>
            </w:r>
            <w:r w:rsidRPr="00390FAA">
              <w:rPr>
                <w:rFonts w:asciiTheme="minorHAnsi" w:hAnsiTheme="minorHAnsi"/>
                <w:sz w:val="19"/>
                <w:szCs w:val="19"/>
              </w:rPr>
              <w:t xml:space="preserve"> (-2.31-1.32);</w:t>
            </w:r>
          </w:p>
          <w:p w14:paraId="25FE5BE4" w14:textId="4D622556" w:rsidR="007E7B49" w:rsidRPr="00390FAA" w:rsidRDefault="007E7B4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0.591</w:t>
            </w:r>
          </w:p>
        </w:tc>
      </w:tr>
      <w:tr w:rsidR="00536F45" w:rsidRPr="00C36079" w14:paraId="1D0B4667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5D49A07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Low, localized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825EF3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257B1D4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594DF48C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1EAB733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32706624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3A59E9" w:rsidRPr="00C36079" w14:paraId="52128D93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5498904B" w14:textId="77777777" w:rsidR="003A59E9" w:rsidRPr="00C36079" w:rsidRDefault="003A59E9" w:rsidP="003A59E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Locally advanced 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F13BF60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1.23 (-1.96-4.42);</w:t>
            </w:r>
          </w:p>
          <w:p w14:paraId="7BE473E5" w14:textId="244F718C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0.449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B2F37EB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-3.77 (-7.34--0.2);</w:t>
            </w:r>
          </w:p>
          <w:p w14:paraId="063F128E" w14:textId="60D6958A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0.039*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D089517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-1.22 (-3.31-0.88);</w:t>
            </w:r>
          </w:p>
          <w:p w14:paraId="3CB77687" w14:textId="422BF964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0.255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7FCF5375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-0.42 (-6.43-5.58);</w:t>
            </w:r>
          </w:p>
          <w:p w14:paraId="654AE192" w14:textId="10584A9F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0.890</w:t>
            </w:r>
          </w:p>
        </w:tc>
        <w:tc>
          <w:tcPr>
            <w:tcW w:w="1978" w:type="dxa"/>
            <w:vAlign w:val="bottom"/>
          </w:tcPr>
          <w:p w14:paraId="468C185D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-0.95 (-4.17-2.27);</w:t>
            </w:r>
          </w:p>
          <w:p w14:paraId="04BC97A7" w14:textId="0AD316D4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0.563</w:t>
            </w:r>
          </w:p>
        </w:tc>
      </w:tr>
      <w:tr w:rsidR="003A59E9" w:rsidRPr="00C36079" w14:paraId="3719EB69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2CCE2B2D" w14:textId="77777777" w:rsidR="003A59E9" w:rsidRPr="00C36079" w:rsidRDefault="003A59E9" w:rsidP="003A59E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Advanced (N1)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E23B4DC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-4.02 (-10.68-2.64);</w:t>
            </w:r>
          </w:p>
          <w:p w14:paraId="7C5B30F7" w14:textId="7E756E47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0.237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657333F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-18.59 (-26.19--10.99);</w:t>
            </w:r>
          </w:p>
          <w:p w14:paraId="517268D8" w14:textId="7B2EE33F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E0AF8B7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-8.59 (-13--4.17);</w:t>
            </w:r>
          </w:p>
          <w:p w14:paraId="2D2CFCB6" w14:textId="758ABBC2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&lt;0.001*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  <w:vAlign w:val="bottom"/>
          </w:tcPr>
          <w:p w14:paraId="71143339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-14.36 (-26.77--1.96);</w:t>
            </w:r>
          </w:p>
          <w:p w14:paraId="31E7AE94" w14:textId="4398CD6B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0.023</w:t>
            </w:r>
            <w:r w:rsidR="00390FAA">
              <w:rPr>
                <w:rFonts w:asciiTheme="minorHAnsi" w:eastAsia="Times New Roman" w:hAnsiTheme="minorHAnsi" w:cstheme="minorBidi"/>
                <w:b/>
                <w:sz w:val="19"/>
                <w:szCs w:val="19"/>
              </w:rPr>
              <w:t>*</w:t>
            </w:r>
          </w:p>
        </w:tc>
        <w:tc>
          <w:tcPr>
            <w:tcW w:w="1978" w:type="dxa"/>
            <w:vAlign w:val="bottom"/>
          </w:tcPr>
          <w:p w14:paraId="62210669" w14:textId="77777777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-6.26 (-12.61-0.1);</w:t>
            </w:r>
          </w:p>
          <w:p w14:paraId="20214327" w14:textId="571D651F" w:rsidR="003A59E9" w:rsidRPr="00390FAA" w:rsidRDefault="003A59E9" w:rsidP="00390FA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0.054</w:t>
            </w:r>
          </w:p>
        </w:tc>
      </w:tr>
      <w:tr w:rsidR="00536F45" w:rsidRPr="00C36079" w14:paraId="7A38B6E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868F67B" w14:textId="77777777" w:rsidR="00536F45" w:rsidRPr="009D39E4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DC4B6A1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E9F38B3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2D4EE86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47363B7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069416B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36F45" w:rsidRPr="00C36079" w14:paraId="090A872E" w14:textId="77777777" w:rsidTr="00390FAA">
        <w:trPr>
          <w:gridAfter w:val="4"/>
          <w:wAfter w:w="7706" w:type="dxa"/>
        </w:trPr>
        <w:tc>
          <w:tcPr>
            <w:tcW w:w="3828" w:type="dxa"/>
            <w:gridSpan w:val="2"/>
          </w:tcPr>
          <w:p w14:paraId="6CCCE9B8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Center characteristics</w:t>
            </w:r>
          </w:p>
        </w:tc>
        <w:tc>
          <w:tcPr>
            <w:tcW w:w="989" w:type="dxa"/>
            <w:gridSpan w:val="2"/>
          </w:tcPr>
          <w:p w14:paraId="0C2F2E29" w14:textId="77777777" w:rsidR="00536F45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536F45" w:rsidRPr="00C36079" w14:paraId="24497B28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3F0B099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Recruitment rate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58EC7A4" w14:textId="7BF96088" w:rsidR="000269DD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-1.96 (-6.2-2.27);</w:t>
            </w:r>
          </w:p>
          <w:p w14:paraId="73B3C2F5" w14:textId="6FA129A6" w:rsidR="00536F45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0.363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B75D364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-1.14 (-6.47-4.19);</w:t>
            </w:r>
          </w:p>
          <w:p w14:paraId="524B2810" w14:textId="108DF957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0.676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20B3CA57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2.84 (0.21-5.47);</w:t>
            </w:r>
          </w:p>
          <w:p w14:paraId="284CDFC8" w14:textId="3F180733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90FAA">
              <w:rPr>
                <w:rFonts w:asciiTheme="minorHAnsi" w:hAnsiTheme="minorHAnsi"/>
                <w:b/>
                <w:sz w:val="19"/>
                <w:szCs w:val="19"/>
              </w:rPr>
              <w:t>0.034*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6B36E7A" w14:textId="77777777" w:rsidR="009F17F1" w:rsidRPr="00390FAA" w:rsidRDefault="009F17F1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-0.41 (-9.1-8.28);</w:t>
            </w:r>
          </w:p>
          <w:p w14:paraId="2831B9B3" w14:textId="3F2C532C" w:rsidR="00536F45" w:rsidRPr="00390FAA" w:rsidRDefault="009F17F1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0.927</w:t>
            </w:r>
          </w:p>
        </w:tc>
        <w:tc>
          <w:tcPr>
            <w:tcW w:w="1978" w:type="dxa"/>
          </w:tcPr>
          <w:p w14:paraId="7AEDDBCB" w14:textId="6853FA4F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-1.92 (-5.82-1.98);</w:t>
            </w:r>
          </w:p>
          <w:p w14:paraId="16ADCACB" w14:textId="622FEB04" w:rsidR="00536F45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0.335</w:t>
            </w:r>
          </w:p>
        </w:tc>
      </w:tr>
      <w:tr w:rsidR="00536F45" w:rsidRPr="00C36079" w14:paraId="0062A750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20663DB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Ownership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A31967C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B66E94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56109858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5B1475A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0D0B2A4E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36F45" w:rsidRPr="00C36079" w14:paraId="610E00C7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63B96BA5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>Public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B639300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60B4B1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4A4D180F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0AA0DBB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color w:val="000000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58196394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536F45" w:rsidRPr="00C36079" w14:paraId="50302AA1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7140AE3A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Charitable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BA5D288" w14:textId="77777777" w:rsidR="000269DD" w:rsidRPr="00390FAA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1.79 (-0.5-4.07);</w:t>
            </w:r>
          </w:p>
          <w:p w14:paraId="5968E267" w14:textId="69248F3C" w:rsidR="00536F45" w:rsidRPr="00C36079" w:rsidRDefault="000269DD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</w:t>
            </w:r>
            <w:r w:rsidR="00390FAA">
              <w:rPr>
                <w:rFonts w:asciiTheme="minorHAnsi" w:hAnsiTheme="minorHAnsi"/>
                <w:sz w:val="19"/>
                <w:szCs w:val="19"/>
              </w:rPr>
              <w:t>.</w:t>
            </w:r>
            <w:r w:rsidRPr="00390FAA">
              <w:rPr>
                <w:rFonts w:asciiTheme="minorHAnsi" w:hAnsiTheme="minorHAnsi"/>
                <w:sz w:val="19"/>
                <w:szCs w:val="19"/>
              </w:rPr>
              <w:t>12</w:t>
            </w:r>
            <w:r w:rsidR="00390FAA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43A2308" w14:textId="3998DF55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 (-2.32-3.51);</w:t>
            </w:r>
          </w:p>
          <w:p w14:paraId="27C262A9" w14:textId="101D6B7A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0.687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0C129CDE" w14:textId="77777777" w:rsidR="007B25D7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-0.52 (-1.92-0.88);</w:t>
            </w:r>
          </w:p>
          <w:p w14:paraId="674FADAE" w14:textId="176ADBDD" w:rsidR="00536F45" w:rsidRPr="00390FAA" w:rsidRDefault="007B25D7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0.470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2243DDCE" w14:textId="77777777" w:rsidR="009F17F1" w:rsidRPr="00390FAA" w:rsidRDefault="009F17F1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0.23 (-4.5-4.95);</w:t>
            </w:r>
          </w:p>
          <w:p w14:paraId="76C6E691" w14:textId="23845E37" w:rsidR="00536F45" w:rsidRPr="00390FAA" w:rsidRDefault="009F17F1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0.924</w:t>
            </w:r>
          </w:p>
        </w:tc>
        <w:tc>
          <w:tcPr>
            <w:tcW w:w="1978" w:type="dxa"/>
          </w:tcPr>
          <w:p w14:paraId="2607723F" w14:textId="2C6B476A" w:rsidR="003A59E9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-0.14 (-2.22-1.94);</w:t>
            </w:r>
          </w:p>
          <w:p w14:paraId="47883A44" w14:textId="743D2B4D" w:rsidR="00536F45" w:rsidRPr="00390FAA" w:rsidRDefault="003A59E9" w:rsidP="00390FAA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0.894</w:t>
            </w:r>
          </w:p>
        </w:tc>
      </w:tr>
      <w:tr w:rsidR="00536F45" w:rsidRPr="00C36079" w14:paraId="29A60BB8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1D3A120A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Urban status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7D2CD4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4D1A90E9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0F360C3F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278078F2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8" w:type="dxa"/>
          </w:tcPr>
          <w:p w14:paraId="06ACAE44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6F45" w:rsidRPr="00C36079" w14:paraId="681F7739" w14:textId="77777777" w:rsidTr="00B554B7">
        <w:trPr>
          <w:trHeight w:val="344"/>
        </w:trPr>
        <w:tc>
          <w:tcPr>
            <w:tcW w:w="1908" w:type="dxa"/>
            <w:tcMar>
              <w:left w:w="115" w:type="dxa"/>
              <w:right w:w="115" w:type="dxa"/>
            </w:tcMar>
          </w:tcPr>
          <w:p w14:paraId="621C6157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≤ 100,000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5CF3C17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A41375E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22F5D21D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4B8A688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17D882D2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3A59E9" w:rsidRPr="00C36079" w14:paraId="2C2F6592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1A2DA3BF" w14:textId="77777777" w:rsidR="003A59E9" w:rsidRPr="00C36079" w:rsidRDefault="003A59E9" w:rsidP="003A59E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&gt; 100,000–1,000,000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8D92E1" w14:textId="77777777" w:rsidR="003A59E9" w:rsidRPr="00C36079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-0.46 (-2.7-1.78);</w:t>
            </w:r>
          </w:p>
          <w:p w14:paraId="63EF8849" w14:textId="01A606F6" w:rsidR="003A59E9" w:rsidRPr="00390FAA" w:rsidRDefault="003A59E9" w:rsidP="00B554B7">
            <w:pPr>
              <w:spacing w:after="0" w:line="240" w:lineRule="auto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0.687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8C44101" w14:textId="77777777" w:rsidR="003A59E9" w:rsidRPr="00C36079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-1.99 (-4.81-0.83);</w:t>
            </w:r>
          </w:p>
          <w:p w14:paraId="774C57AB" w14:textId="531E4AA4" w:rsidR="003A59E9" w:rsidRPr="00390FAA" w:rsidRDefault="003A59E9" w:rsidP="00B554B7">
            <w:pPr>
              <w:spacing w:after="0" w:line="240" w:lineRule="auto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0.167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52235B4" w14:textId="77777777" w:rsidR="003A59E9" w:rsidRPr="00C36079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0.7 (-0.71-2.11);</w:t>
            </w:r>
          </w:p>
          <w:p w14:paraId="46CC44B0" w14:textId="671B91BD" w:rsidR="003A59E9" w:rsidRPr="00390FAA" w:rsidRDefault="003A59E9" w:rsidP="00B554B7">
            <w:pPr>
              <w:spacing w:after="0" w:line="240" w:lineRule="auto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390FAA">
              <w:rPr>
                <w:rFonts w:asciiTheme="minorHAnsi" w:eastAsia="Times New Roman" w:hAnsiTheme="minorHAnsi" w:cstheme="minorBidi"/>
                <w:sz w:val="19"/>
                <w:szCs w:val="19"/>
              </w:rPr>
              <w:t>0.328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3371D75B" w14:textId="77777777" w:rsidR="003A59E9" w:rsidRPr="00390FAA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-0.89 (-5.47-3.69)</w:t>
            </w:r>
          </w:p>
          <w:p w14:paraId="257400A9" w14:textId="7BCDABF2" w:rsidR="003A59E9" w:rsidRPr="00390FAA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390FAA">
              <w:rPr>
                <w:rFonts w:asciiTheme="minorHAnsi" w:hAnsiTheme="minorHAnsi"/>
                <w:sz w:val="19"/>
                <w:szCs w:val="19"/>
              </w:rPr>
              <w:t>0.704</w:t>
            </w:r>
          </w:p>
        </w:tc>
        <w:tc>
          <w:tcPr>
            <w:tcW w:w="1978" w:type="dxa"/>
            <w:vAlign w:val="bottom"/>
          </w:tcPr>
          <w:p w14:paraId="31BE9FFF" w14:textId="77777777" w:rsidR="003A59E9" w:rsidRPr="00B554B7" w:rsidRDefault="003A59E9" w:rsidP="00B554B7">
            <w:pPr>
              <w:pStyle w:val="Tables"/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1.14 (-0.95-3.23);</w:t>
            </w:r>
          </w:p>
          <w:p w14:paraId="6E4A1C5F" w14:textId="05BAD793" w:rsidR="003A59E9" w:rsidRPr="00B554B7" w:rsidRDefault="003A59E9" w:rsidP="00B554B7">
            <w:pPr>
              <w:spacing w:after="0" w:line="240" w:lineRule="auto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B554B7">
              <w:rPr>
                <w:rFonts w:asciiTheme="minorHAnsi" w:eastAsia="Times New Roman" w:hAnsiTheme="minorHAnsi" w:cstheme="minorBidi"/>
                <w:sz w:val="19"/>
                <w:szCs w:val="19"/>
              </w:rPr>
              <w:t>0.286</w:t>
            </w:r>
          </w:p>
        </w:tc>
      </w:tr>
      <w:tr w:rsidR="003A59E9" w:rsidRPr="00C36079" w14:paraId="70269ECD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1584BA9" w14:textId="77777777" w:rsidR="003A59E9" w:rsidRPr="00C36079" w:rsidRDefault="003A59E9" w:rsidP="003A59E9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&gt; 1,000,000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EE07EA3" w14:textId="77777777" w:rsidR="003A59E9" w:rsidRPr="00C36079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-3.54 (-7.63-0.54);</w:t>
            </w:r>
          </w:p>
          <w:p w14:paraId="235B6006" w14:textId="28A7AA29" w:rsidR="003A59E9" w:rsidRPr="00B554B7" w:rsidRDefault="003A59E9" w:rsidP="00B554B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B554B7">
              <w:rPr>
                <w:rFonts w:asciiTheme="minorHAnsi" w:eastAsia="Times New Roman" w:hAnsiTheme="minorHAnsi" w:cstheme="minorBidi"/>
                <w:sz w:val="19"/>
                <w:szCs w:val="19"/>
              </w:rPr>
              <w:t>0.089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D922E1A" w14:textId="77777777" w:rsidR="003A59E9" w:rsidRPr="00C36079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-4.6 (-9.62-0.43);</w:t>
            </w:r>
          </w:p>
          <w:p w14:paraId="037F808E" w14:textId="3F1513BE" w:rsidR="003A59E9" w:rsidRPr="00B554B7" w:rsidRDefault="003A59E9" w:rsidP="00B554B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B554B7">
              <w:rPr>
                <w:rFonts w:asciiTheme="minorHAnsi" w:eastAsia="Times New Roman" w:hAnsiTheme="minorHAnsi" w:cstheme="minorBidi"/>
                <w:sz w:val="19"/>
                <w:szCs w:val="19"/>
              </w:rPr>
              <w:t>0.073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ED7E8D2" w14:textId="77777777" w:rsidR="003A59E9" w:rsidRPr="00C36079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0.24 (-2.29-2.77);</w:t>
            </w:r>
          </w:p>
          <w:p w14:paraId="4D7367CE" w14:textId="17997958" w:rsidR="003A59E9" w:rsidRPr="00B554B7" w:rsidRDefault="003A59E9" w:rsidP="00B554B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B554B7">
              <w:rPr>
                <w:rFonts w:asciiTheme="minorHAnsi" w:eastAsia="Times New Roman" w:hAnsiTheme="minorHAnsi" w:cstheme="minorBidi"/>
                <w:sz w:val="19"/>
                <w:szCs w:val="19"/>
              </w:rPr>
              <w:t>0.854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7FADDB9A" w14:textId="77777777" w:rsidR="003A59E9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-1.06 (-9.47-7.36);</w:t>
            </w:r>
          </w:p>
          <w:p w14:paraId="5F6227B8" w14:textId="534BC616" w:rsidR="003A59E9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0.806</w:t>
            </w:r>
          </w:p>
        </w:tc>
        <w:tc>
          <w:tcPr>
            <w:tcW w:w="1978" w:type="dxa"/>
            <w:vAlign w:val="bottom"/>
          </w:tcPr>
          <w:p w14:paraId="01737B5D" w14:textId="77777777" w:rsidR="003A59E9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2.8 (-1.1-6.7);</w:t>
            </w:r>
          </w:p>
          <w:p w14:paraId="539AAE89" w14:textId="29278997" w:rsidR="003A59E9" w:rsidRPr="00B554B7" w:rsidRDefault="003A59E9" w:rsidP="00B554B7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19"/>
                <w:szCs w:val="19"/>
              </w:rPr>
            </w:pPr>
            <w:r w:rsidRPr="00B554B7">
              <w:rPr>
                <w:rFonts w:asciiTheme="minorHAnsi" w:eastAsia="Times New Roman" w:hAnsiTheme="minorHAnsi" w:cstheme="minorBidi"/>
                <w:sz w:val="19"/>
                <w:szCs w:val="19"/>
              </w:rPr>
              <w:t>0.160</w:t>
            </w:r>
          </w:p>
        </w:tc>
      </w:tr>
      <w:tr w:rsidR="00536F45" w:rsidRPr="00C36079" w14:paraId="76911FA1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14A700EE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Teaching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65DB7802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F97E4D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71337042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5D6697D9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</w:tcPr>
          <w:p w14:paraId="43DC540C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36F45" w:rsidRPr="00C36079" w14:paraId="0368CF3C" w14:textId="77777777" w:rsidTr="00390FAA">
        <w:tc>
          <w:tcPr>
            <w:tcW w:w="1908" w:type="dxa"/>
            <w:tcMar>
              <w:left w:w="115" w:type="dxa"/>
              <w:right w:w="115" w:type="dxa"/>
            </w:tcMar>
          </w:tcPr>
          <w:p w14:paraId="38776A6F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No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FB1DE86" w14:textId="1DADF854" w:rsidR="009C55DC" w:rsidRPr="00B554B7" w:rsidRDefault="009C55DC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-0.98 (-4.56-2.6)</w:t>
            </w:r>
            <w:r>
              <w:rPr>
                <w:rFonts w:asciiTheme="minorHAnsi" w:hAnsiTheme="minorHAnsi"/>
                <w:sz w:val="19"/>
                <w:szCs w:val="19"/>
              </w:rPr>
              <w:t>;</w:t>
            </w:r>
          </w:p>
          <w:p w14:paraId="583B0368" w14:textId="3DEE6D12" w:rsidR="00536F45" w:rsidRPr="00B554B7" w:rsidRDefault="009C55DC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0.592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A7EF2EB" w14:textId="3C633367" w:rsidR="007B25D7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554B7">
              <w:rPr>
                <w:rFonts w:asciiTheme="minorHAnsi" w:hAnsiTheme="minorHAnsi"/>
                <w:b/>
                <w:sz w:val="19"/>
                <w:szCs w:val="19"/>
              </w:rPr>
              <w:t>-4.63 (-9.17--0.08);</w:t>
            </w:r>
          </w:p>
          <w:p w14:paraId="6AFE99E0" w14:textId="260C9D28" w:rsidR="007B25D7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554B7">
              <w:rPr>
                <w:rFonts w:asciiTheme="minorHAnsi" w:hAnsiTheme="minorHAnsi"/>
                <w:b/>
                <w:sz w:val="19"/>
                <w:szCs w:val="19"/>
              </w:rPr>
              <w:t>0.046*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5F6D3051" w14:textId="49A83D2E" w:rsidR="007B25D7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0.84 (-1.39-3.08);</w:t>
            </w:r>
          </w:p>
          <w:p w14:paraId="44621232" w14:textId="3068295F" w:rsidR="00536F45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0.459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0E2C590B" w14:textId="07ABD239" w:rsidR="009F17F1" w:rsidRPr="00B554B7" w:rsidRDefault="009F17F1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-2.6 (-9.99-4.8);</w:t>
            </w:r>
          </w:p>
          <w:p w14:paraId="0160F0B1" w14:textId="7A4A3E4A" w:rsidR="00536F45" w:rsidRPr="00B554B7" w:rsidRDefault="009F17F1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0.491</w:t>
            </w:r>
          </w:p>
        </w:tc>
        <w:tc>
          <w:tcPr>
            <w:tcW w:w="1978" w:type="dxa"/>
          </w:tcPr>
          <w:p w14:paraId="77FF324C" w14:textId="77777777" w:rsidR="003A59E9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-1.59 (-4.93-1.76);</w:t>
            </w:r>
          </w:p>
          <w:p w14:paraId="7EFE78AF" w14:textId="08490313" w:rsidR="00536F45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0.352</w:t>
            </w:r>
          </w:p>
        </w:tc>
      </w:tr>
      <w:tr w:rsidR="00536F45" w:rsidRPr="00C36079" w14:paraId="4A440C28" w14:textId="77777777" w:rsidTr="00536F45">
        <w:tc>
          <w:tcPr>
            <w:tcW w:w="1908" w:type="dxa"/>
            <w:tcMar>
              <w:left w:w="115" w:type="dxa"/>
              <w:right w:w="115" w:type="dxa"/>
            </w:tcMar>
          </w:tcPr>
          <w:p w14:paraId="66E2E0F9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Yes, non-university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8DDA8C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AA142A5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897" w:type="dxa"/>
            <w:shd w:val="clear" w:color="auto" w:fill="auto"/>
            <w:tcMar>
              <w:left w:w="115" w:type="dxa"/>
              <w:right w:w="115" w:type="dxa"/>
            </w:tcMar>
          </w:tcPr>
          <w:p w14:paraId="7786980B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14:paraId="0183D19D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  <w:tc>
          <w:tcPr>
            <w:tcW w:w="1978" w:type="dxa"/>
          </w:tcPr>
          <w:p w14:paraId="390D3200" w14:textId="77777777" w:rsidR="00536F45" w:rsidRPr="00C36079" w:rsidRDefault="00536F45" w:rsidP="00390FAA">
            <w:pPr>
              <w:pStyle w:val="Tables"/>
              <w:spacing w:line="36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>Reference</w:t>
            </w:r>
          </w:p>
        </w:tc>
      </w:tr>
      <w:tr w:rsidR="00536F45" w:rsidRPr="00C36079" w14:paraId="661FB748" w14:textId="77777777" w:rsidTr="00536F45">
        <w:tc>
          <w:tcPr>
            <w:tcW w:w="1908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F933DE3" w14:textId="77777777" w:rsidR="00536F45" w:rsidRPr="00C36079" w:rsidRDefault="00536F45" w:rsidP="00390FAA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</w:rPr>
            </w:pPr>
            <w:r w:rsidRPr="00C36079">
              <w:rPr>
                <w:rFonts w:asciiTheme="minorHAnsi" w:hAnsiTheme="minorHAnsi"/>
                <w:sz w:val="19"/>
                <w:szCs w:val="19"/>
              </w:rPr>
              <w:tab/>
              <w:t xml:space="preserve"> Yes, university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EAB888" w14:textId="77777777" w:rsidR="009C55DC" w:rsidRPr="00B554B7" w:rsidRDefault="009C55DC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0.73 (-2.12-3.59);</w:t>
            </w:r>
          </w:p>
          <w:p w14:paraId="3EBA01C2" w14:textId="439FB45F" w:rsidR="00536F45" w:rsidRPr="00B554B7" w:rsidRDefault="009C55DC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0.614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7155F1" w14:textId="1893A55D" w:rsidR="007B25D7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1.76 (-1.95-5.46);</w:t>
            </w:r>
          </w:p>
          <w:p w14:paraId="00E25695" w14:textId="571EA576" w:rsidR="00536F45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0.353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E345F2" w14:textId="77777777" w:rsidR="007B25D7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-0.76 (-2.47-0.95);</w:t>
            </w:r>
          </w:p>
          <w:p w14:paraId="06204336" w14:textId="3EF123C4" w:rsidR="00536F45" w:rsidRPr="00B554B7" w:rsidRDefault="007B25D7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0.383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0DC6A1" w14:textId="797011DE" w:rsidR="009F17F1" w:rsidRPr="00B554B7" w:rsidRDefault="009F17F1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0.90 (-5.12-6.92);</w:t>
            </w:r>
          </w:p>
          <w:p w14:paraId="1EBF211F" w14:textId="31D4C0B3" w:rsidR="00536F45" w:rsidRPr="00B554B7" w:rsidRDefault="009F17F1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0.769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A7A84DF" w14:textId="77777777" w:rsidR="003A59E9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-0.41 (-2.96-2.14);</w:t>
            </w:r>
          </w:p>
          <w:p w14:paraId="25667192" w14:textId="16E19E14" w:rsidR="00536F45" w:rsidRPr="00B554B7" w:rsidRDefault="003A59E9" w:rsidP="00B554B7">
            <w:pPr>
              <w:pStyle w:val="Tables"/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B554B7">
              <w:rPr>
                <w:rFonts w:asciiTheme="minorHAnsi" w:hAnsiTheme="minorHAnsi"/>
                <w:sz w:val="19"/>
                <w:szCs w:val="19"/>
              </w:rPr>
              <w:t>0.754</w:t>
            </w:r>
          </w:p>
        </w:tc>
      </w:tr>
    </w:tbl>
    <w:p w14:paraId="496C0F49" w14:textId="77777777" w:rsidR="003E456E" w:rsidRDefault="003E456E" w:rsidP="003E456E">
      <w:p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Note: (1) Multilevel model 3 </w:t>
      </w:r>
      <w:r w:rsidRPr="00DA5415">
        <w:rPr>
          <w:rFonts w:ascii="Times New Roman" w:hAnsi="Times New Roman"/>
          <w:lang w:val="en-US"/>
        </w:rPr>
        <w:t>account</w:t>
      </w:r>
      <w:r>
        <w:rPr>
          <w:rFonts w:ascii="Times New Roman" w:hAnsi="Times New Roman"/>
          <w:lang w:val="en-US"/>
        </w:rPr>
        <w:t>s</w:t>
      </w:r>
      <w:r w:rsidRPr="00DA5415">
        <w:rPr>
          <w:rFonts w:ascii="Times New Roman" w:hAnsi="Times New Roman"/>
          <w:lang w:val="en-US"/>
        </w:rPr>
        <w:t xml:space="preserve"> for the clustering of patien</w:t>
      </w:r>
      <w:r>
        <w:rPr>
          <w:rFonts w:ascii="Times New Roman" w:hAnsi="Times New Roman"/>
          <w:lang w:val="en-US"/>
        </w:rPr>
        <w:t>ts (level 1) in PCCs (level 2) with a random intercept. Fixed effects for</w:t>
      </w:r>
      <w:r w:rsidRPr="00DA5415">
        <w:rPr>
          <w:rFonts w:ascii="Times New Roman" w:hAnsi="Times New Roman"/>
          <w:lang w:val="en-US"/>
        </w:rPr>
        <w:t xml:space="preserve"> sociodemographic predictors, information on disease and treatment allocation and PCC characteristics</w:t>
      </w:r>
      <w:r>
        <w:rPr>
          <w:rFonts w:ascii="Times New Roman" w:hAnsi="Times New Roman"/>
          <w:lang w:val="en-US"/>
        </w:rPr>
        <w:t xml:space="preserve"> are included</w:t>
      </w:r>
      <w:r w:rsidRPr="00DA541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(2) </w:t>
      </w:r>
      <w:r w:rsidR="00C0705C">
        <w:rPr>
          <w:rFonts w:ascii="Times New Roman" w:hAnsi="Times New Roman"/>
          <w:lang w:val="en-US"/>
        </w:rPr>
        <w:t xml:space="preserve">Patient numbers vary between analyses of different scores due to the different number of missing values for the respective scores. (3) </w:t>
      </w:r>
      <w:r w:rsidRPr="00E81521">
        <w:rPr>
          <w:rFonts w:ascii="Times New Roman" w:hAnsi="Times New Roman"/>
          <w:lang w:val="en-US"/>
        </w:rPr>
        <w:t xml:space="preserve">Results regarding the missing categories </w:t>
      </w:r>
      <w:r>
        <w:rPr>
          <w:rFonts w:ascii="Times New Roman" w:hAnsi="Times New Roman"/>
          <w:lang w:val="en-US"/>
        </w:rPr>
        <w:t xml:space="preserve">for categorical variables </w:t>
      </w:r>
      <w:r w:rsidRPr="00E81521">
        <w:rPr>
          <w:rFonts w:ascii="Times New Roman" w:hAnsi="Times New Roman"/>
          <w:lang w:val="en-US"/>
        </w:rPr>
        <w:t>are not presented in this table.</w:t>
      </w:r>
      <w:r w:rsidR="00D379B2">
        <w:rPr>
          <w:rFonts w:ascii="Times New Roman" w:hAnsi="Times New Roman"/>
          <w:lang w:val="en-US"/>
        </w:rPr>
        <w:t xml:space="preserve"> (</w:t>
      </w:r>
      <w:r w:rsidR="00C0705C">
        <w:rPr>
          <w:rFonts w:ascii="Times New Roman" w:hAnsi="Times New Roman"/>
          <w:lang w:val="en-US"/>
        </w:rPr>
        <w:t>4</w:t>
      </w:r>
      <w:r w:rsidR="00D379B2">
        <w:rPr>
          <w:rFonts w:ascii="Times New Roman" w:hAnsi="Times New Roman"/>
          <w:lang w:val="en-US"/>
        </w:rPr>
        <w:t xml:space="preserve">) </w:t>
      </w:r>
      <w:r w:rsidR="00974D61">
        <w:rPr>
          <w:rFonts w:ascii="Times New Roman" w:hAnsi="Times New Roman"/>
          <w:lang w:val="en-US"/>
        </w:rPr>
        <w:t>These s</w:t>
      </w:r>
      <w:r w:rsidR="00974D61" w:rsidRPr="00974D61">
        <w:rPr>
          <w:rFonts w:ascii="Times New Roman" w:hAnsi="Times New Roman"/>
          <w:lang w:val="en-US"/>
        </w:rPr>
        <w:t xml:space="preserve">ensitivity analyses for model 3 were conducted </w:t>
      </w:r>
      <w:r w:rsidR="00974D61">
        <w:rPr>
          <w:rFonts w:ascii="Times New Roman" w:hAnsi="Times New Roman"/>
          <w:lang w:val="en-US"/>
        </w:rPr>
        <w:t xml:space="preserve">after exclusion of </w:t>
      </w:r>
      <w:r w:rsidR="00974D61" w:rsidRPr="00974D61">
        <w:rPr>
          <w:rFonts w:ascii="Times New Roman" w:hAnsi="Times New Roman"/>
          <w:lang w:val="en-US"/>
        </w:rPr>
        <w:t>centers that did not document comorbidities</w:t>
      </w:r>
      <w:r w:rsidR="00273768" w:rsidRPr="00974D61">
        <w:rPr>
          <w:rFonts w:ascii="Times New Roman" w:hAnsi="Times New Roman"/>
          <w:lang w:val="en-US"/>
        </w:rPr>
        <w:t>.</w:t>
      </w:r>
      <w:r w:rsidR="00273768">
        <w:rPr>
          <w:rFonts w:ascii="Times New Roman" w:hAnsi="Times New Roman"/>
          <w:lang w:val="en-US"/>
        </w:rPr>
        <w:t xml:space="preserve"> </w:t>
      </w:r>
      <w:r w:rsidR="00105EEF">
        <w:rPr>
          <w:rFonts w:ascii="Times New Roman" w:hAnsi="Times New Roman"/>
          <w:lang w:val="en-US"/>
        </w:rPr>
        <w:t>Note that after exclusion of these centers, there were no more centers with charitable ownership</w:t>
      </w:r>
      <w:r w:rsidR="00105EEF" w:rsidRPr="00105EEF">
        <w:rPr>
          <w:rFonts w:ascii="Times New Roman" w:hAnsi="Times New Roman"/>
          <w:lang w:val="en-US"/>
        </w:rPr>
        <w:t xml:space="preserve"> </w:t>
      </w:r>
      <w:r w:rsidR="00105EEF">
        <w:rPr>
          <w:rFonts w:ascii="Times New Roman" w:hAnsi="Times New Roman"/>
          <w:lang w:val="en-US"/>
        </w:rPr>
        <w:t xml:space="preserve">included. </w:t>
      </w:r>
    </w:p>
    <w:p w14:paraId="5193429A" w14:textId="77777777" w:rsidR="003E456E" w:rsidRPr="000D3316" w:rsidRDefault="00BA461B" w:rsidP="003E456E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a</w:t>
      </w:r>
      <w:r w:rsidR="003E456E" w:rsidRPr="006B5C26">
        <w:rPr>
          <w:rFonts w:ascii="Times New Roman" w:hAnsi="Times New Roman"/>
          <w:lang w:val="en-US"/>
        </w:rPr>
        <w:t xml:space="preserve"> </w:t>
      </w:r>
      <w:r w:rsidR="003E456E">
        <w:rPr>
          <w:rFonts w:ascii="Times New Roman" w:hAnsi="Times New Roman"/>
          <w:lang w:val="en-US"/>
        </w:rPr>
        <w:t>FHSR: entrance certificate for a higher technical college/university of applied science</w:t>
      </w:r>
      <w:r w:rsidR="003E456E" w:rsidRPr="000D3316" w:rsidDel="006B5C26">
        <w:rPr>
          <w:rFonts w:ascii="Times New Roman" w:hAnsi="Times New Roman"/>
          <w:lang w:val="en-US"/>
        </w:rPr>
        <w:t xml:space="preserve"> </w:t>
      </w:r>
    </w:p>
    <w:p w14:paraId="196EFB0B" w14:textId="77777777" w:rsidR="006B39BB" w:rsidRDefault="00BA461B" w:rsidP="006B39BB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b</w:t>
      </w:r>
      <w:r w:rsidR="006B39BB" w:rsidRPr="006B39BB">
        <w:rPr>
          <w:rFonts w:ascii="Times New Roman" w:hAnsi="Times New Roman"/>
          <w:lang w:val="en-US"/>
        </w:rPr>
        <w:t xml:space="preserve"> </w:t>
      </w:r>
      <w:r w:rsidR="006B39BB">
        <w:rPr>
          <w:rFonts w:ascii="Times New Roman" w:hAnsi="Times New Roman"/>
          <w:lang w:val="en-US"/>
        </w:rPr>
        <w:t xml:space="preserve">Risk class according to d’Amico </w:t>
      </w:r>
      <w:r w:rsidR="006B39BB"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 w:rsidR="006B39BB">
        <w:rPr>
          <w:rFonts w:ascii="Times New Roman" w:hAnsi="Times New Roman"/>
          <w:lang w:val="en-US"/>
        </w:rPr>
        <w:instrText xml:space="preserve"> ADDIN EN.CITE </w:instrText>
      </w:r>
      <w:r w:rsidR="006B39BB"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 w:rsidR="006B39BB">
        <w:rPr>
          <w:rFonts w:ascii="Times New Roman" w:hAnsi="Times New Roman"/>
          <w:lang w:val="en-US"/>
        </w:rPr>
        <w:instrText xml:space="preserve"> ADDIN EN.CITE.DATA </w:instrText>
      </w:r>
      <w:r w:rsidR="006B39BB">
        <w:rPr>
          <w:rFonts w:ascii="Times New Roman" w:hAnsi="Times New Roman"/>
          <w:lang w:val="en-US"/>
        </w:rPr>
      </w:r>
      <w:r w:rsidR="006B39BB">
        <w:rPr>
          <w:rFonts w:ascii="Times New Roman" w:hAnsi="Times New Roman"/>
          <w:lang w:val="en-US"/>
        </w:rPr>
        <w:fldChar w:fldCharType="end"/>
      </w:r>
      <w:r w:rsidR="006B39BB">
        <w:rPr>
          <w:rFonts w:ascii="Times New Roman" w:hAnsi="Times New Roman"/>
          <w:lang w:val="en-US"/>
        </w:rPr>
      </w:r>
      <w:r w:rsidR="006B39BB">
        <w:rPr>
          <w:rFonts w:ascii="Times New Roman" w:hAnsi="Times New Roman"/>
          <w:lang w:val="en-US"/>
        </w:rPr>
        <w:fldChar w:fldCharType="separate"/>
      </w:r>
      <w:r w:rsidR="006B39BB">
        <w:rPr>
          <w:rFonts w:ascii="Times New Roman" w:hAnsi="Times New Roman"/>
          <w:noProof/>
          <w:lang w:val="en-US"/>
        </w:rPr>
        <w:t>(D'Amico et al., 1998)</w:t>
      </w:r>
      <w:r w:rsidR="006B39BB">
        <w:rPr>
          <w:rFonts w:ascii="Times New Roman" w:hAnsi="Times New Roman"/>
          <w:lang w:val="en-US"/>
        </w:rPr>
        <w:fldChar w:fldCharType="end"/>
      </w:r>
    </w:p>
    <w:p w14:paraId="19CCD122" w14:textId="01357EA5" w:rsidR="00CD66F1" w:rsidRPr="00AC1A5B" w:rsidRDefault="005921B2" w:rsidP="00AC1A5B">
      <w:pPr>
        <w:spacing w:after="0"/>
        <w:rPr>
          <w:rFonts w:ascii="Times New Roman" w:hAnsi="Times New Roman"/>
          <w:lang w:val="en-US"/>
        </w:rPr>
      </w:pPr>
      <w:r w:rsidRPr="00AC1A5B">
        <w:rPr>
          <w:rFonts w:ascii="Times New Roman" w:hAnsi="Times New Roman"/>
          <w:lang w:val="en-US"/>
        </w:rPr>
        <w:t>*P &lt; 0.05</w:t>
      </w:r>
    </w:p>
    <w:sectPr w:rsidR="00CD66F1" w:rsidRPr="00AC1A5B" w:rsidSect="008549B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688A" w14:textId="77777777" w:rsidR="00390FAA" w:rsidRDefault="00390FAA" w:rsidP="000952A1">
      <w:pPr>
        <w:spacing w:after="0" w:line="240" w:lineRule="auto"/>
      </w:pPr>
      <w:r>
        <w:separator/>
      </w:r>
    </w:p>
  </w:endnote>
  <w:endnote w:type="continuationSeparator" w:id="0">
    <w:p w14:paraId="39D99911" w14:textId="77777777" w:rsidR="00390FAA" w:rsidRDefault="00390FAA" w:rsidP="0009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332445"/>
      <w:docPartObj>
        <w:docPartGallery w:val="Page Numbers (Bottom of Page)"/>
        <w:docPartUnique/>
      </w:docPartObj>
    </w:sdtPr>
    <w:sdtEndPr/>
    <w:sdtContent>
      <w:p w14:paraId="018E6344" w14:textId="5FD0C6A6" w:rsidR="00390FAA" w:rsidRDefault="00390F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85">
          <w:rPr>
            <w:noProof/>
          </w:rPr>
          <w:t>2</w:t>
        </w:r>
        <w:r>
          <w:fldChar w:fldCharType="end"/>
        </w:r>
      </w:p>
    </w:sdtContent>
  </w:sdt>
  <w:p w14:paraId="4E82CFF0" w14:textId="77777777" w:rsidR="00390FAA" w:rsidRDefault="00390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B207" w14:textId="77777777" w:rsidR="00390FAA" w:rsidRDefault="00390FAA" w:rsidP="000952A1">
      <w:pPr>
        <w:spacing w:after="0" w:line="240" w:lineRule="auto"/>
      </w:pPr>
      <w:r>
        <w:separator/>
      </w:r>
    </w:p>
  </w:footnote>
  <w:footnote w:type="continuationSeparator" w:id="0">
    <w:p w14:paraId="462F1B2A" w14:textId="77777777" w:rsidR="00390FAA" w:rsidRDefault="00390FAA" w:rsidP="00095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4"/>
    <w:rsid w:val="0001320F"/>
    <w:rsid w:val="000269DD"/>
    <w:rsid w:val="000952A1"/>
    <w:rsid w:val="0009742D"/>
    <w:rsid w:val="000E5985"/>
    <w:rsid w:val="00105EEF"/>
    <w:rsid w:val="001075D7"/>
    <w:rsid w:val="00116F76"/>
    <w:rsid w:val="001814C4"/>
    <w:rsid w:val="00197523"/>
    <w:rsid w:val="001B38AF"/>
    <w:rsid w:val="001E4997"/>
    <w:rsid w:val="002027E0"/>
    <w:rsid w:val="002259AA"/>
    <w:rsid w:val="00232D23"/>
    <w:rsid w:val="00246DCC"/>
    <w:rsid w:val="00273768"/>
    <w:rsid w:val="00284410"/>
    <w:rsid w:val="00297036"/>
    <w:rsid w:val="002A2B01"/>
    <w:rsid w:val="002A6795"/>
    <w:rsid w:val="002F6B41"/>
    <w:rsid w:val="00352B4D"/>
    <w:rsid w:val="00390FAA"/>
    <w:rsid w:val="003A59E9"/>
    <w:rsid w:val="003A6611"/>
    <w:rsid w:val="003E456E"/>
    <w:rsid w:val="003F1832"/>
    <w:rsid w:val="00400C09"/>
    <w:rsid w:val="004038F2"/>
    <w:rsid w:val="00447BF1"/>
    <w:rsid w:val="004660A1"/>
    <w:rsid w:val="0046765E"/>
    <w:rsid w:val="004B1AD3"/>
    <w:rsid w:val="004E54D9"/>
    <w:rsid w:val="004E5F6B"/>
    <w:rsid w:val="00523342"/>
    <w:rsid w:val="00536F45"/>
    <w:rsid w:val="005378B8"/>
    <w:rsid w:val="00587E5B"/>
    <w:rsid w:val="005921B2"/>
    <w:rsid w:val="006432BF"/>
    <w:rsid w:val="006B39BB"/>
    <w:rsid w:val="0070022B"/>
    <w:rsid w:val="00701109"/>
    <w:rsid w:val="00713AB7"/>
    <w:rsid w:val="007A01D0"/>
    <w:rsid w:val="007A65F3"/>
    <w:rsid w:val="007B25D7"/>
    <w:rsid w:val="007E7B49"/>
    <w:rsid w:val="00850585"/>
    <w:rsid w:val="008549B2"/>
    <w:rsid w:val="0089334A"/>
    <w:rsid w:val="009336C2"/>
    <w:rsid w:val="00974D61"/>
    <w:rsid w:val="00992121"/>
    <w:rsid w:val="00994879"/>
    <w:rsid w:val="009C55DC"/>
    <w:rsid w:val="009E3DF6"/>
    <w:rsid w:val="009F17F1"/>
    <w:rsid w:val="00A1102C"/>
    <w:rsid w:val="00A3073B"/>
    <w:rsid w:val="00A66E03"/>
    <w:rsid w:val="00A96187"/>
    <w:rsid w:val="00AB32C0"/>
    <w:rsid w:val="00AC1A5B"/>
    <w:rsid w:val="00AF1136"/>
    <w:rsid w:val="00B27CBB"/>
    <w:rsid w:val="00B525EF"/>
    <w:rsid w:val="00B52EF9"/>
    <w:rsid w:val="00B554B7"/>
    <w:rsid w:val="00B71D81"/>
    <w:rsid w:val="00B73ED6"/>
    <w:rsid w:val="00BA461B"/>
    <w:rsid w:val="00BC1BAC"/>
    <w:rsid w:val="00C01834"/>
    <w:rsid w:val="00C0705C"/>
    <w:rsid w:val="00C07433"/>
    <w:rsid w:val="00C35B22"/>
    <w:rsid w:val="00C45256"/>
    <w:rsid w:val="00C63E03"/>
    <w:rsid w:val="00C811A5"/>
    <w:rsid w:val="00CB027A"/>
    <w:rsid w:val="00CB0AD0"/>
    <w:rsid w:val="00CB4272"/>
    <w:rsid w:val="00CC3FB8"/>
    <w:rsid w:val="00CD4190"/>
    <w:rsid w:val="00CD66F1"/>
    <w:rsid w:val="00CF38D7"/>
    <w:rsid w:val="00D30703"/>
    <w:rsid w:val="00D379B2"/>
    <w:rsid w:val="00DA6182"/>
    <w:rsid w:val="00E14E17"/>
    <w:rsid w:val="00E17485"/>
    <w:rsid w:val="00E45BDB"/>
    <w:rsid w:val="00E57D00"/>
    <w:rsid w:val="00E603EF"/>
    <w:rsid w:val="00E655F3"/>
    <w:rsid w:val="00E70FF5"/>
    <w:rsid w:val="00E82888"/>
    <w:rsid w:val="00E90F43"/>
    <w:rsid w:val="00F64B57"/>
    <w:rsid w:val="00F81452"/>
    <w:rsid w:val="00FD0D6A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92D"/>
  <w15:chartTrackingRefBased/>
  <w15:docId w15:val="{D6B8D139-BC47-4D11-A101-6E0DE45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1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E456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2A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9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2A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7A01D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11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11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110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1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109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109"/>
    <w:rPr>
      <w:rFonts w:ascii="Segoe UI" w:eastAsia="Calibr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E82888"/>
    <w:pPr>
      <w:spacing w:before="360" w:after="120" w:line="259" w:lineRule="auto"/>
    </w:pPr>
    <w:rPr>
      <w:rFonts w:eastAsia="MS Mincho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E82888"/>
    <w:rPr>
      <w:rFonts w:ascii="Calibri" w:eastAsia="MS Mincho" w:hAnsi="Calibri" w:cs="Arial"/>
      <w:b/>
      <w:sz w:val="28"/>
    </w:rPr>
  </w:style>
  <w:style w:type="paragraph" w:customStyle="1" w:styleId="Author">
    <w:name w:val="Author"/>
    <w:basedOn w:val="Standard"/>
    <w:qFormat/>
    <w:rsid w:val="00E82888"/>
    <w:pPr>
      <w:spacing w:after="160" w:line="259" w:lineRule="auto"/>
    </w:pPr>
    <w:rPr>
      <w:rFonts w:asciiTheme="minorHAnsi" w:eastAsiaTheme="minorHAnsi" w:hAnsiTheme="minorHAnsi" w:cstheme="minorBidi"/>
      <w:i/>
    </w:rPr>
  </w:style>
  <w:style w:type="paragraph" w:customStyle="1" w:styleId="Tables">
    <w:name w:val="Tables"/>
    <w:basedOn w:val="Standard"/>
    <w:rsid w:val="00536F45"/>
    <w:pPr>
      <w:suppressAutoHyphens/>
      <w:spacing w:after="160" w:line="259" w:lineRule="auto"/>
    </w:pPr>
    <w:rPr>
      <w:rFonts w:eastAsia="Times New Roman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AA44-48D1-46E9-BD58-748B5C4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Hein</dc:creator>
  <cp:keywords/>
  <dc:description/>
  <cp:lastModifiedBy>Rebecca Roth</cp:lastModifiedBy>
  <cp:revision>2</cp:revision>
  <dcterms:created xsi:type="dcterms:W3CDTF">2019-12-09T12:37:00Z</dcterms:created>
  <dcterms:modified xsi:type="dcterms:W3CDTF">2019-12-09T12:37:00Z</dcterms:modified>
</cp:coreProperties>
</file>