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E2970" w14:textId="298D8041" w:rsidR="00900FFB" w:rsidRPr="00900FFB" w:rsidRDefault="00900FFB" w:rsidP="00900FFB">
      <w:pPr>
        <w:jc w:val="center"/>
        <w:rPr>
          <w:b/>
          <w:lang w:val="en-US"/>
        </w:rPr>
      </w:pPr>
      <w:bookmarkStart w:id="0" w:name="_GoBack"/>
      <w:r w:rsidRPr="00900FFB">
        <w:rPr>
          <w:b/>
          <w:lang w:val="en-US"/>
        </w:rPr>
        <w:t>SUPPLEMENTARY MATERIAL</w:t>
      </w:r>
    </w:p>
    <w:bookmarkEnd w:id="0"/>
    <w:p w14:paraId="0AF892EB" w14:textId="77777777" w:rsidR="00900FFB" w:rsidRDefault="00900FFB" w:rsidP="005500DE">
      <w:pPr>
        <w:rPr>
          <w:lang w:val="en-US"/>
        </w:rPr>
      </w:pPr>
    </w:p>
    <w:p w14:paraId="7CA2814E" w14:textId="69054F44" w:rsidR="005500DE" w:rsidRPr="00900FFB" w:rsidRDefault="005500DE" w:rsidP="005500DE">
      <w:pPr>
        <w:rPr>
          <w:lang w:val="en-US"/>
        </w:rPr>
      </w:pPr>
      <w:r w:rsidRPr="00900FFB">
        <w:rPr>
          <w:lang w:val="en-US"/>
        </w:rPr>
        <w:t>Figure 1. Types of microorganisms cultured among different specimens</w:t>
      </w:r>
      <w:r w:rsidR="001667CB" w:rsidRPr="00900FFB">
        <w:rPr>
          <w:lang w:val="en-US"/>
        </w:rPr>
        <w:t>: bladder urine culture (n= 22), renal pelvic urine culture (n= 26), stone fragmentation urine culture (n= 17), stone culture (n= 30)</w:t>
      </w:r>
    </w:p>
    <w:p w14:paraId="0147963C" w14:textId="77777777" w:rsidR="005500DE" w:rsidRPr="00912DA1" w:rsidRDefault="005500DE" w:rsidP="005500DE">
      <w:pPr>
        <w:jc w:val="both"/>
        <w:outlineLvl w:val="0"/>
        <w:rPr>
          <w:rFonts w:ascii="Arial" w:hAnsi="Arial" w:cs="Arial"/>
          <w:lang w:val="en-US"/>
        </w:rPr>
      </w:pPr>
      <w:r w:rsidRPr="00222AE1">
        <w:rPr>
          <w:rFonts w:ascii="Arial" w:hAnsi="Arial" w:cs="Arial"/>
          <w:noProof/>
        </w:rPr>
        <w:drawing>
          <wp:inline distT="0" distB="0" distL="0" distR="0" wp14:anchorId="6E626B69" wp14:editId="50BF9C35">
            <wp:extent cx="6118860" cy="4591685"/>
            <wp:effectExtent l="0" t="0" r="254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5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B29E1" w14:textId="77777777" w:rsidR="005500DE" w:rsidRDefault="005500DE" w:rsidP="005500DE">
      <w:pPr>
        <w:rPr>
          <w:lang w:val="en-US"/>
        </w:rPr>
      </w:pPr>
    </w:p>
    <w:p w14:paraId="796A5E03" w14:textId="77777777" w:rsidR="000D2FC0" w:rsidRDefault="000D2FC0" w:rsidP="00026559">
      <w:pPr>
        <w:jc w:val="both"/>
        <w:rPr>
          <w:rFonts w:ascii="Arial" w:hAnsi="Arial" w:cs="Arial"/>
          <w:lang w:val="en-US"/>
        </w:rPr>
      </w:pPr>
    </w:p>
    <w:p w14:paraId="7F6E0DDC" w14:textId="77777777" w:rsidR="00026559" w:rsidRPr="00900FFB" w:rsidRDefault="00026559" w:rsidP="00026559">
      <w:pPr>
        <w:jc w:val="both"/>
        <w:rPr>
          <w:lang w:val="en-US"/>
        </w:rPr>
      </w:pPr>
      <w:r w:rsidRPr="00900FFB">
        <w:rPr>
          <w:lang w:val="en-US"/>
        </w:rPr>
        <w:t>Table 1. Univariate analysis of risk factors for positive stone culture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1284"/>
      </w:tblGrid>
      <w:tr w:rsidR="00026559" w:rsidRPr="00900FFB" w14:paraId="67BDB56A" w14:textId="77777777" w:rsidTr="003453B4">
        <w:tc>
          <w:tcPr>
            <w:tcW w:w="5091" w:type="dxa"/>
          </w:tcPr>
          <w:p w14:paraId="3C16B625" w14:textId="77777777" w:rsidR="00026559" w:rsidRPr="00900FFB" w:rsidRDefault="00026559" w:rsidP="003453B4">
            <w:pPr>
              <w:jc w:val="both"/>
              <w:rPr>
                <w:rFonts w:eastAsia="SimSun"/>
                <w:b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b/>
                <w:color w:val="000000"/>
                <w:kern w:val="3"/>
                <w:lang w:val="en-US" w:eastAsia="zh-CN" w:bidi="hi-IN"/>
              </w:rPr>
              <w:t>VARIABLES</w:t>
            </w:r>
          </w:p>
        </w:tc>
        <w:tc>
          <w:tcPr>
            <w:tcW w:w="1284" w:type="dxa"/>
          </w:tcPr>
          <w:p w14:paraId="4E5681C8" w14:textId="77777777" w:rsidR="00026559" w:rsidRPr="00900FFB" w:rsidRDefault="00026559" w:rsidP="003453B4">
            <w:pPr>
              <w:jc w:val="center"/>
              <w:rPr>
                <w:rFonts w:eastAsia="SimSun"/>
                <w:b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b/>
                <w:color w:val="000000"/>
                <w:kern w:val="3"/>
                <w:lang w:val="en-US" w:eastAsia="zh-CN" w:bidi="hi-IN"/>
              </w:rPr>
              <w:t>p-value</w:t>
            </w:r>
          </w:p>
        </w:tc>
      </w:tr>
      <w:tr w:rsidR="00026559" w:rsidRPr="00900FFB" w14:paraId="72659F4A" w14:textId="77777777" w:rsidTr="003453B4">
        <w:trPr>
          <w:trHeight w:val="936"/>
        </w:trPr>
        <w:tc>
          <w:tcPr>
            <w:tcW w:w="5091" w:type="dxa"/>
          </w:tcPr>
          <w:p w14:paraId="73E58297" w14:textId="77777777" w:rsidR="00026559" w:rsidRPr="00900FFB" w:rsidRDefault="00026559" w:rsidP="003453B4">
            <w:pPr>
              <w:jc w:val="both"/>
              <w:rPr>
                <w:rFonts w:eastAsia="SimSun"/>
                <w:i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i/>
                <w:color w:val="000000"/>
                <w:kern w:val="3"/>
                <w:lang w:val="en-US" w:eastAsia="zh-CN" w:bidi="hi-IN"/>
              </w:rPr>
              <w:t xml:space="preserve">Patient related </w:t>
            </w:r>
          </w:p>
          <w:p w14:paraId="46CFC7F3" w14:textId="77777777" w:rsidR="00026559" w:rsidRPr="00900FFB" w:rsidRDefault="00026559" w:rsidP="003453B4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age </w:t>
            </w:r>
          </w:p>
          <w:p w14:paraId="2C36A11A" w14:textId="4923207F" w:rsidR="00026559" w:rsidRPr="00900FFB" w:rsidRDefault="00E0514F" w:rsidP="003453B4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- Body mass index</w:t>
            </w:r>
          </w:p>
          <w:p w14:paraId="46CF2488" w14:textId="64DF93B2" w:rsidR="00026559" w:rsidRPr="00900FFB" w:rsidRDefault="00026559" w:rsidP="003453B4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</w:t>
            </w:r>
            <w:r w:rsidR="00E0514F"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Charlson Comorbidity Index</w:t>
            </w:r>
          </w:p>
          <w:p w14:paraId="13B95731" w14:textId="77777777" w:rsidR="00026559" w:rsidRPr="00900FFB" w:rsidRDefault="00026559" w:rsidP="003453B4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gender </w:t>
            </w:r>
          </w:p>
          <w:p w14:paraId="4852A7DA" w14:textId="77777777" w:rsidR="00026559" w:rsidRPr="00900FFB" w:rsidRDefault="00026559" w:rsidP="003453B4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- diabetes</w:t>
            </w:r>
          </w:p>
          <w:p w14:paraId="25FE20C0" w14:textId="77777777" w:rsidR="00026559" w:rsidRPr="00900FFB" w:rsidRDefault="00026559" w:rsidP="003453B4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previous surgery </w:t>
            </w:r>
          </w:p>
          <w:p w14:paraId="213B3553" w14:textId="77777777" w:rsidR="00026559" w:rsidRPr="00900FFB" w:rsidRDefault="00026559" w:rsidP="003453B4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pre-operative nephrostomy tube </w:t>
            </w:r>
          </w:p>
          <w:p w14:paraId="7779873E" w14:textId="77777777" w:rsidR="00026559" w:rsidRPr="00900FFB" w:rsidRDefault="00026559" w:rsidP="003453B4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pre-operative stent </w:t>
            </w:r>
          </w:p>
        </w:tc>
        <w:tc>
          <w:tcPr>
            <w:tcW w:w="1284" w:type="dxa"/>
          </w:tcPr>
          <w:p w14:paraId="0C464A6A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</w:p>
          <w:p w14:paraId="7FA185C4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0,9</w:t>
            </w:r>
          </w:p>
          <w:p w14:paraId="7295B86C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0,052</w:t>
            </w:r>
          </w:p>
          <w:p w14:paraId="74D0E9C3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0,4</w:t>
            </w:r>
          </w:p>
          <w:p w14:paraId="0DA4D8A7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0,055</w:t>
            </w:r>
          </w:p>
          <w:p w14:paraId="0818270F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0,065</w:t>
            </w:r>
          </w:p>
          <w:p w14:paraId="219F1A41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0,2</w:t>
            </w:r>
          </w:p>
          <w:p w14:paraId="6FBF051B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0,036</w:t>
            </w:r>
          </w:p>
          <w:p w14:paraId="0E33C051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0,8</w:t>
            </w:r>
          </w:p>
        </w:tc>
      </w:tr>
      <w:tr w:rsidR="00026559" w:rsidRPr="00900FFB" w14:paraId="156F15F7" w14:textId="77777777" w:rsidTr="003453B4">
        <w:tc>
          <w:tcPr>
            <w:tcW w:w="5091" w:type="dxa"/>
          </w:tcPr>
          <w:p w14:paraId="3F9CDF1B" w14:textId="77777777" w:rsidR="00026559" w:rsidRPr="00900FFB" w:rsidRDefault="00026559" w:rsidP="003453B4">
            <w:pPr>
              <w:jc w:val="both"/>
              <w:rPr>
                <w:rFonts w:eastAsia="SimSun"/>
                <w:i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i/>
                <w:color w:val="000000"/>
                <w:kern w:val="3"/>
                <w:lang w:val="en-US" w:eastAsia="zh-CN" w:bidi="hi-IN"/>
              </w:rPr>
              <w:t xml:space="preserve">Stone related </w:t>
            </w:r>
          </w:p>
          <w:p w14:paraId="0027E727" w14:textId="77777777" w:rsidR="00026559" w:rsidRPr="00900FFB" w:rsidRDefault="00026559" w:rsidP="003453B4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maximum stone diameter  </w:t>
            </w:r>
          </w:p>
          <w:p w14:paraId="15DB7C91" w14:textId="75FA4FB7" w:rsidR="00026559" w:rsidRPr="00900FFB" w:rsidRDefault="00026559" w:rsidP="003453B4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- H</w:t>
            </w:r>
            <w:r w:rsidR="00E0514F"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ounsfield Units</w:t>
            </w:r>
          </w:p>
          <w:p w14:paraId="20467F66" w14:textId="77777777" w:rsidR="00026559" w:rsidRPr="00900FFB" w:rsidRDefault="00026559" w:rsidP="003453B4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multiple stones </w:t>
            </w:r>
          </w:p>
          <w:p w14:paraId="4B924127" w14:textId="77777777" w:rsidR="00026559" w:rsidRPr="00900FFB" w:rsidRDefault="00026559" w:rsidP="003453B4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staghorn calculi  </w:t>
            </w:r>
          </w:p>
          <w:p w14:paraId="44DA6410" w14:textId="77777777" w:rsidR="00026559" w:rsidRPr="00900FFB" w:rsidRDefault="00026559" w:rsidP="003453B4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- stone composition (infectious stones)</w:t>
            </w:r>
          </w:p>
        </w:tc>
        <w:tc>
          <w:tcPr>
            <w:tcW w:w="1284" w:type="dxa"/>
          </w:tcPr>
          <w:p w14:paraId="093D8D10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</w:p>
          <w:p w14:paraId="19594AB9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0,002</w:t>
            </w:r>
          </w:p>
          <w:p w14:paraId="11945F9F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0,4</w:t>
            </w:r>
          </w:p>
          <w:p w14:paraId="04250406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0,2</w:t>
            </w:r>
          </w:p>
          <w:p w14:paraId="1B180292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&lt;0,001</w:t>
            </w:r>
          </w:p>
          <w:p w14:paraId="03274AD9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0,03</w:t>
            </w:r>
          </w:p>
        </w:tc>
      </w:tr>
      <w:tr w:rsidR="00026559" w:rsidRPr="00900FFB" w14:paraId="04C3A580" w14:textId="77777777" w:rsidTr="003453B4">
        <w:trPr>
          <w:trHeight w:val="250"/>
        </w:trPr>
        <w:tc>
          <w:tcPr>
            <w:tcW w:w="5091" w:type="dxa"/>
          </w:tcPr>
          <w:p w14:paraId="61AA61DF" w14:textId="77777777" w:rsidR="00026559" w:rsidRPr="00900FFB" w:rsidRDefault="00026559" w:rsidP="003453B4">
            <w:pPr>
              <w:jc w:val="both"/>
              <w:rPr>
                <w:rFonts w:eastAsia="SimSun"/>
                <w:i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i/>
                <w:color w:val="000000"/>
                <w:kern w:val="3"/>
                <w:lang w:val="en-US" w:eastAsia="zh-CN" w:bidi="hi-IN"/>
              </w:rPr>
              <w:t xml:space="preserve">Surgery related </w:t>
            </w:r>
          </w:p>
          <w:p w14:paraId="6079A13E" w14:textId="77777777" w:rsidR="00026559" w:rsidRPr="00900FFB" w:rsidRDefault="00026559" w:rsidP="003453B4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lastRenderedPageBreak/>
              <w:t xml:space="preserve">- surgery (PCNL)  </w:t>
            </w:r>
          </w:p>
          <w:p w14:paraId="352BC3AE" w14:textId="77777777" w:rsidR="00026559" w:rsidRPr="00900FFB" w:rsidRDefault="00026559" w:rsidP="003453B4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multiple tracts  </w:t>
            </w:r>
          </w:p>
        </w:tc>
        <w:tc>
          <w:tcPr>
            <w:tcW w:w="1284" w:type="dxa"/>
          </w:tcPr>
          <w:p w14:paraId="6AFEC339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</w:p>
          <w:p w14:paraId="4A9459D1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lastRenderedPageBreak/>
              <w:t>0,001</w:t>
            </w:r>
          </w:p>
          <w:p w14:paraId="3846875C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0,8</w:t>
            </w:r>
          </w:p>
        </w:tc>
      </w:tr>
      <w:tr w:rsidR="00026559" w:rsidRPr="00900FFB" w14:paraId="31300ED7" w14:textId="77777777" w:rsidTr="003453B4">
        <w:trPr>
          <w:trHeight w:val="250"/>
        </w:trPr>
        <w:tc>
          <w:tcPr>
            <w:tcW w:w="5091" w:type="dxa"/>
          </w:tcPr>
          <w:p w14:paraId="60B0C124" w14:textId="77777777" w:rsidR="00026559" w:rsidRPr="00900FFB" w:rsidRDefault="00026559" w:rsidP="003453B4">
            <w:pPr>
              <w:jc w:val="both"/>
              <w:rPr>
                <w:rFonts w:eastAsia="SimSun"/>
                <w:i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i/>
                <w:color w:val="000000"/>
                <w:kern w:val="3"/>
                <w:lang w:val="en-US" w:eastAsia="zh-CN" w:bidi="hi-IN"/>
              </w:rPr>
              <w:lastRenderedPageBreak/>
              <w:t>Microbiological variables</w:t>
            </w:r>
          </w:p>
          <w:p w14:paraId="196528CB" w14:textId="77777777" w:rsidR="00E0514F" w:rsidRPr="00900FFB" w:rsidRDefault="00E0514F" w:rsidP="00E0514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- previous urinary tract infection</w:t>
            </w:r>
          </w:p>
          <w:p w14:paraId="58DAB828" w14:textId="77777777" w:rsidR="00E0514F" w:rsidRPr="00900FFB" w:rsidRDefault="00E0514F" w:rsidP="00E0514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positive bladder urine culture </w:t>
            </w:r>
          </w:p>
          <w:p w14:paraId="59D7AA26" w14:textId="77777777" w:rsidR="00E0514F" w:rsidRPr="00900FFB" w:rsidRDefault="00E0514F" w:rsidP="00E0514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positive renal pelvic urine culture </w:t>
            </w:r>
          </w:p>
          <w:p w14:paraId="584DC8D9" w14:textId="59BCE4A0" w:rsidR="00026559" w:rsidRPr="00900FFB" w:rsidRDefault="00E0514F" w:rsidP="003453B4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- positive stone fragmentation urine culture</w:t>
            </w:r>
          </w:p>
        </w:tc>
        <w:tc>
          <w:tcPr>
            <w:tcW w:w="1284" w:type="dxa"/>
          </w:tcPr>
          <w:p w14:paraId="3B1F149C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</w:p>
          <w:p w14:paraId="32666E1A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&lt;0,001</w:t>
            </w:r>
          </w:p>
          <w:p w14:paraId="1E9AB596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&lt;0,001</w:t>
            </w:r>
          </w:p>
          <w:p w14:paraId="303502AD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&lt;0,001</w:t>
            </w:r>
          </w:p>
          <w:p w14:paraId="7CB46FC0" w14:textId="77777777" w:rsidR="00026559" w:rsidRPr="00900FFB" w:rsidRDefault="00026559" w:rsidP="003453B4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&lt;0,001</w:t>
            </w:r>
          </w:p>
        </w:tc>
      </w:tr>
    </w:tbl>
    <w:p w14:paraId="1BB60BC6" w14:textId="77777777" w:rsidR="00026559" w:rsidRPr="00900FFB" w:rsidRDefault="00026559" w:rsidP="00026559">
      <w:pPr>
        <w:jc w:val="both"/>
        <w:rPr>
          <w:rFonts w:eastAsia="SimSun"/>
          <w:color w:val="000000"/>
          <w:kern w:val="3"/>
          <w:lang w:val="en-US" w:eastAsia="zh-CN" w:bidi="hi-IN"/>
        </w:rPr>
      </w:pPr>
    </w:p>
    <w:p w14:paraId="31EE7137" w14:textId="77777777" w:rsidR="00026559" w:rsidRPr="00900FFB" w:rsidRDefault="00026559" w:rsidP="00026559">
      <w:pPr>
        <w:jc w:val="both"/>
        <w:rPr>
          <w:rFonts w:eastAsia="SimSun"/>
          <w:color w:val="000000"/>
          <w:kern w:val="3"/>
          <w:lang w:val="en-US" w:eastAsia="zh-CN" w:bidi="hi-IN"/>
        </w:rPr>
      </w:pPr>
    </w:p>
    <w:p w14:paraId="7432478C" w14:textId="20C4B03D" w:rsidR="00924652" w:rsidRPr="00900FFB" w:rsidRDefault="00924652" w:rsidP="00924652">
      <w:pPr>
        <w:rPr>
          <w:lang w:val="en-US"/>
        </w:rPr>
      </w:pPr>
      <w:r w:rsidRPr="00900FFB">
        <w:rPr>
          <w:lang w:val="en-US"/>
        </w:rPr>
        <w:t>Table 2. Univariate analysis of risk factors for SIRS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417"/>
      </w:tblGrid>
      <w:tr w:rsidR="00924652" w:rsidRPr="00900FFB" w14:paraId="78840391" w14:textId="77777777" w:rsidTr="006F42AF">
        <w:tc>
          <w:tcPr>
            <w:tcW w:w="5495" w:type="dxa"/>
          </w:tcPr>
          <w:p w14:paraId="47EFB427" w14:textId="77777777" w:rsidR="00924652" w:rsidRPr="00900FFB" w:rsidRDefault="00924652" w:rsidP="006F42AF">
            <w:pPr>
              <w:jc w:val="both"/>
              <w:rPr>
                <w:rFonts w:eastAsia="SimSun"/>
                <w:b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b/>
                <w:color w:val="000000"/>
                <w:kern w:val="3"/>
                <w:lang w:val="en-US" w:eastAsia="zh-CN" w:bidi="hi-IN"/>
              </w:rPr>
              <w:t>VARIABLES</w:t>
            </w:r>
          </w:p>
        </w:tc>
        <w:tc>
          <w:tcPr>
            <w:tcW w:w="1417" w:type="dxa"/>
          </w:tcPr>
          <w:p w14:paraId="51DF2464" w14:textId="77777777" w:rsidR="00924652" w:rsidRPr="00900FFB" w:rsidRDefault="00924652" w:rsidP="006F42AF">
            <w:pPr>
              <w:jc w:val="center"/>
              <w:rPr>
                <w:rFonts w:eastAsia="SimSun"/>
                <w:b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b/>
                <w:color w:val="000000"/>
                <w:kern w:val="3"/>
                <w:lang w:val="en-US" w:eastAsia="zh-CN" w:bidi="hi-IN"/>
              </w:rPr>
              <w:t>p-value</w:t>
            </w:r>
          </w:p>
        </w:tc>
      </w:tr>
      <w:tr w:rsidR="00924652" w:rsidRPr="00900FFB" w14:paraId="6EF24C92" w14:textId="77777777" w:rsidTr="006F42AF">
        <w:trPr>
          <w:trHeight w:val="1522"/>
        </w:trPr>
        <w:tc>
          <w:tcPr>
            <w:tcW w:w="5495" w:type="dxa"/>
          </w:tcPr>
          <w:p w14:paraId="7B89B973" w14:textId="77777777" w:rsidR="00924652" w:rsidRPr="00900FFB" w:rsidRDefault="00924652" w:rsidP="006F42AF">
            <w:pPr>
              <w:jc w:val="both"/>
              <w:rPr>
                <w:rFonts w:eastAsia="SimSun"/>
                <w:i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i/>
                <w:color w:val="000000"/>
                <w:kern w:val="3"/>
                <w:lang w:val="en-US" w:eastAsia="zh-CN" w:bidi="hi-IN"/>
              </w:rPr>
              <w:t xml:space="preserve">Patient related </w:t>
            </w:r>
          </w:p>
          <w:p w14:paraId="6D9C60A5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age </w:t>
            </w:r>
          </w:p>
          <w:p w14:paraId="23347B20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Body mass index </w:t>
            </w:r>
          </w:p>
          <w:p w14:paraId="2F6444BB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- Charlson Comorbidity Index</w:t>
            </w:r>
          </w:p>
          <w:p w14:paraId="34AD8610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gender </w:t>
            </w:r>
          </w:p>
          <w:p w14:paraId="7FFCDC44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- diabetes</w:t>
            </w:r>
          </w:p>
          <w:p w14:paraId="229B0F58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previous surgery </w:t>
            </w:r>
          </w:p>
          <w:p w14:paraId="31A87983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pre-operative nephrostomy tube </w:t>
            </w:r>
          </w:p>
          <w:p w14:paraId="274A6890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pre-operative stent </w:t>
            </w:r>
          </w:p>
        </w:tc>
        <w:tc>
          <w:tcPr>
            <w:tcW w:w="1417" w:type="dxa"/>
          </w:tcPr>
          <w:p w14:paraId="6C9A2B36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</w:p>
          <w:p w14:paraId="71789AB8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0,08</w:t>
            </w:r>
          </w:p>
          <w:p w14:paraId="3AD47875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0,85</w:t>
            </w:r>
          </w:p>
          <w:p w14:paraId="041E04D6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0,59</w:t>
            </w:r>
          </w:p>
          <w:p w14:paraId="0EAC418A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0,946</w:t>
            </w:r>
          </w:p>
          <w:p w14:paraId="015AFCAA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0,059</w:t>
            </w:r>
          </w:p>
          <w:p w14:paraId="1A9BBBB5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0,534</w:t>
            </w:r>
          </w:p>
          <w:p w14:paraId="637CE033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0,229</w:t>
            </w:r>
          </w:p>
          <w:p w14:paraId="48B1FAE0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0,712</w:t>
            </w:r>
          </w:p>
        </w:tc>
      </w:tr>
      <w:tr w:rsidR="00924652" w:rsidRPr="00900FFB" w14:paraId="582195FD" w14:textId="77777777" w:rsidTr="006F42AF">
        <w:tc>
          <w:tcPr>
            <w:tcW w:w="5495" w:type="dxa"/>
          </w:tcPr>
          <w:p w14:paraId="60707E24" w14:textId="77777777" w:rsidR="00924652" w:rsidRPr="00900FFB" w:rsidRDefault="00924652" w:rsidP="006F42AF">
            <w:pPr>
              <w:jc w:val="both"/>
              <w:rPr>
                <w:rFonts w:eastAsia="SimSun"/>
                <w:i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i/>
                <w:color w:val="000000"/>
                <w:kern w:val="3"/>
                <w:lang w:val="en-US" w:eastAsia="zh-CN" w:bidi="hi-IN"/>
              </w:rPr>
              <w:t xml:space="preserve">Stone related </w:t>
            </w:r>
          </w:p>
          <w:p w14:paraId="56A403B8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maximum stone diameter  </w:t>
            </w:r>
          </w:p>
          <w:p w14:paraId="6D2F7F1C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- Hounsfield Units</w:t>
            </w:r>
          </w:p>
          <w:p w14:paraId="522C4A22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multiple stones </w:t>
            </w:r>
          </w:p>
          <w:p w14:paraId="0824E906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staghorn calculi  </w:t>
            </w:r>
          </w:p>
          <w:p w14:paraId="0B0C4986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- stone composition (infectious stones)</w:t>
            </w:r>
          </w:p>
        </w:tc>
        <w:tc>
          <w:tcPr>
            <w:tcW w:w="1417" w:type="dxa"/>
          </w:tcPr>
          <w:p w14:paraId="716D51F3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</w:p>
          <w:p w14:paraId="09EDC0EE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0,004</w:t>
            </w:r>
          </w:p>
          <w:p w14:paraId="010F2270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0,027</w:t>
            </w:r>
          </w:p>
          <w:p w14:paraId="3CA8CA1A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0,336</w:t>
            </w:r>
          </w:p>
          <w:p w14:paraId="325E0FC1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0,03</w:t>
            </w:r>
          </w:p>
          <w:p w14:paraId="5D8F28EB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0,03</w:t>
            </w:r>
          </w:p>
        </w:tc>
      </w:tr>
      <w:tr w:rsidR="00924652" w:rsidRPr="00900FFB" w14:paraId="62C642E1" w14:textId="77777777" w:rsidTr="006F42AF">
        <w:trPr>
          <w:trHeight w:val="250"/>
        </w:trPr>
        <w:tc>
          <w:tcPr>
            <w:tcW w:w="5495" w:type="dxa"/>
          </w:tcPr>
          <w:p w14:paraId="1B83E3DA" w14:textId="77777777" w:rsidR="00924652" w:rsidRPr="00900FFB" w:rsidRDefault="00924652" w:rsidP="006F42AF">
            <w:pPr>
              <w:jc w:val="both"/>
              <w:rPr>
                <w:rFonts w:eastAsia="SimSun"/>
                <w:i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i/>
                <w:color w:val="000000"/>
                <w:kern w:val="3"/>
                <w:lang w:val="en-US" w:eastAsia="zh-CN" w:bidi="hi-IN"/>
              </w:rPr>
              <w:t xml:space="preserve">Surgery related </w:t>
            </w:r>
          </w:p>
          <w:p w14:paraId="2DC8ECFA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surgery (PCNL) </w:t>
            </w:r>
          </w:p>
          <w:p w14:paraId="1037F0F0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operative time </w:t>
            </w:r>
          </w:p>
          <w:p w14:paraId="4D22F0EB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- intraoperative stone-free status</w:t>
            </w:r>
          </w:p>
          <w:p w14:paraId="50813705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multiple tracts </w:t>
            </w:r>
          </w:p>
          <w:p w14:paraId="082897E2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- blood transfusion</w:t>
            </w:r>
          </w:p>
        </w:tc>
        <w:tc>
          <w:tcPr>
            <w:tcW w:w="1417" w:type="dxa"/>
          </w:tcPr>
          <w:p w14:paraId="18575D25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</w:p>
          <w:p w14:paraId="6A9D1614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0,001</w:t>
            </w:r>
          </w:p>
          <w:p w14:paraId="2764DB9A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0,015</w:t>
            </w:r>
          </w:p>
          <w:p w14:paraId="634970B8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0,05</w:t>
            </w:r>
          </w:p>
          <w:p w14:paraId="13763184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0,02</w:t>
            </w:r>
          </w:p>
          <w:p w14:paraId="3856534B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0,015</w:t>
            </w:r>
          </w:p>
        </w:tc>
      </w:tr>
      <w:tr w:rsidR="00924652" w:rsidRPr="00900FFB" w14:paraId="3E0D7DD8" w14:textId="77777777" w:rsidTr="006F42AF">
        <w:trPr>
          <w:trHeight w:val="1913"/>
        </w:trPr>
        <w:tc>
          <w:tcPr>
            <w:tcW w:w="5495" w:type="dxa"/>
          </w:tcPr>
          <w:p w14:paraId="6B009B63" w14:textId="77777777" w:rsidR="00924652" w:rsidRPr="00900FFB" w:rsidRDefault="00924652" w:rsidP="006F42AF">
            <w:pPr>
              <w:jc w:val="both"/>
              <w:rPr>
                <w:rFonts w:eastAsia="SimSun"/>
                <w:i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i/>
                <w:color w:val="000000"/>
                <w:kern w:val="3"/>
                <w:lang w:val="en-US" w:eastAsia="zh-CN" w:bidi="hi-IN"/>
              </w:rPr>
              <w:t>Microbiological variables</w:t>
            </w:r>
          </w:p>
          <w:p w14:paraId="11560327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- previous urinary tract infection</w:t>
            </w:r>
          </w:p>
          <w:p w14:paraId="2BC3AF15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positive bladder urine culture </w:t>
            </w:r>
          </w:p>
          <w:p w14:paraId="0D209026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 xml:space="preserve">- positive renal pelvic urine culture </w:t>
            </w:r>
          </w:p>
          <w:p w14:paraId="3546BB47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- positive stone fragmentation urine culture</w:t>
            </w:r>
          </w:p>
          <w:p w14:paraId="758B527B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- positive stone culture</w:t>
            </w:r>
          </w:p>
          <w:p w14:paraId="7CE821A8" w14:textId="77777777" w:rsidR="00924652" w:rsidRPr="00900FFB" w:rsidRDefault="00924652" w:rsidP="006F42AF">
            <w:pPr>
              <w:jc w:val="both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- multi-drug resistant bacteria on stone culture</w:t>
            </w:r>
          </w:p>
        </w:tc>
        <w:tc>
          <w:tcPr>
            <w:tcW w:w="1417" w:type="dxa"/>
          </w:tcPr>
          <w:p w14:paraId="7060164D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</w:p>
          <w:p w14:paraId="314473F2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0,053</w:t>
            </w:r>
          </w:p>
          <w:p w14:paraId="2A20DB04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0,08</w:t>
            </w:r>
          </w:p>
          <w:p w14:paraId="497EE299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0,001</w:t>
            </w:r>
          </w:p>
          <w:p w14:paraId="23C7DFA0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0,004</w:t>
            </w:r>
          </w:p>
          <w:p w14:paraId="45DAC103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0,004</w:t>
            </w:r>
          </w:p>
          <w:p w14:paraId="742B594B" w14:textId="77777777" w:rsidR="00924652" w:rsidRPr="00900FFB" w:rsidRDefault="00924652" w:rsidP="006F42AF">
            <w:pPr>
              <w:jc w:val="center"/>
              <w:rPr>
                <w:rFonts w:eastAsia="SimSun"/>
                <w:color w:val="000000"/>
                <w:kern w:val="3"/>
                <w:lang w:val="en-US" w:eastAsia="zh-CN" w:bidi="hi-IN"/>
              </w:rPr>
            </w:pPr>
            <w:r w:rsidRPr="00900FFB">
              <w:rPr>
                <w:rFonts w:eastAsia="SimSun"/>
                <w:color w:val="000000"/>
                <w:kern w:val="3"/>
                <w:lang w:val="en-US" w:eastAsia="zh-CN" w:bidi="hi-IN"/>
              </w:rPr>
              <w:t>0,4</w:t>
            </w:r>
          </w:p>
        </w:tc>
      </w:tr>
    </w:tbl>
    <w:p w14:paraId="26A19B04" w14:textId="77777777" w:rsidR="00924652" w:rsidRPr="00900FFB" w:rsidRDefault="00924652" w:rsidP="00924652">
      <w:pPr>
        <w:jc w:val="both"/>
        <w:rPr>
          <w:rFonts w:eastAsia="SimSun"/>
          <w:color w:val="000000"/>
          <w:kern w:val="3"/>
          <w:lang w:val="en-US" w:eastAsia="zh-CN" w:bidi="hi-IN"/>
        </w:rPr>
      </w:pPr>
    </w:p>
    <w:p w14:paraId="48B58C50" w14:textId="53BDF09E" w:rsidR="001F3EEB" w:rsidRPr="00900FFB" w:rsidRDefault="001F3EEB" w:rsidP="00026559">
      <w:pPr>
        <w:rPr>
          <w:lang w:val="en-US"/>
        </w:rPr>
      </w:pPr>
    </w:p>
    <w:sectPr w:rsidR="001F3EEB" w:rsidRPr="00900FFB" w:rsidSect="007930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A72CC"/>
    <w:multiLevelType w:val="hybridMultilevel"/>
    <w:tmpl w:val="643A7CF6"/>
    <w:lvl w:ilvl="0" w:tplc="9F9E0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0A"/>
    <w:rsid w:val="00026559"/>
    <w:rsid w:val="000827EB"/>
    <w:rsid w:val="000B23F9"/>
    <w:rsid w:val="000D2FC0"/>
    <w:rsid w:val="00105BFD"/>
    <w:rsid w:val="0013643E"/>
    <w:rsid w:val="001667CB"/>
    <w:rsid w:val="00181267"/>
    <w:rsid w:val="001F3EEB"/>
    <w:rsid w:val="00201D36"/>
    <w:rsid w:val="00222AE1"/>
    <w:rsid w:val="0025140B"/>
    <w:rsid w:val="00292345"/>
    <w:rsid w:val="00350359"/>
    <w:rsid w:val="00356680"/>
    <w:rsid w:val="00360BA4"/>
    <w:rsid w:val="00394DA8"/>
    <w:rsid w:val="0047047B"/>
    <w:rsid w:val="004F3478"/>
    <w:rsid w:val="004F4093"/>
    <w:rsid w:val="005235CF"/>
    <w:rsid w:val="00534950"/>
    <w:rsid w:val="00534A5D"/>
    <w:rsid w:val="00544805"/>
    <w:rsid w:val="005500DE"/>
    <w:rsid w:val="00555AFF"/>
    <w:rsid w:val="005830A8"/>
    <w:rsid w:val="00622C95"/>
    <w:rsid w:val="006809BD"/>
    <w:rsid w:val="006A4E7E"/>
    <w:rsid w:val="006B2B79"/>
    <w:rsid w:val="00761FAD"/>
    <w:rsid w:val="00793047"/>
    <w:rsid w:val="007D2EFA"/>
    <w:rsid w:val="00824C0A"/>
    <w:rsid w:val="00825046"/>
    <w:rsid w:val="00863C01"/>
    <w:rsid w:val="008A0168"/>
    <w:rsid w:val="00900FFB"/>
    <w:rsid w:val="00924652"/>
    <w:rsid w:val="00953F00"/>
    <w:rsid w:val="00982909"/>
    <w:rsid w:val="009B0F3A"/>
    <w:rsid w:val="009E1578"/>
    <w:rsid w:val="009E34B4"/>
    <w:rsid w:val="00A53ECB"/>
    <w:rsid w:val="00A84846"/>
    <w:rsid w:val="00AA3126"/>
    <w:rsid w:val="00B421B1"/>
    <w:rsid w:val="00C57F52"/>
    <w:rsid w:val="00CD7DF3"/>
    <w:rsid w:val="00D9337E"/>
    <w:rsid w:val="00DD602B"/>
    <w:rsid w:val="00DF3860"/>
    <w:rsid w:val="00E0514F"/>
    <w:rsid w:val="00E5436D"/>
    <w:rsid w:val="00E74FF3"/>
    <w:rsid w:val="00ED04F3"/>
    <w:rsid w:val="00F702B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A1DF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F3EEB"/>
    <w:rPr>
      <w:rFonts w:ascii="Times New Roman" w:eastAsia="Calibri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EEB"/>
    <w:pPr>
      <w:ind w:left="720"/>
      <w:contextualSpacing/>
    </w:pPr>
  </w:style>
  <w:style w:type="paragraph" w:customStyle="1" w:styleId="TableContents">
    <w:name w:val="Table Contents"/>
    <w:basedOn w:val="Normale"/>
    <w:rsid w:val="001F3EEB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C0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C01"/>
    <w:rPr>
      <w:rFonts w:ascii="Lucida Grande" w:eastAsia="Calibri" w:hAnsi="Lucida Grande" w:cs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702B9"/>
    <w:pPr>
      <w:spacing w:before="100" w:beforeAutospacing="1" w:after="100" w:afterAutospacing="1"/>
    </w:pPr>
    <w:rPr>
      <w:rFonts w:eastAsiaTheme="minorHAnsi"/>
    </w:rPr>
  </w:style>
  <w:style w:type="paragraph" w:styleId="Revisione">
    <w:name w:val="Revision"/>
    <w:hidden/>
    <w:uiPriority w:val="99"/>
    <w:semiHidden/>
    <w:rsid w:val="009E1578"/>
    <w:rPr>
      <w:rFonts w:ascii="Times New Roman" w:eastAsia="Calibri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1607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/>
      <vt:lpstr>Table 1. Clinical and demographic variables of patients and stone’s characterist</vt:lpstr>
      <vt:lpstr>Medians and interquartile ranges (IQR) for continuous variables and frequencies </vt:lpstr>
      <vt:lpstr>°The majority of staghorn stones (86%) were treated with PCNL</vt:lpstr>
      <vt:lpstr>#In cases of multiple stones, all the locations have been counted</vt:lpstr>
      <vt:lpstr>* Included: ureteral stent, nephrostomy tube, ESWL, URS-RIRS and PCNL</vt:lpstr>
      <vt:lpstr>Medians and interquartile ranges (IQR) for continuous variables and frequencies </vt:lpstr>
      <vt:lpstr>* Operative time is considered as the total duration of the procedure (from the </vt:lpstr>
      <vt:lpstr># Included: magnesium ammonium phosphate and carbonate apatite</vt:lpstr>
      <vt:lpstr/>
      <vt:lpstr>Table 3. Predicting stone culture positivity and SIRS using various specimens</vt:lpstr>
      <vt:lpstr/>
      <vt:lpstr>/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elisa.delorenzis@unimi.it</dc:creator>
  <cp:keywords/>
  <dc:description/>
  <cp:lastModifiedBy>elisa.delorenzis@unimi.it</cp:lastModifiedBy>
  <cp:revision>5</cp:revision>
  <dcterms:created xsi:type="dcterms:W3CDTF">2019-04-15T16:38:00Z</dcterms:created>
  <dcterms:modified xsi:type="dcterms:W3CDTF">2020-01-28T09:17:00Z</dcterms:modified>
</cp:coreProperties>
</file>