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7E04" w14:textId="77777777" w:rsidR="00F43BAC" w:rsidRPr="00C00B9A" w:rsidRDefault="00F43BAC" w:rsidP="00F43BAC">
      <w:pPr>
        <w:rPr>
          <w:lang w:val="en-GB"/>
        </w:rPr>
      </w:pPr>
      <w:bookmarkStart w:id="0" w:name="_Hlk47250539"/>
      <w:r w:rsidRPr="00011E2A">
        <w:rPr>
          <w:b/>
          <w:lang w:val="en-GB"/>
        </w:rPr>
        <w:t>Supplementary Table 1:</w:t>
      </w:r>
      <w:r w:rsidRPr="00D42684">
        <w:rPr>
          <w:lang w:val="en-GB"/>
        </w:rPr>
        <w:t xml:space="preserve"> Comparison of patients with incontinence who underwent surgery and who underwent no surgery</w:t>
      </w:r>
      <w:r>
        <w:rPr>
          <w:lang w:val="en-GB"/>
        </w:rPr>
        <w:t xml:space="preserve"> (n=104).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452"/>
        <w:gridCol w:w="1559"/>
        <w:gridCol w:w="1487"/>
        <w:gridCol w:w="1773"/>
        <w:gridCol w:w="987"/>
      </w:tblGrid>
      <w:tr w:rsidR="0044552A" w14:paraId="54A8B1C9" w14:textId="77777777" w:rsidTr="00AF264B">
        <w:tc>
          <w:tcPr>
            <w:tcW w:w="3256" w:type="dxa"/>
            <w:gridSpan w:val="2"/>
          </w:tcPr>
          <w:p w14:paraId="32DF4A17" w14:textId="169DB6CA" w:rsidR="0044552A" w:rsidRPr="00552CF5" w:rsidRDefault="00BC488F" w:rsidP="00722A9E">
            <w:pPr>
              <w:pStyle w:val="NoSpacing"/>
            </w:pPr>
            <w:bookmarkStart w:id="1" w:name="_GoBack"/>
            <w:bookmarkEnd w:id="0"/>
            <w:bookmarkEnd w:id="1"/>
            <w:r>
              <w:t>Variable</w:t>
            </w:r>
          </w:p>
        </w:tc>
        <w:tc>
          <w:tcPr>
            <w:tcW w:w="1559" w:type="dxa"/>
          </w:tcPr>
          <w:p w14:paraId="7C125983" w14:textId="64BDF030" w:rsidR="00BC488F" w:rsidRDefault="0044552A" w:rsidP="00722A9E">
            <w:pPr>
              <w:pStyle w:val="NoSpacing"/>
            </w:pPr>
            <w:r>
              <w:t>All</w:t>
            </w:r>
          </w:p>
          <w:p w14:paraId="3A188692" w14:textId="3E7DD2F2" w:rsidR="0044552A" w:rsidRDefault="0044552A" w:rsidP="00722A9E">
            <w:pPr>
              <w:pStyle w:val="NoSpacing"/>
            </w:pPr>
            <w:r>
              <w:t>(n=104)</w:t>
            </w:r>
          </w:p>
        </w:tc>
        <w:tc>
          <w:tcPr>
            <w:tcW w:w="1487" w:type="dxa"/>
          </w:tcPr>
          <w:p w14:paraId="2C9DE92F" w14:textId="77777777" w:rsidR="00BC488F" w:rsidRDefault="0044552A" w:rsidP="00722A9E">
            <w:pPr>
              <w:pStyle w:val="NoSpacing"/>
            </w:pPr>
            <w:r>
              <w:t xml:space="preserve">Incontinence surgery </w:t>
            </w:r>
          </w:p>
          <w:p w14:paraId="3B2A33D1" w14:textId="6701015B" w:rsidR="0044552A" w:rsidRPr="00552CF5" w:rsidRDefault="0044552A" w:rsidP="00722A9E">
            <w:pPr>
              <w:pStyle w:val="NoSpacing"/>
            </w:pPr>
            <w:r>
              <w:t>(n=26)</w:t>
            </w:r>
          </w:p>
        </w:tc>
        <w:tc>
          <w:tcPr>
            <w:tcW w:w="1773" w:type="dxa"/>
          </w:tcPr>
          <w:p w14:paraId="5859D227" w14:textId="77777777" w:rsidR="00BC488F" w:rsidRDefault="0044552A" w:rsidP="00722A9E">
            <w:pPr>
              <w:pStyle w:val="NoSpacing"/>
            </w:pPr>
            <w:r>
              <w:t xml:space="preserve">No incontinence surgery </w:t>
            </w:r>
          </w:p>
          <w:p w14:paraId="5D129C23" w14:textId="410783D8" w:rsidR="0044552A" w:rsidRPr="00552CF5" w:rsidRDefault="0044552A" w:rsidP="00722A9E">
            <w:pPr>
              <w:pStyle w:val="NoSpacing"/>
            </w:pPr>
            <w:r>
              <w:t xml:space="preserve">(n=78) </w:t>
            </w:r>
          </w:p>
        </w:tc>
        <w:tc>
          <w:tcPr>
            <w:tcW w:w="987" w:type="dxa"/>
          </w:tcPr>
          <w:p w14:paraId="2DFCC1EF" w14:textId="7702738F" w:rsidR="0044552A" w:rsidRPr="00552CF5" w:rsidRDefault="0044552A" w:rsidP="00722A9E">
            <w:pPr>
              <w:pStyle w:val="NoSpacing"/>
            </w:pPr>
            <w:r>
              <w:t>p value</w:t>
            </w:r>
          </w:p>
        </w:tc>
      </w:tr>
      <w:tr w:rsidR="0044552A" w14:paraId="7B2554B4" w14:textId="77777777" w:rsidTr="00AF264B">
        <w:tc>
          <w:tcPr>
            <w:tcW w:w="3256" w:type="dxa"/>
            <w:gridSpan w:val="2"/>
          </w:tcPr>
          <w:p w14:paraId="66B93C31" w14:textId="51720083" w:rsidR="0044552A" w:rsidRPr="00BC488F" w:rsidRDefault="0044552A" w:rsidP="00722A9E">
            <w:pPr>
              <w:pStyle w:val="NoSpacing"/>
              <w:rPr>
                <w:lang w:val="en-GB"/>
              </w:rPr>
            </w:pPr>
            <w:r w:rsidRPr="00BC488F">
              <w:rPr>
                <w:lang w:val="en-GB"/>
              </w:rPr>
              <w:t>Age (years)</w:t>
            </w:r>
            <w:r w:rsidR="00BC488F" w:rsidRPr="00BC488F">
              <w:rPr>
                <w:lang w:val="en-GB"/>
              </w:rPr>
              <w:t xml:space="preserve"> </w:t>
            </w:r>
            <w:r w:rsidR="00BC488F">
              <w:rPr>
                <w:lang w:val="en-GB"/>
              </w:rPr>
              <w:t>[mean</w:t>
            </w:r>
            <w:r w:rsidR="00326F3E">
              <w:rPr>
                <w:lang w:val="en-GB"/>
              </w:rPr>
              <w:t xml:space="preserve"> </w:t>
            </w:r>
            <w:r w:rsidR="00326F3E" w:rsidRPr="00C25B5E">
              <w:rPr>
                <w:rFonts w:cstheme="minorHAnsi"/>
                <w:lang w:val="en-US"/>
              </w:rPr>
              <w:t>± standard deviation</w:t>
            </w:r>
            <w:r w:rsidR="00BC488F">
              <w:rPr>
                <w:lang w:val="en-GB"/>
              </w:rPr>
              <w:t>, median (IQR)]</w:t>
            </w:r>
          </w:p>
        </w:tc>
        <w:tc>
          <w:tcPr>
            <w:tcW w:w="1559" w:type="dxa"/>
          </w:tcPr>
          <w:p w14:paraId="2CB44A67" w14:textId="77777777" w:rsidR="0044552A" w:rsidRDefault="00B32D31" w:rsidP="00722A9E">
            <w:pPr>
              <w:pStyle w:val="NoSpacing"/>
              <w:rPr>
                <w:rFonts w:cstheme="minorHAnsi"/>
              </w:rPr>
            </w:pPr>
            <w:r>
              <w:rPr>
                <w:lang w:val="en-GB"/>
              </w:rPr>
              <w:t xml:space="preserve">66.5 </w:t>
            </w:r>
            <w:r>
              <w:rPr>
                <w:rFonts w:cstheme="minorHAnsi"/>
              </w:rPr>
              <w:t>± 6.8</w:t>
            </w:r>
          </w:p>
          <w:p w14:paraId="4FEAD92B" w14:textId="32E1D64F" w:rsidR="00B32D31" w:rsidRPr="00BC488F" w:rsidRDefault="00B32D31" w:rsidP="00722A9E">
            <w:pPr>
              <w:pStyle w:val="NoSpacing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67.0 (47.0 – 84.0)</w:t>
            </w:r>
          </w:p>
        </w:tc>
        <w:tc>
          <w:tcPr>
            <w:tcW w:w="1487" w:type="dxa"/>
          </w:tcPr>
          <w:p w14:paraId="742F8552" w14:textId="77777777" w:rsidR="0044552A" w:rsidRDefault="0044552A" w:rsidP="00722A9E">
            <w:pPr>
              <w:pStyle w:val="NoSpacing"/>
            </w:pPr>
            <w:r>
              <w:t>65.8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8.8</w:t>
            </w:r>
          </w:p>
          <w:p w14:paraId="6B470B46" w14:textId="6E5D47CB" w:rsidR="00B32D31" w:rsidRPr="00552CF5" w:rsidRDefault="00B32D31" w:rsidP="00722A9E">
            <w:pPr>
              <w:pStyle w:val="NoSpacing"/>
            </w:pPr>
            <w:r>
              <w:t>67.0 (47.0 – 84.0)</w:t>
            </w:r>
          </w:p>
        </w:tc>
        <w:tc>
          <w:tcPr>
            <w:tcW w:w="1773" w:type="dxa"/>
          </w:tcPr>
          <w:p w14:paraId="68FF7FEB" w14:textId="77777777" w:rsidR="0044552A" w:rsidRDefault="0044552A" w:rsidP="000E4CC7">
            <w:pPr>
              <w:pStyle w:val="NoSpacing"/>
            </w:pPr>
            <w:r>
              <w:t>66.7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6.1</w:t>
            </w:r>
          </w:p>
          <w:p w14:paraId="1F8876B7" w14:textId="130F4617" w:rsidR="00B32D31" w:rsidRPr="00552CF5" w:rsidRDefault="00B32D31" w:rsidP="000E4CC7">
            <w:pPr>
              <w:pStyle w:val="NoSpacing"/>
            </w:pPr>
            <w:r>
              <w:t>67.0 (51.0 – 77.0)</w:t>
            </w:r>
          </w:p>
        </w:tc>
        <w:tc>
          <w:tcPr>
            <w:tcW w:w="987" w:type="dxa"/>
          </w:tcPr>
          <w:p w14:paraId="513F0EBD" w14:textId="6967B480" w:rsidR="0044552A" w:rsidRPr="00512CCC" w:rsidRDefault="0044552A" w:rsidP="00722A9E">
            <w:pPr>
              <w:pStyle w:val="NoSpacing"/>
              <w:rPr>
                <w:bCs/>
              </w:rPr>
            </w:pPr>
            <w:r w:rsidRPr="00512CCC">
              <w:rPr>
                <w:bCs/>
              </w:rPr>
              <w:t>0.6</w:t>
            </w:r>
          </w:p>
        </w:tc>
      </w:tr>
      <w:tr w:rsidR="0044552A" w14:paraId="2E830C6C" w14:textId="77777777" w:rsidTr="00AF264B">
        <w:tc>
          <w:tcPr>
            <w:tcW w:w="1804" w:type="dxa"/>
            <w:vMerge w:val="restart"/>
          </w:tcPr>
          <w:p w14:paraId="74FB2430" w14:textId="77777777" w:rsidR="0044552A" w:rsidRDefault="0044552A" w:rsidP="00722A9E">
            <w:pPr>
              <w:pStyle w:val="NoSpacing"/>
              <w:rPr>
                <w:lang w:val="en-GB"/>
              </w:rPr>
            </w:pPr>
            <w:r w:rsidRPr="00A61180">
              <w:rPr>
                <w:lang w:val="en-GB"/>
              </w:rPr>
              <w:t xml:space="preserve">Age adjusted </w:t>
            </w:r>
            <w:proofErr w:type="spellStart"/>
            <w:r w:rsidRPr="00A61180">
              <w:rPr>
                <w:lang w:val="en-GB"/>
              </w:rPr>
              <w:t>Charlson</w:t>
            </w:r>
            <w:proofErr w:type="spellEnd"/>
            <w:r w:rsidRPr="00A61180">
              <w:rPr>
                <w:lang w:val="en-GB"/>
              </w:rPr>
              <w:t xml:space="preserve"> score </w:t>
            </w:r>
          </w:p>
          <w:p w14:paraId="6EFF15AA" w14:textId="47788109" w:rsidR="0044552A" w:rsidRPr="00A61180" w:rsidRDefault="0044552A" w:rsidP="00722A9E">
            <w:pPr>
              <w:pStyle w:val="NoSpacing"/>
              <w:rPr>
                <w:lang w:val="en-GB"/>
              </w:rPr>
            </w:pPr>
            <w:r w:rsidRPr="00A61180">
              <w:rPr>
                <w:lang w:val="en-GB"/>
              </w:rPr>
              <w:t xml:space="preserve">(2 </w:t>
            </w:r>
            <w:proofErr w:type="spellStart"/>
            <w:r w:rsidRPr="00A61180">
              <w:rPr>
                <w:lang w:val="en-GB"/>
              </w:rPr>
              <w:t>m</w:t>
            </w:r>
            <w:r>
              <w:rPr>
                <w:lang w:val="en-GB"/>
              </w:rPr>
              <w:t>issings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452" w:type="dxa"/>
          </w:tcPr>
          <w:p w14:paraId="4AEF05FB" w14:textId="77777777" w:rsidR="0044552A" w:rsidRPr="00552CF5" w:rsidRDefault="0044552A" w:rsidP="00722A9E">
            <w:pPr>
              <w:pStyle w:val="NoSpacing"/>
            </w:pPr>
            <w:r>
              <w:t>0</w:t>
            </w:r>
          </w:p>
        </w:tc>
        <w:tc>
          <w:tcPr>
            <w:tcW w:w="1559" w:type="dxa"/>
          </w:tcPr>
          <w:p w14:paraId="595A43D4" w14:textId="618BB985" w:rsidR="0044552A" w:rsidRDefault="00BC488F" w:rsidP="00722A9E">
            <w:pPr>
              <w:pStyle w:val="NoSpacing"/>
            </w:pPr>
            <w:r>
              <w:t>2 (2%)</w:t>
            </w:r>
          </w:p>
        </w:tc>
        <w:tc>
          <w:tcPr>
            <w:tcW w:w="1487" w:type="dxa"/>
          </w:tcPr>
          <w:p w14:paraId="4EC54553" w14:textId="7F9A3117" w:rsidR="0044552A" w:rsidRPr="00552CF5" w:rsidRDefault="0044552A" w:rsidP="00722A9E">
            <w:pPr>
              <w:pStyle w:val="NoSpacing"/>
            </w:pPr>
            <w:r>
              <w:t>2 (8%)</w:t>
            </w:r>
          </w:p>
        </w:tc>
        <w:tc>
          <w:tcPr>
            <w:tcW w:w="1773" w:type="dxa"/>
          </w:tcPr>
          <w:p w14:paraId="01016483" w14:textId="7F149F15" w:rsidR="0044552A" w:rsidRPr="00A61180" w:rsidRDefault="0044552A" w:rsidP="00722A9E">
            <w:pPr>
              <w:pStyle w:val="NoSpacing"/>
            </w:pPr>
            <w:r w:rsidRPr="00A61180">
              <w:t>0 (0%)</w:t>
            </w:r>
          </w:p>
        </w:tc>
        <w:tc>
          <w:tcPr>
            <w:tcW w:w="987" w:type="dxa"/>
            <w:vMerge w:val="restart"/>
          </w:tcPr>
          <w:p w14:paraId="2D79A386" w14:textId="4A847029" w:rsidR="0044552A" w:rsidRPr="00D13A2A" w:rsidRDefault="0044552A" w:rsidP="00722A9E">
            <w:pPr>
              <w:pStyle w:val="NoSpacing"/>
              <w:rPr>
                <w:bCs/>
              </w:rPr>
            </w:pPr>
            <w:r w:rsidRPr="00D13A2A">
              <w:rPr>
                <w:bCs/>
              </w:rPr>
              <w:t>0.2</w:t>
            </w:r>
          </w:p>
        </w:tc>
      </w:tr>
      <w:tr w:rsidR="0044552A" w14:paraId="484CFE9F" w14:textId="77777777" w:rsidTr="00AF264B">
        <w:tc>
          <w:tcPr>
            <w:tcW w:w="1804" w:type="dxa"/>
            <w:vMerge/>
          </w:tcPr>
          <w:p w14:paraId="748047D0" w14:textId="77777777" w:rsidR="0044552A" w:rsidRPr="00552CF5" w:rsidRDefault="0044552A" w:rsidP="00722A9E">
            <w:pPr>
              <w:pStyle w:val="NoSpacing"/>
            </w:pPr>
          </w:p>
        </w:tc>
        <w:tc>
          <w:tcPr>
            <w:tcW w:w="1452" w:type="dxa"/>
          </w:tcPr>
          <w:p w14:paraId="784FDE13" w14:textId="77777777" w:rsidR="0044552A" w:rsidRPr="00552CF5" w:rsidRDefault="0044552A" w:rsidP="00722A9E">
            <w:pPr>
              <w:pStyle w:val="NoSpacing"/>
            </w:pPr>
            <w:r>
              <w:t>1</w:t>
            </w:r>
          </w:p>
        </w:tc>
        <w:tc>
          <w:tcPr>
            <w:tcW w:w="1559" w:type="dxa"/>
          </w:tcPr>
          <w:p w14:paraId="62FB9AEB" w14:textId="4DFEB2E1" w:rsidR="0044552A" w:rsidRDefault="00BC488F" w:rsidP="00722A9E">
            <w:pPr>
              <w:pStyle w:val="NoSpacing"/>
            </w:pPr>
            <w:r>
              <w:t>14 (14%)</w:t>
            </w:r>
          </w:p>
        </w:tc>
        <w:tc>
          <w:tcPr>
            <w:tcW w:w="1487" w:type="dxa"/>
          </w:tcPr>
          <w:p w14:paraId="2B076987" w14:textId="76E8FB3F" w:rsidR="0044552A" w:rsidRPr="00552CF5" w:rsidRDefault="0044552A" w:rsidP="00722A9E">
            <w:pPr>
              <w:pStyle w:val="NoSpacing"/>
            </w:pPr>
            <w:r>
              <w:t>3 (12%)</w:t>
            </w:r>
          </w:p>
        </w:tc>
        <w:tc>
          <w:tcPr>
            <w:tcW w:w="1773" w:type="dxa"/>
          </w:tcPr>
          <w:p w14:paraId="566825CD" w14:textId="78044881" w:rsidR="0044552A" w:rsidRPr="00A61180" w:rsidRDefault="0044552A" w:rsidP="00722A9E">
            <w:pPr>
              <w:pStyle w:val="NoSpacing"/>
            </w:pPr>
            <w:r w:rsidRPr="00A61180">
              <w:t>11 (14%)</w:t>
            </w:r>
          </w:p>
        </w:tc>
        <w:tc>
          <w:tcPr>
            <w:tcW w:w="987" w:type="dxa"/>
            <w:vMerge/>
          </w:tcPr>
          <w:p w14:paraId="747F076E" w14:textId="77777777" w:rsidR="0044552A" w:rsidRPr="00552CF5" w:rsidRDefault="0044552A" w:rsidP="00722A9E">
            <w:pPr>
              <w:pStyle w:val="NoSpacing"/>
            </w:pPr>
          </w:p>
        </w:tc>
      </w:tr>
      <w:tr w:rsidR="0044552A" w14:paraId="7B258CA4" w14:textId="77777777" w:rsidTr="00AF264B">
        <w:tc>
          <w:tcPr>
            <w:tcW w:w="1804" w:type="dxa"/>
            <w:vMerge/>
          </w:tcPr>
          <w:p w14:paraId="4CD0F6BF" w14:textId="77777777" w:rsidR="0044552A" w:rsidRPr="00552CF5" w:rsidRDefault="0044552A" w:rsidP="00722A9E">
            <w:pPr>
              <w:pStyle w:val="NoSpacing"/>
            </w:pPr>
          </w:p>
        </w:tc>
        <w:tc>
          <w:tcPr>
            <w:tcW w:w="1452" w:type="dxa"/>
          </w:tcPr>
          <w:p w14:paraId="0796E730" w14:textId="77777777" w:rsidR="0044552A" w:rsidRPr="00552CF5" w:rsidRDefault="0044552A" w:rsidP="00722A9E">
            <w:pPr>
              <w:pStyle w:val="NoSpacing"/>
            </w:pPr>
            <w:r>
              <w:t>2+</w:t>
            </w:r>
          </w:p>
        </w:tc>
        <w:tc>
          <w:tcPr>
            <w:tcW w:w="1559" w:type="dxa"/>
          </w:tcPr>
          <w:p w14:paraId="7DCA6F37" w14:textId="5C5D9634" w:rsidR="0044552A" w:rsidRDefault="00BC488F" w:rsidP="00722A9E">
            <w:pPr>
              <w:pStyle w:val="NoSpacing"/>
            </w:pPr>
            <w:r>
              <w:t>86 (84%)</w:t>
            </w:r>
          </w:p>
        </w:tc>
        <w:tc>
          <w:tcPr>
            <w:tcW w:w="1487" w:type="dxa"/>
          </w:tcPr>
          <w:p w14:paraId="432FE232" w14:textId="69730D19" w:rsidR="0044552A" w:rsidRPr="00552CF5" w:rsidRDefault="0044552A" w:rsidP="00722A9E">
            <w:pPr>
              <w:pStyle w:val="NoSpacing"/>
            </w:pPr>
            <w:r>
              <w:t>21 (80%)</w:t>
            </w:r>
          </w:p>
        </w:tc>
        <w:tc>
          <w:tcPr>
            <w:tcW w:w="1773" w:type="dxa"/>
          </w:tcPr>
          <w:p w14:paraId="1F057620" w14:textId="10C87AA2" w:rsidR="0044552A" w:rsidRPr="00A61180" w:rsidRDefault="0044552A" w:rsidP="00722A9E">
            <w:pPr>
              <w:pStyle w:val="NoSpacing"/>
            </w:pPr>
            <w:r w:rsidRPr="00A61180">
              <w:t>65 (86%)</w:t>
            </w:r>
          </w:p>
        </w:tc>
        <w:tc>
          <w:tcPr>
            <w:tcW w:w="987" w:type="dxa"/>
            <w:vMerge/>
          </w:tcPr>
          <w:p w14:paraId="2F917AEC" w14:textId="77777777" w:rsidR="0044552A" w:rsidRPr="00552CF5" w:rsidRDefault="0044552A" w:rsidP="00722A9E">
            <w:pPr>
              <w:pStyle w:val="NoSpacing"/>
            </w:pPr>
          </w:p>
        </w:tc>
      </w:tr>
      <w:tr w:rsidR="0044552A" w14:paraId="1B6E21D6" w14:textId="77777777" w:rsidTr="00AF264B">
        <w:tc>
          <w:tcPr>
            <w:tcW w:w="1804" w:type="dxa"/>
            <w:vMerge w:val="restart"/>
          </w:tcPr>
          <w:p w14:paraId="6412FCC8" w14:textId="77777777" w:rsidR="0044552A" w:rsidRDefault="0044552A" w:rsidP="000E7042">
            <w:pPr>
              <w:pStyle w:val="NoSpacing"/>
            </w:pPr>
            <w:r>
              <w:t xml:space="preserve">D’Amico score </w:t>
            </w:r>
          </w:p>
          <w:p w14:paraId="740E8DA9" w14:textId="533CF1BF" w:rsidR="0044552A" w:rsidRPr="00552CF5" w:rsidRDefault="0044552A" w:rsidP="000E7042">
            <w:pPr>
              <w:pStyle w:val="NoSpacing"/>
            </w:pPr>
            <w:r>
              <w:t>(1 missing)</w:t>
            </w:r>
          </w:p>
        </w:tc>
        <w:tc>
          <w:tcPr>
            <w:tcW w:w="1452" w:type="dxa"/>
          </w:tcPr>
          <w:p w14:paraId="6D5D7C56" w14:textId="37920703" w:rsidR="0044552A" w:rsidRDefault="0044552A" w:rsidP="00722A9E">
            <w:pPr>
              <w:pStyle w:val="NoSpacing"/>
            </w:pPr>
            <w:r>
              <w:t>low</w:t>
            </w:r>
          </w:p>
        </w:tc>
        <w:tc>
          <w:tcPr>
            <w:tcW w:w="1559" w:type="dxa"/>
          </w:tcPr>
          <w:p w14:paraId="20C9D67F" w14:textId="3227FCD5" w:rsidR="0044552A" w:rsidRDefault="00BC488F" w:rsidP="00722A9E">
            <w:pPr>
              <w:pStyle w:val="NoSpacing"/>
            </w:pPr>
            <w:r>
              <w:t>21 (20%)</w:t>
            </w:r>
          </w:p>
        </w:tc>
        <w:tc>
          <w:tcPr>
            <w:tcW w:w="1487" w:type="dxa"/>
          </w:tcPr>
          <w:p w14:paraId="3677D778" w14:textId="5A1989D7" w:rsidR="0044552A" w:rsidRPr="00552CF5" w:rsidRDefault="0044552A" w:rsidP="00722A9E">
            <w:pPr>
              <w:pStyle w:val="NoSpacing"/>
            </w:pPr>
            <w:r>
              <w:t>6 (23%)</w:t>
            </w:r>
          </w:p>
        </w:tc>
        <w:tc>
          <w:tcPr>
            <w:tcW w:w="1773" w:type="dxa"/>
          </w:tcPr>
          <w:p w14:paraId="2E91E38C" w14:textId="2A60016F" w:rsidR="0044552A" w:rsidRPr="00A61180" w:rsidRDefault="0044552A" w:rsidP="00722A9E">
            <w:pPr>
              <w:pStyle w:val="NoSpacing"/>
            </w:pPr>
            <w:r w:rsidRPr="00A61180">
              <w:t>15</w:t>
            </w:r>
            <w:r>
              <w:t xml:space="preserve"> (19%)</w:t>
            </w:r>
          </w:p>
        </w:tc>
        <w:tc>
          <w:tcPr>
            <w:tcW w:w="987" w:type="dxa"/>
            <w:vMerge w:val="restart"/>
          </w:tcPr>
          <w:p w14:paraId="2DD33A3E" w14:textId="55CFB0AE" w:rsidR="0044552A" w:rsidRPr="00795906" w:rsidRDefault="0044552A" w:rsidP="00722A9E">
            <w:pPr>
              <w:pStyle w:val="NoSpacing"/>
              <w:rPr>
                <w:bCs/>
              </w:rPr>
            </w:pPr>
            <w:r>
              <w:rPr>
                <w:bCs/>
              </w:rPr>
              <w:t>0.9</w:t>
            </w:r>
          </w:p>
        </w:tc>
      </w:tr>
      <w:tr w:rsidR="0044552A" w14:paraId="17592562" w14:textId="77777777" w:rsidTr="00AF264B">
        <w:tc>
          <w:tcPr>
            <w:tcW w:w="1804" w:type="dxa"/>
            <w:vMerge/>
          </w:tcPr>
          <w:p w14:paraId="07298D4A" w14:textId="77777777" w:rsidR="0044552A" w:rsidRPr="00552CF5" w:rsidRDefault="0044552A" w:rsidP="00722A9E">
            <w:pPr>
              <w:pStyle w:val="NoSpacing"/>
            </w:pPr>
          </w:p>
        </w:tc>
        <w:tc>
          <w:tcPr>
            <w:tcW w:w="1452" w:type="dxa"/>
          </w:tcPr>
          <w:p w14:paraId="601DF858" w14:textId="1053ABD4" w:rsidR="0044552A" w:rsidRDefault="0044552A" w:rsidP="00722A9E">
            <w:pPr>
              <w:pStyle w:val="NoSpacing"/>
            </w:pPr>
            <w:r>
              <w:t>intermediate</w:t>
            </w:r>
          </w:p>
        </w:tc>
        <w:tc>
          <w:tcPr>
            <w:tcW w:w="1559" w:type="dxa"/>
          </w:tcPr>
          <w:p w14:paraId="1AE67F8A" w14:textId="7ABA8681" w:rsidR="0044552A" w:rsidRDefault="00BC488F" w:rsidP="00722A9E">
            <w:pPr>
              <w:pStyle w:val="NoSpacing"/>
            </w:pPr>
            <w:r>
              <w:t>38 (37%)</w:t>
            </w:r>
          </w:p>
        </w:tc>
        <w:tc>
          <w:tcPr>
            <w:tcW w:w="1487" w:type="dxa"/>
          </w:tcPr>
          <w:p w14:paraId="78CD251A" w14:textId="7A36945C" w:rsidR="0044552A" w:rsidRPr="00552CF5" w:rsidRDefault="0044552A" w:rsidP="00722A9E">
            <w:pPr>
              <w:pStyle w:val="NoSpacing"/>
            </w:pPr>
            <w:r>
              <w:t>9 (35%)</w:t>
            </w:r>
          </w:p>
        </w:tc>
        <w:tc>
          <w:tcPr>
            <w:tcW w:w="1773" w:type="dxa"/>
          </w:tcPr>
          <w:p w14:paraId="71154E2E" w14:textId="67FFDCE6" w:rsidR="0044552A" w:rsidRPr="00552CF5" w:rsidRDefault="0044552A" w:rsidP="00722A9E">
            <w:pPr>
              <w:pStyle w:val="NoSpacing"/>
            </w:pPr>
            <w:r>
              <w:t>29 (38%)</w:t>
            </w:r>
          </w:p>
        </w:tc>
        <w:tc>
          <w:tcPr>
            <w:tcW w:w="987" w:type="dxa"/>
            <w:vMerge/>
          </w:tcPr>
          <w:p w14:paraId="59651EBD" w14:textId="77777777" w:rsidR="0044552A" w:rsidRPr="00552CF5" w:rsidRDefault="0044552A" w:rsidP="00722A9E">
            <w:pPr>
              <w:pStyle w:val="NoSpacing"/>
            </w:pPr>
          </w:p>
        </w:tc>
      </w:tr>
      <w:tr w:rsidR="0044552A" w14:paraId="31AD0BE1" w14:textId="77777777" w:rsidTr="00AF264B">
        <w:tc>
          <w:tcPr>
            <w:tcW w:w="1804" w:type="dxa"/>
            <w:vMerge/>
          </w:tcPr>
          <w:p w14:paraId="177AFDAC" w14:textId="77777777" w:rsidR="0044552A" w:rsidRPr="00552CF5" w:rsidRDefault="0044552A" w:rsidP="00722A9E">
            <w:pPr>
              <w:pStyle w:val="NoSpacing"/>
            </w:pPr>
          </w:p>
        </w:tc>
        <w:tc>
          <w:tcPr>
            <w:tcW w:w="1452" w:type="dxa"/>
          </w:tcPr>
          <w:p w14:paraId="64626A87" w14:textId="3B8A4100" w:rsidR="0044552A" w:rsidRDefault="0044552A" w:rsidP="00722A9E">
            <w:pPr>
              <w:pStyle w:val="NoSpacing"/>
            </w:pPr>
            <w:r>
              <w:t>high</w:t>
            </w:r>
          </w:p>
        </w:tc>
        <w:tc>
          <w:tcPr>
            <w:tcW w:w="1559" w:type="dxa"/>
          </w:tcPr>
          <w:p w14:paraId="7A15FBEC" w14:textId="61F70560" w:rsidR="0044552A" w:rsidRDefault="00BC488F" w:rsidP="00722A9E">
            <w:pPr>
              <w:pStyle w:val="NoSpacing"/>
            </w:pPr>
            <w:r>
              <w:t>44 (43%)</w:t>
            </w:r>
          </w:p>
        </w:tc>
        <w:tc>
          <w:tcPr>
            <w:tcW w:w="1487" w:type="dxa"/>
          </w:tcPr>
          <w:p w14:paraId="2E9D9BFA" w14:textId="17B79D30" w:rsidR="0044552A" w:rsidRPr="00552CF5" w:rsidRDefault="0044552A" w:rsidP="00722A9E">
            <w:pPr>
              <w:pStyle w:val="NoSpacing"/>
            </w:pPr>
            <w:r>
              <w:t>11 (42%)</w:t>
            </w:r>
          </w:p>
        </w:tc>
        <w:tc>
          <w:tcPr>
            <w:tcW w:w="1773" w:type="dxa"/>
          </w:tcPr>
          <w:p w14:paraId="6F75A4FA" w14:textId="267EFF1F" w:rsidR="0044552A" w:rsidRPr="00552CF5" w:rsidRDefault="0044552A" w:rsidP="00722A9E">
            <w:pPr>
              <w:pStyle w:val="NoSpacing"/>
            </w:pPr>
            <w:r>
              <w:t>33 (43%)</w:t>
            </w:r>
          </w:p>
        </w:tc>
        <w:tc>
          <w:tcPr>
            <w:tcW w:w="987" w:type="dxa"/>
            <w:vMerge/>
          </w:tcPr>
          <w:p w14:paraId="0F46FEE3" w14:textId="77777777" w:rsidR="0044552A" w:rsidRPr="00552CF5" w:rsidRDefault="0044552A" w:rsidP="00722A9E">
            <w:pPr>
              <w:pStyle w:val="NoSpacing"/>
            </w:pPr>
          </w:p>
        </w:tc>
      </w:tr>
      <w:tr w:rsidR="0044552A" w14:paraId="47D11205" w14:textId="77777777" w:rsidTr="00AF264B">
        <w:tc>
          <w:tcPr>
            <w:tcW w:w="1804" w:type="dxa"/>
            <w:vMerge w:val="restart"/>
          </w:tcPr>
          <w:p w14:paraId="2A93B0C9" w14:textId="4EE8A5ED" w:rsidR="0044552A" w:rsidRPr="00552CF5" w:rsidRDefault="0044552A" w:rsidP="002774DF">
            <w:pPr>
              <w:pStyle w:val="NoSpacing"/>
            </w:pPr>
            <w:r>
              <w:t>Internet usage</w:t>
            </w:r>
          </w:p>
        </w:tc>
        <w:tc>
          <w:tcPr>
            <w:tcW w:w="1452" w:type="dxa"/>
          </w:tcPr>
          <w:p w14:paraId="7EF1CC62" w14:textId="08A9A3BC" w:rsidR="0044552A" w:rsidRPr="00552CF5" w:rsidRDefault="0044552A" w:rsidP="002774DF">
            <w:pPr>
              <w:pStyle w:val="NoSpacing"/>
            </w:pPr>
            <w:r>
              <w:t>daily</w:t>
            </w:r>
          </w:p>
        </w:tc>
        <w:tc>
          <w:tcPr>
            <w:tcW w:w="1559" w:type="dxa"/>
          </w:tcPr>
          <w:p w14:paraId="02B7753C" w14:textId="049EE485" w:rsidR="0044552A" w:rsidRDefault="00267B01" w:rsidP="002774DF">
            <w:pPr>
              <w:pStyle w:val="NoSpacing"/>
            </w:pPr>
            <w:r>
              <w:t>41 (39%)</w:t>
            </w:r>
          </w:p>
        </w:tc>
        <w:tc>
          <w:tcPr>
            <w:tcW w:w="1487" w:type="dxa"/>
          </w:tcPr>
          <w:p w14:paraId="1D3AC2BD" w14:textId="386E837F" w:rsidR="0044552A" w:rsidRPr="00552CF5" w:rsidRDefault="0044552A" w:rsidP="002774DF">
            <w:pPr>
              <w:pStyle w:val="NoSpacing"/>
            </w:pPr>
            <w:r>
              <w:t>12 (46%)</w:t>
            </w:r>
          </w:p>
        </w:tc>
        <w:tc>
          <w:tcPr>
            <w:tcW w:w="1773" w:type="dxa"/>
          </w:tcPr>
          <w:p w14:paraId="724D9F4E" w14:textId="6E5F06E5" w:rsidR="0044552A" w:rsidRPr="00552CF5" w:rsidRDefault="0044552A" w:rsidP="002774DF">
            <w:pPr>
              <w:pStyle w:val="NoSpacing"/>
            </w:pPr>
            <w:r>
              <w:t>29 (37%)</w:t>
            </w:r>
          </w:p>
        </w:tc>
        <w:tc>
          <w:tcPr>
            <w:tcW w:w="987" w:type="dxa"/>
            <w:vMerge w:val="restart"/>
          </w:tcPr>
          <w:p w14:paraId="26E55A97" w14:textId="1BB9F09C" w:rsidR="0044552A" w:rsidRPr="00756D1E" w:rsidRDefault="0044552A" w:rsidP="002774DF">
            <w:pPr>
              <w:pStyle w:val="NoSpacing"/>
              <w:rPr>
                <w:bCs/>
              </w:rPr>
            </w:pPr>
            <w:r w:rsidRPr="00756D1E">
              <w:rPr>
                <w:bCs/>
              </w:rPr>
              <w:t>0.8</w:t>
            </w:r>
          </w:p>
        </w:tc>
      </w:tr>
      <w:tr w:rsidR="0044552A" w14:paraId="0B2FCEA5" w14:textId="77777777" w:rsidTr="00AF264B">
        <w:tc>
          <w:tcPr>
            <w:tcW w:w="1804" w:type="dxa"/>
            <w:vMerge/>
          </w:tcPr>
          <w:p w14:paraId="3AAD2860" w14:textId="77777777" w:rsidR="0044552A" w:rsidRPr="00552CF5" w:rsidRDefault="0044552A" w:rsidP="002774DF">
            <w:pPr>
              <w:pStyle w:val="NoSpacing"/>
            </w:pPr>
          </w:p>
        </w:tc>
        <w:tc>
          <w:tcPr>
            <w:tcW w:w="1452" w:type="dxa"/>
          </w:tcPr>
          <w:p w14:paraId="1FF2CD8F" w14:textId="3A0D52F9" w:rsidR="0044552A" w:rsidRPr="00EB32E3" w:rsidRDefault="0044552A" w:rsidP="002774DF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EB32E3">
              <w:rPr>
                <w:lang w:val="en-GB"/>
              </w:rPr>
              <w:t>t least once per w</w:t>
            </w:r>
            <w:r>
              <w:rPr>
                <w:lang w:val="en-GB"/>
              </w:rPr>
              <w:t>eek</w:t>
            </w:r>
          </w:p>
        </w:tc>
        <w:tc>
          <w:tcPr>
            <w:tcW w:w="1559" w:type="dxa"/>
          </w:tcPr>
          <w:p w14:paraId="06F86CA3" w14:textId="3F5ABE7B" w:rsidR="0044552A" w:rsidRPr="00267B01" w:rsidRDefault="00267B01" w:rsidP="002774DF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19 (18%)</w:t>
            </w:r>
          </w:p>
        </w:tc>
        <w:tc>
          <w:tcPr>
            <w:tcW w:w="1487" w:type="dxa"/>
          </w:tcPr>
          <w:p w14:paraId="40C4A2E4" w14:textId="531926F5" w:rsidR="0044552A" w:rsidRPr="00552CF5" w:rsidRDefault="0044552A" w:rsidP="002774DF">
            <w:pPr>
              <w:pStyle w:val="NoSpacing"/>
            </w:pPr>
            <w:r>
              <w:t>5 (19%)</w:t>
            </w:r>
          </w:p>
        </w:tc>
        <w:tc>
          <w:tcPr>
            <w:tcW w:w="1773" w:type="dxa"/>
          </w:tcPr>
          <w:p w14:paraId="52A9EAA8" w14:textId="706472A6" w:rsidR="0044552A" w:rsidRPr="00552CF5" w:rsidRDefault="0044552A" w:rsidP="002774DF">
            <w:pPr>
              <w:pStyle w:val="NoSpacing"/>
            </w:pPr>
            <w:r>
              <w:t>14 (18%)</w:t>
            </w:r>
          </w:p>
        </w:tc>
        <w:tc>
          <w:tcPr>
            <w:tcW w:w="987" w:type="dxa"/>
            <w:vMerge/>
          </w:tcPr>
          <w:p w14:paraId="5B9C0319" w14:textId="77777777" w:rsidR="0044552A" w:rsidRPr="00552CF5" w:rsidRDefault="0044552A" w:rsidP="002774DF">
            <w:pPr>
              <w:pStyle w:val="NoSpacing"/>
            </w:pPr>
          </w:p>
        </w:tc>
      </w:tr>
      <w:tr w:rsidR="0044552A" w14:paraId="1742B59F" w14:textId="77777777" w:rsidTr="00AF264B">
        <w:tc>
          <w:tcPr>
            <w:tcW w:w="1804" w:type="dxa"/>
            <w:vMerge/>
          </w:tcPr>
          <w:p w14:paraId="44174D62" w14:textId="77777777" w:rsidR="0044552A" w:rsidRPr="00552CF5" w:rsidRDefault="0044552A" w:rsidP="002774DF">
            <w:pPr>
              <w:pStyle w:val="NoSpacing"/>
            </w:pPr>
          </w:p>
        </w:tc>
        <w:tc>
          <w:tcPr>
            <w:tcW w:w="1452" w:type="dxa"/>
          </w:tcPr>
          <w:p w14:paraId="4D008058" w14:textId="02C93437" w:rsidR="0044552A" w:rsidRPr="00552CF5" w:rsidRDefault="0044552A" w:rsidP="002774DF">
            <w:pPr>
              <w:pStyle w:val="NoSpacing"/>
            </w:pPr>
            <w:r>
              <w:t>rare</w:t>
            </w:r>
          </w:p>
        </w:tc>
        <w:tc>
          <w:tcPr>
            <w:tcW w:w="1559" w:type="dxa"/>
          </w:tcPr>
          <w:p w14:paraId="6E1310A5" w14:textId="5E38A40D" w:rsidR="0044552A" w:rsidRDefault="00267B01" w:rsidP="002774DF">
            <w:pPr>
              <w:pStyle w:val="NoSpacing"/>
            </w:pPr>
            <w:r>
              <w:t>13 (13%)</w:t>
            </w:r>
          </w:p>
        </w:tc>
        <w:tc>
          <w:tcPr>
            <w:tcW w:w="1487" w:type="dxa"/>
          </w:tcPr>
          <w:p w14:paraId="27487E58" w14:textId="036C555A" w:rsidR="0044552A" w:rsidRPr="00552CF5" w:rsidRDefault="0044552A" w:rsidP="002774DF">
            <w:pPr>
              <w:pStyle w:val="NoSpacing"/>
            </w:pPr>
            <w:r>
              <w:t>3 (12%)</w:t>
            </w:r>
          </w:p>
        </w:tc>
        <w:tc>
          <w:tcPr>
            <w:tcW w:w="1773" w:type="dxa"/>
          </w:tcPr>
          <w:p w14:paraId="2323CFA9" w14:textId="52627237" w:rsidR="0044552A" w:rsidRPr="00552CF5" w:rsidRDefault="0044552A" w:rsidP="002774DF">
            <w:pPr>
              <w:pStyle w:val="NoSpacing"/>
            </w:pPr>
            <w:r>
              <w:t>10 (13%)</w:t>
            </w:r>
          </w:p>
        </w:tc>
        <w:tc>
          <w:tcPr>
            <w:tcW w:w="987" w:type="dxa"/>
            <w:vMerge/>
          </w:tcPr>
          <w:p w14:paraId="2FE24A22" w14:textId="77777777" w:rsidR="0044552A" w:rsidRPr="00552CF5" w:rsidRDefault="0044552A" w:rsidP="002774DF">
            <w:pPr>
              <w:pStyle w:val="NoSpacing"/>
            </w:pPr>
          </w:p>
        </w:tc>
      </w:tr>
      <w:tr w:rsidR="0044552A" w14:paraId="4FB9EBFA" w14:textId="77777777" w:rsidTr="00AF264B">
        <w:tc>
          <w:tcPr>
            <w:tcW w:w="1804" w:type="dxa"/>
            <w:vMerge/>
          </w:tcPr>
          <w:p w14:paraId="753E623C" w14:textId="77777777" w:rsidR="0044552A" w:rsidRPr="00552CF5" w:rsidRDefault="0044552A" w:rsidP="002774DF">
            <w:pPr>
              <w:pStyle w:val="NoSpacing"/>
            </w:pPr>
          </w:p>
        </w:tc>
        <w:tc>
          <w:tcPr>
            <w:tcW w:w="1452" w:type="dxa"/>
          </w:tcPr>
          <w:p w14:paraId="754B90F4" w14:textId="4F166D25" w:rsidR="0044552A" w:rsidRPr="00552CF5" w:rsidRDefault="0044552A" w:rsidP="002774DF">
            <w:pPr>
              <w:pStyle w:val="NoSpacing"/>
            </w:pPr>
            <w:r>
              <w:t>no internet</w:t>
            </w:r>
          </w:p>
        </w:tc>
        <w:tc>
          <w:tcPr>
            <w:tcW w:w="1559" w:type="dxa"/>
          </w:tcPr>
          <w:p w14:paraId="7E619F42" w14:textId="72E10553" w:rsidR="0044552A" w:rsidRDefault="00267B01" w:rsidP="002774DF">
            <w:pPr>
              <w:pStyle w:val="NoSpacing"/>
            </w:pPr>
            <w:r>
              <w:t>31 (30%)</w:t>
            </w:r>
          </w:p>
        </w:tc>
        <w:tc>
          <w:tcPr>
            <w:tcW w:w="1487" w:type="dxa"/>
          </w:tcPr>
          <w:p w14:paraId="6F04D5E7" w14:textId="6C72778F" w:rsidR="0044552A" w:rsidRPr="00552CF5" w:rsidRDefault="0044552A" w:rsidP="002774DF">
            <w:pPr>
              <w:pStyle w:val="NoSpacing"/>
            </w:pPr>
            <w:r>
              <w:t>6 (23%)</w:t>
            </w:r>
          </w:p>
        </w:tc>
        <w:tc>
          <w:tcPr>
            <w:tcW w:w="1773" w:type="dxa"/>
          </w:tcPr>
          <w:p w14:paraId="278EE319" w14:textId="2FC9292A" w:rsidR="0044552A" w:rsidRPr="00552CF5" w:rsidRDefault="0044552A" w:rsidP="002774DF">
            <w:pPr>
              <w:pStyle w:val="NoSpacing"/>
            </w:pPr>
            <w:r>
              <w:t>25 (32%)</w:t>
            </w:r>
          </w:p>
        </w:tc>
        <w:tc>
          <w:tcPr>
            <w:tcW w:w="987" w:type="dxa"/>
            <w:vMerge/>
          </w:tcPr>
          <w:p w14:paraId="2FAB0A61" w14:textId="77777777" w:rsidR="0044552A" w:rsidRPr="00552CF5" w:rsidRDefault="0044552A" w:rsidP="002774DF">
            <w:pPr>
              <w:pStyle w:val="NoSpacing"/>
            </w:pPr>
          </w:p>
        </w:tc>
      </w:tr>
      <w:tr w:rsidR="0044552A" w14:paraId="5D413A29" w14:textId="77777777" w:rsidTr="00AF264B">
        <w:tc>
          <w:tcPr>
            <w:tcW w:w="3256" w:type="dxa"/>
            <w:gridSpan w:val="2"/>
          </w:tcPr>
          <w:p w14:paraId="475D1C4B" w14:textId="3CBEA545" w:rsidR="0044552A" w:rsidRDefault="0044552A" w:rsidP="002774DF">
            <w:pPr>
              <w:pStyle w:val="NoSpacing"/>
            </w:pPr>
            <w:r>
              <w:t>PHQ Depression</w:t>
            </w:r>
          </w:p>
        </w:tc>
        <w:tc>
          <w:tcPr>
            <w:tcW w:w="1559" w:type="dxa"/>
          </w:tcPr>
          <w:p w14:paraId="5E1F25A6" w14:textId="0EE3F058" w:rsidR="0044552A" w:rsidRDefault="00AF264B" w:rsidP="002774DF">
            <w:pPr>
              <w:pStyle w:val="NoSpacing"/>
              <w:rPr>
                <w:rFonts w:cstheme="minorHAnsi"/>
              </w:rPr>
            </w:pPr>
            <w:r>
              <w:t>0.8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1.0</w:t>
            </w:r>
          </w:p>
          <w:p w14:paraId="45316DDF" w14:textId="5697A372" w:rsidR="00AF264B" w:rsidRDefault="00AF264B" w:rsidP="002774DF">
            <w:pPr>
              <w:pStyle w:val="NoSpacing"/>
            </w:pPr>
            <w:r>
              <w:rPr>
                <w:rFonts w:cstheme="minorHAnsi"/>
              </w:rPr>
              <w:t>1.0 (0.0 – 4.0)</w:t>
            </w:r>
          </w:p>
        </w:tc>
        <w:tc>
          <w:tcPr>
            <w:tcW w:w="1487" w:type="dxa"/>
          </w:tcPr>
          <w:p w14:paraId="1F0698A9" w14:textId="19A7B8B1" w:rsidR="0044552A" w:rsidRDefault="0044552A" w:rsidP="002774DF">
            <w:pPr>
              <w:pStyle w:val="NoSpacing"/>
            </w:pPr>
            <w:r>
              <w:t>0.7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0.8</w:t>
            </w:r>
          </w:p>
          <w:p w14:paraId="5A133107" w14:textId="3AF0A019" w:rsidR="0044552A" w:rsidRDefault="0044552A" w:rsidP="002774DF">
            <w:pPr>
              <w:pStyle w:val="NoSpacing"/>
            </w:pPr>
            <w:r>
              <w:t>0.5 (0.0 – 2.0)</w:t>
            </w:r>
          </w:p>
        </w:tc>
        <w:tc>
          <w:tcPr>
            <w:tcW w:w="1773" w:type="dxa"/>
          </w:tcPr>
          <w:p w14:paraId="312EA5EE" w14:textId="0AB28D9B" w:rsidR="0044552A" w:rsidRDefault="0044552A" w:rsidP="002774DF">
            <w:pPr>
              <w:pStyle w:val="NoSpacing"/>
            </w:pPr>
            <w:r>
              <w:t>0.9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1.1</w:t>
            </w:r>
          </w:p>
          <w:p w14:paraId="2D4CB3D5" w14:textId="20FD6A63" w:rsidR="0044552A" w:rsidRDefault="0044552A" w:rsidP="002774DF">
            <w:pPr>
              <w:pStyle w:val="NoSpacing"/>
            </w:pPr>
            <w:r>
              <w:t>1.0 (0.0 – 4.0)</w:t>
            </w:r>
          </w:p>
        </w:tc>
        <w:tc>
          <w:tcPr>
            <w:tcW w:w="987" w:type="dxa"/>
          </w:tcPr>
          <w:p w14:paraId="729BC77F" w14:textId="6E72AA8B" w:rsidR="0044552A" w:rsidRPr="00552CF5" w:rsidRDefault="0044552A" w:rsidP="002774DF">
            <w:pPr>
              <w:pStyle w:val="NoSpacing"/>
            </w:pPr>
            <w:r>
              <w:t>0.</w:t>
            </w:r>
            <w:r w:rsidR="00CA1619">
              <w:t>4</w:t>
            </w:r>
          </w:p>
        </w:tc>
      </w:tr>
      <w:tr w:rsidR="0044552A" w14:paraId="69D82F40" w14:textId="77777777" w:rsidTr="00AF264B">
        <w:tc>
          <w:tcPr>
            <w:tcW w:w="3256" w:type="dxa"/>
            <w:gridSpan w:val="2"/>
          </w:tcPr>
          <w:p w14:paraId="3D51F6BD" w14:textId="1FC2B34F" w:rsidR="0044552A" w:rsidRDefault="0044552A" w:rsidP="002774DF">
            <w:pPr>
              <w:pStyle w:val="NoSpacing"/>
            </w:pPr>
            <w:r>
              <w:t>PHQ Anxiety</w:t>
            </w:r>
          </w:p>
        </w:tc>
        <w:tc>
          <w:tcPr>
            <w:tcW w:w="1559" w:type="dxa"/>
          </w:tcPr>
          <w:p w14:paraId="499587F5" w14:textId="55504339" w:rsidR="0044552A" w:rsidRDefault="00AF264B" w:rsidP="002774DF">
            <w:pPr>
              <w:pStyle w:val="NoSpacing"/>
              <w:rPr>
                <w:rFonts w:cstheme="minorHAnsi"/>
              </w:rPr>
            </w:pPr>
            <w:r>
              <w:t>0.9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1.3</w:t>
            </w:r>
          </w:p>
          <w:p w14:paraId="0021DCEE" w14:textId="2866B4B2" w:rsidR="00AF264B" w:rsidRDefault="00AF264B" w:rsidP="002774DF">
            <w:pPr>
              <w:pStyle w:val="NoSpacing"/>
            </w:pPr>
            <w:r>
              <w:rPr>
                <w:rFonts w:cstheme="minorHAnsi"/>
              </w:rPr>
              <w:t xml:space="preserve">0.0 (0.0 – 6.0)  </w:t>
            </w:r>
          </w:p>
        </w:tc>
        <w:tc>
          <w:tcPr>
            <w:tcW w:w="1487" w:type="dxa"/>
          </w:tcPr>
          <w:p w14:paraId="5661D046" w14:textId="38CF31C2" w:rsidR="0044552A" w:rsidRDefault="0044552A" w:rsidP="002774DF">
            <w:pPr>
              <w:pStyle w:val="NoSpacing"/>
            </w:pPr>
            <w:r>
              <w:t>0.7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1.4</w:t>
            </w:r>
          </w:p>
          <w:p w14:paraId="0C737E5D" w14:textId="2746D4EA" w:rsidR="0044552A" w:rsidRDefault="0044552A" w:rsidP="002774DF">
            <w:pPr>
              <w:pStyle w:val="NoSpacing"/>
            </w:pPr>
            <w:r>
              <w:t>0.0 (0.0 – 0.6)</w:t>
            </w:r>
          </w:p>
        </w:tc>
        <w:tc>
          <w:tcPr>
            <w:tcW w:w="1773" w:type="dxa"/>
          </w:tcPr>
          <w:p w14:paraId="6574AC5F" w14:textId="356CFBE1" w:rsidR="0044552A" w:rsidRDefault="0044552A" w:rsidP="002774DF">
            <w:pPr>
              <w:pStyle w:val="NoSpacing"/>
            </w:pPr>
            <w:r>
              <w:t>0.9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1.2</w:t>
            </w:r>
          </w:p>
          <w:p w14:paraId="45C3771F" w14:textId="0369696A" w:rsidR="0044552A" w:rsidRDefault="0044552A" w:rsidP="002774DF">
            <w:pPr>
              <w:pStyle w:val="NoSpacing"/>
            </w:pPr>
            <w:r>
              <w:t>0.0 (0.0 – 5.0)</w:t>
            </w:r>
          </w:p>
        </w:tc>
        <w:tc>
          <w:tcPr>
            <w:tcW w:w="987" w:type="dxa"/>
          </w:tcPr>
          <w:p w14:paraId="76BDC915" w14:textId="2D1D94B2" w:rsidR="0044552A" w:rsidRPr="00552CF5" w:rsidRDefault="0044552A" w:rsidP="002774DF">
            <w:pPr>
              <w:pStyle w:val="NoSpacing"/>
            </w:pPr>
            <w:r>
              <w:t>0.</w:t>
            </w:r>
            <w:r w:rsidR="00CA1619">
              <w:t>5</w:t>
            </w:r>
          </w:p>
        </w:tc>
      </w:tr>
      <w:tr w:rsidR="0044552A" w14:paraId="2FCAB2DE" w14:textId="77777777" w:rsidTr="00AF264B">
        <w:tc>
          <w:tcPr>
            <w:tcW w:w="3256" w:type="dxa"/>
            <w:gridSpan w:val="2"/>
          </w:tcPr>
          <w:p w14:paraId="0829C6A7" w14:textId="1CAF742B" w:rsidR="0044552A" w:rsidRDefault="0044552A" w:rsidP="002774DF">
            <w:pPr>
              <w:pStyle w:val="NoSpacing"/>
            </w:pPr>
            <w:r>
              <w:t xml:space="preserve">PHQ </w:t>
            </w:r>
            <w:r w:rsidR="00BE224E">
              <w:t>T</w:t>
            </w:r>
            <w:r>
              <w:t>otal</w:t>
            </w:r>
          </w:p>
        </w:tc>
        <w:tc>
          <w:tcPr>
            <w:tcW w:w="1559" w:type="dxa"/>
          </w:tcPr>
          <w:p w14:paraId="5AE59EE7" w14:textId="5906FDDC" w:rsidR="0044552A" w:rsidRDefault="00AF264B" w:rsidP="002774DF">
            <w:pPr>
              <w:pStyle w:val="NoSpacing"/>
              <w:rPr>
                <w:rFonts w:cstheme="minorHAnsi"/>
              </w:rPr>
            </w:pPr>
            <w:r>
              <w:t>1.7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2.1</w:t>
            </w:r>
          </w:p>
          <w:p w14:paraId="68D43F60" w14:textId="0A233C47" w:rsidR="00AF264B" w:rsidRDefault="00AF264B" w:rsidP="002774DF">
            <w:pPr>
              <w:pStyle w:val="NoSpacing"/>
            </w:pPr>
            <w:r>
              <w:rPr>
                <w:rFonts w:cstheme="minorHAnsi"/>
              </w:rPr>
              <w:t>1.0 (0.0 – 9.0)</w:t>
            </w:r>
          </w:p>
        </w:tc>
        <w:tc>
          <w:tcPr>
            <w:tcW w:w="1487" w:type="dxa"/>
          </w:tcPr>
          <w:p w14:paraId="07EA4A84" w14:textId="54A6198B" w:rsidR="0044552A" w:rsidRDefault="0044552A" w:rsidP="002774DF">
            <w:pPr>
              <w:pStyle w:val="NoSpacing"/>
            </w:pPr>
            <w:r>
              <w:t>1.4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1.9</w:t>
            </w:r>
          </w:p>
          <w:p w14:paraId="45B6BC4D" w14:textId="6B6F2C3D" w:rsidR="0044552A" w:rsidRDefault="0044552A" w:rsidP="002774DF">
            <w:pPr>
              <w:pStyle w:val="NoSpacing"/>
            </w:pPr>
            <w:r>
              <w:t>0.5 (0.0 – 8.0)</w:t>
            </w:r>
          </w:p>
        </w:tc>
        <w:tc>
          <w:tcPr>
            <w:tcW w:w="1773" w:type="dxa"/>
          </w:tcPr>
          <w:p w14:paraId="78EDD373" w14:textId="0F8B2C6E" w:rsidR="0044552A" w:rsidRDefault="0044552A" w:rsidP="002774DF">
            <w:pPr>
              <w:pStyle w:val="NoSpacing"/>
            </w:pPr>
            <w:r>
              <w:t>1.8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2.2</w:t>
            </w:r>
          </w:p>
          <w:p w14:paraId="0E62A254" w14:textId="668434E7" w:rsidR="0044552A" w:rsidRDefault="0044552A" w:rsidP="002774DF">
            <w:pPr>
              <w:pStyle w:val="NoSpacing"/>
            </w:pPr>
            <w:r>
              <w:t>1.0 (0.0 – 9.0)</w:t>
            </w:r>
          </w:p>
        </w:tc>
        <w:tc>
          <w:tcPr>
            <w:tcW w:w="987" w:type="dxa"/>
          </w:tcPr>
          <w:p w14:paraId="78FA2783" w14:textId="62DE3C7D" w:rsidR="0044552A" w:rsidRPr="00552CF5" w:rsidRDefault="0044552A" w:rsidP="002774DF">
            <w:pPr>
              <w:pStyle w:val="NoSpacing"/>
            </w:pPr>
            <w:r>
              <w:t>0.4</w:t>
            </w:r>
          </w:p>
        </w:tc>
      </w:tr>
      <w:tr w:rsidR="0044552A" w14:paraId="367EEDF8" w14:textId="77777777" w:rsidTr="00AF264B">
        <w:tc>
          <w:tcPr>
            <w:tcW w:w="3256" w:type="dxa"/>
            <w:gridSpan w:val="2"/>
          </w:tcPr>
          <w:p w14:paraId="27B77BC0" w14:textId="032A793A" w:rsidR="0044552A" w:rsidRDefault="0044552A" w:rsidP="002774DF">
            <w:pPr>
              <w:pStyle w:val="NoSpacing"/>
            </w:pPr>
            <w:r>
              <w:t>EORTC Global Health</w:t>
            </w:r>
          </w:p>
        </w:tc>
        <w:tc>
          <w:tcPr>
            <w:tcW w:w="1559" w:type="dxa"/>
          </w:tcPr>
          <w:p w14:paraId="51D54941" w14:textId="77777777" w:rsidR="0044552A" w:rsidRDefault="00AE07FE" w:rsidP="002774DF">
            <w:pPr>
              <w:pStyle w:val="NoSpacing"/>
              <w:rPr>
                <w:rFonts w:cstheme="minorHAnsi"/>
              </w:rPr>
            </w:pPr>
            <w:r>
              <w:t xml:space="preserve">63.3 </w:t>
            </w:r>
            <w:r>
              <w:rPr>
                <w:rFonts w:cstheme="minorHAnsi"/>
              </w:rPr>
              <w:t>± 21.6</w:t>
            </w:r>
          </w:p>
          <w:p w14:paraId="03062B2C" w14:textId="64D7862F" w:rsidR="00AE07FE" w:rsidRDefault="00AE07FE" w:rsidP="002774DF">
            <w:pPr>
              <w:pStyle w:val="NoSpacing"/>
            </w:pPr>
            <w:r>
              <w:rPr>
                <w:rFonts w:cstheme="minorHAnsi"/>
              </w:rPr>
              <w:t>66.7 (0.0 – 100.0)</w:t>
            </w:r>
          </w:p>
        </w:tc>
        <w:tc>
          <w:tcPr>
            <w:tcW w:w="1487" w:type="dxa"/>
          </w:tcPr>
          <w:p w14:paraId="6BAD4E5C" w14:textId="11875875" w:rsidR="0044552A" w:rsidRDefault="0044552A" w:rsidP="002774DF">
            <w:pPr>
              <w:pStyle w:val="NoSpacing"/>
            </w:pPr>
            <w:r>
              <w:t>70.0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21.2</w:t>
            </w:r>
          </w:p>
          <w:p w14:paraId="45134F1D" w14:textId="53F142D3" w:rsidR="0044552A" w:rsidRDefault="0044552A" w:rsidP="002774DF">
            <w:pPr>
              <w:pStyle w:val="NoSpacing"/>
            </w:pPr>
            <w:r>
              <w:t>83.3 (16.7 – 100.0)</w:t>
            </w:r>
          </w:p>
        </w:tc>
        <w:tc>
          <w:tcPr>
            <w:tcW w:w="1773" w:type="dxa"/>
          </w:tcPr>
          <w:p w14:paraId="5AF2DE47" w14:textId="4A87C635" w:rsidR="0044552A" w:rsidRDefault="0044552A" w:rsidP="002774DF">
            <w:pPr>
              <w:pStyle w:val="NoSpacing"/>
            </w:pPr>
            <w:r>
              <w:t>61.2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21.4</w:t>
            </w:r>
          </w:p>
          <w:p w14:paraId="10CEE7A0" w14:textId="0B156117" w:rsidR="0044552A" w:rsidRDefault="0044552A" w:rsidP="002774DF">
            <w:pPr>
              <w:pStyle w:val="NoSpacing"/>
            </w:pPr>
            <w:r>
              <w:t>66.7 (0.0 – 100.0)</w:t>
            </w:r>
          </w:p>
        </w:tc>
        <w:tc>
          <w:tcPr>
            <w:tcW w:w="987" w:type="dxa"/>
          </w:tcPr>
          <w:p w14:paraId="6C98A1AA" w14:textId="212DEF9B" w:rsidR="0044552A" w:rsidRPr="00552CF5" w:rsidRDefault="0044552A" w:rsidP="002774DF">
            <w:pPr>
              <w:pStyle w:val="NoSpacing"/>
            </w:pPr>
            <w:r>
              <w:t>0.0</w:t>
            </w:r>
            <w:r w:rsidR="00CA1619">
              <w:t>8</w:t>
            </w:r>
          </w:p>
        </w:tc>
      </w:tr>
      <w:tr w:rsidR="0044552A" w14:paraId="445E5094" w14:textId="77777777" w:rsidTr="00AF264B">
        <w:tc>
          <w:tcPr>
            <w:tcW w:w="3256" w:type="dxa"/>
            <w:gridSpan w:val="2"/>
          </w:tcPr>
          <w:p w14:paraId="2D4C0B1E" w14:textId="3B599E42" w:rsidR="0044552A" w:rsidRDefault="0044552A" w:rsidP="002774DF">
            <w:pPr>
              <w:pStyle w:val="NoSpacing"/>
            </w:pPr>
            <w:r>
              <w:t>EORTC Social Functioning</w:t>
            </w:r>
          </w:p>
        </w:tc>
        <w:tc>
          <w:tcPr>
            <w:tcW w:w="1559" w:type="dxa"/>
          </w:tcPr>
          <w:p w14:paraId="0C772682" w14:textId="77777777" w:rsidR="0044552A" w:rsidRDefault="004E7112" w:rsidP="002774DF">
            <w:pPr>
              <w:pStyle w:val="NoSpacing"/>
              <w:rPr>
                <w:rFonts w:cstheme="minorHAnsi"/>
              </w:rPr>
            </w:pPr>
            <w:r>
              <w:t xml:space="preserve">72.7 </w:t>
            </w:r>
            <w:r>
              <w:rPr>
                <w:rFonts w:cstheme="minorHAnsi"/>
              </w:rPr>
              <w:t>± 27.6</w:t>
            </w:r>
          </w:p>
          <w:p w14:paraId="4F4714A5" w14:textId="26754E87" w:rsidR="004E7112" w:rsidRDefault="004E7112" w:rsidP="002774DF">
            <w:pPr>
              <w:pStyle w:val="NoSpacing"/>
            </w:pPr>
            <w:r>
              <w:t>66.7 (0.0 – 100.0)</w:t>
            </w:r>
          </w:p>
        </w:tc>
        <w:tc>
          <w:tcPr>
            <w:tcW w:w="1487" w:type="dxa"/>
          </w:tcPr>
          <w:p w14:paraId="5C7F616C" w14:textId="77777777" w:rsidR="0044552A" w:rsidRDefault="0044552A" w:rsidP="002774DF">
            <w:pPr>
              <w:pStyle w:val="NoSpacing"/>
            </w:pPr>
            <w:r>
              <w:t>78.8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28.5</w:t>
            </w:r>
          </w:p>
          <w:p w14:paraId="59535A0F" w14:textId="53C726F4" w:rsidR="004E7112" w:rsidRDefault="004E7112" w:rsidP="002774DF">
            <w:pPr>
              <w:pStyle w:val="NoSpacing"/>
            </w:pPr>
            <w:r>
              <w:t>100.0 (0.0 – 100.0)</w:t>
            </w:r>
          </w:p>
        </w:tc>
        <w:tc>
          <w:tcPr>
            <w:tcW w:w="1773" w:type="dxa"/>
          </w:tcPr>
          <w:p w14:paraId="7CD47A59" w14:textId="77777777" w:rsidR="0044552A" w:rsidRDefault="0044552A" w:rsidP="002774DF">
            <w:pPr>
              <w:pStyle w:val="NoSpacing"/>
              <w:rPr>
                <w:rFonts w:cstheme="minorHAnsi"/>
              </w:rPr>
            </w:pPr>
            <w:r>
              <w:t>70.6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27.2</w:t>
            </w:r>
          </w:p>
          <w:p w14:paraId="6DB2DB52" w14:textId="225C61EE" w:rsidR="004E7112" w:rsidRDefault="004E7112" w:rsidP="002774DF">
            <w:pPr>
              <w:pStyle w:val="NoSpacing"/>
            </w:pPr>
            <w:r>
              <w:rPr>
                <w:rFonts w:cstheme="minorHAnsi"/>
              </w:rPr>
              <w:t>66.7 (0.0 – 100.0)</w:t>
            </w:r>
          </w:p>
        </w:tc>
        <w:tc>
          <w:tcPr>
            <w:tcW w:w="987" w:type="dxa"/>
          </w:tcPr>
          <w:p w14:paraId="0194CBE2" w14:textId="18EBCE05" w:rsidR="0044552A" w:rsidRPr="00552CF5" w:rsidRDefault="0044552A" w:rsidP="002774DF">
            <w:pPr>
              <w:pStyle w:val="NoSpacing"/>
            </w:pPr>
            <w:r>
              <w:t>0.</w:t>
            </w:r>
            <w:r w:rsidR="00CA1619">
              <w:t>2</w:t>
            </w:r>
          </w:p>
        </w:tc>
      </w:tr>
      <w:tr w:rsidR="0044552A" w14:paraId="473CFF8D" w14:textId="77777777" w:rsidTr="00AF264B">
        <w:tc>
          <w:tcPr>
            <w:tcW w:w="3256" w:type="dxa"/>
            <w:gridSpan w:val="2"/>
          </w:tcPr>
          <w:p w14:paraId="58F68ABF" w14:textId="7D04CFB4" w:rsidR="0044552A" w:rsidRDefault="0044552A" w:rsidP="002774DF">
            <w:pPr>
              <w:pStyle w:val="NoSpacing"/>
            </w:pPr>
            <w:r>
              <w:t>EPIC Urinary Continence</w:t>
            </w:r>
          </w:p>
        </w:tc>
        <w:tc>
          <w:tcPr>
            <w:tcW w:w="1559" w:type="dxa"/>
          </w:tcPr>
          <w:p w14:paraId="29C84DF9" w14:textId="77777777" w:rsidR="0044552A" w:rsidRDefault="007A3BA3" w:rsidP="002774DF">
            <w:pPr>
              <w:pStyle w:val="NoSpacing"/>
              <w:rPr>
                <w:rFonts w:cstheme="minorHAnsi"/>
              </w:rPr>
            </w:pPr>
            <w:r>
              <w:t xml:space="preserve">31.7 </w:t>
            </w:r>
            <w:r>
              <w:rPr>
                <w:rFonts w:cstheme="minorHAnsi"/>
              </w:rPr>
              <w:t>± 27.3</w:t>
            </w:r>
          </w:p>
          <w:p w14:paraId="33D09BD1" w14:textId="34624C80" w:rsidR="007A3BA3" w:rsidRDefault="007A3BA3" w:rsidP="002774DF">
            <w:pPr>
              <w:pStyle w:val="NoSpacing"/>
            </w:pPr>
            <w:r>
              <w:rPr>
                <w:rFonts w:cstheme="minorHAnsi"/>
              </w:rPr>
              <w:t>22.8 (0.0 – 100.0)</w:t>
            </w:r>
          </w:p>
        </w:tc>
        <w:tc>
          <w:tcPr>
            <w:tcW w:w="1487" w:type="dxa"/>
          </w:tcPr>
          <w:p w14:paraId="1F2224AD" w14:textId="77777777" w:rsidR="0044552A" w:rsidRDefault="0044552A" w:rsidP="002774DF">
            <w:pPr>
              <w:pStyle w:val="NoSpacing"/>
            </w:pPr>
            <w:r>
              <w:t>54.4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37.8</w:t>
            </w:r>
          </w:p>
          <w:p w14:paraId="0535B155" w14:textId="34D5FFFB" w:rsidR="007A3BA3" w:rsidRDefault="007A3BA3" w:rsidP="002774DF">
            <w:pPr>
              <w:pStyle w:val="NoSpacing"/>
            </w:pPr>
            <w:r>
              <w:t>58.5 (0.0 – 100.0)</w:t>
            </w:r>
          </w:p>
        </w:tc>
        <w:tc>
          <w:tcPr>
            <w:tcW w:w="1773" w:type="dxa"/>
          </w:tcPr>
          <w:p w14:paraId="31612BDE" w14:textId="77777777" w:rsidR="0044552A" w:rsidRDefault="0044552A" w:rsidP="002774DF">
            <w:pPr>
              <w:pStyle w:val="NoSpacing"/>
            </w:pPr>
            <w:r>
              <w:t>24.2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17.6</w:t>
            </w:r>
          </w:p>
          <w:p w14:paraId="77E0CB97" w14:textId="181CBF11" w:rsidR="007A3BA3" w:rsidRDefault="007A3BA3" w:rsidP="002774DF">
            <w:pPr>
              <w:pStyle w:val="NoSpacing"/>
            </w:pPr>
            <w:r>
              <w:t>22.8 (0.0 – 75.0)</w:t>
            </w:r>
          </w:p>
        </w:tc>
        <w:tc>
          <w:tcPr>
            <w:tcW w:w="987" w:type="dxa"/>
          </w:tcPr>
          <w:p w14:paraId="05EF452A" w14:textId="7EE264D8" w:rsidR="0044552A" w:rsidRPr="001C7C8E" w:rsidRDefault="0044552A" w:rsidP="002774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&lt;0.001</w:t>
            </w:r>
          </w:p>
        </w:tc>
      </w:tr>
      <w:tr w:rsidR="0044552A" w14:paraId="6D85A77C" w14:textId="77777777" w:rsidTr="00AF264B">
        <w:tc>
          <w:tcPr>
            <w:tcW w:w="3256" w:type="dxa"/>
            <w:gridSpan w:val="2"/>
          </w:tcPr>
          <w:p w14:paraId="6BED93A2" w14:textId="4B0B058A" w:rsidR="0044552A" w:rsidRDefault="0044552A" w:rsidP="002774DF">
            <w:pPr>
              <w:pStyle w:val="NoSpacing"/>
            </w:pPr>
            <w:r>
              <w:t>EPIC Urinary Irritative Symptoms</w:t>
            </w:r>
          </w:p>
        </w:tc>
        <w:tc>
          <w:tcPr>
            <w:tcW w:w="1559" w:type="dxa"/>
          </w:tcPr>
          <w:p w14:paraId="67D4D103" w14:textId="77777777" w:rsidR="0044552A" w:rsidRDefault="00A559F9" w:rsidP="002774DF">
            <w:pPr>
              <w:pStyle w:val="NoSpacing"/>
              <w:rPr>
                <w:rFonts w:cstheme="minorHAnsi"/>
              </w:rPr>
            </w:pPr>
            <w:r>
              <w:t xml:space="preserve">79.5 </w:t>
            </w:r>
            <w:r>
              <w:rPr>
                <w:rFonts w:cstheme="minorHAnsi"/>
              </w:rPr>
              <w:t xml:space="preserve">± </w:t>
            </w:r>
            <w:r w:rsidR="001946CB">
              <w:rPr>
                <w:rFonts w:cstheme="minorHAnsi"/>
              </w:rPr>
              <w:t>17.0</w:t>
            </w:r>
          </w:p>
          <w:p w14:paraId="5BFC2377" w14:textId="3570CBB5" w:rsidR="001946CB" w:rsidRDefault="001946CB" w:rsidP="002774DF">
            <w:pPr>
              <w:pStyle w:val="NoSpacing"/>
            </w:pPr>
            <w:r>
              <w:rPr>
                <w:rFonts w:cstheme="minorHAnsi"/>
              </w:rPr>
              <w:t>81.3 (25.0 – 100.0)</w:t>
            </w:r>
          </w:p>
        </w:tc>
        <w:tc>
          <w:tcPr>
            <w:tcW w:w="1487" w:type="dxa"/>
          </w:tcPr>
          <w:p w14:paraId="16E27E58" w14:textId="77777777" w:rsidR="0044552A" w:rsidRDefault="0044552A" w:rsidP="002774DF">
            <w:pPr>
              <w:pStyle w:val="NoSpacing"/>
            </w:pPr>
            <w:r>
              <w:t>85.4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19.3</w:t>
            </w:r>
          </w:p>
          <w:p w14:paraId="1445A690" w14:textId="3604EA2F" w:rsidR="001946CB" w:rsidRDefault="001946CB" w:rsidP="002774DF">
            <w:pPr>
              <w:pStyle w:val="NoSpacing"/>
            </w:pPr>
            <w:r>
              <w:t>87.5 (25.0 – 100.0)</w:t>
            </w:r>
          </w:p>
        </w:tc>
        <w:tc>
          <w:tcPr>
            <w:tcW w:w="1773" w:type="dxa"/>
          </w:tcPr>
          <w:p w14:paraId="0352EE0A" w14:textId="77777777" w:rsidR="0044552A" w:rsidRDefault="0044552A" w:rsidP="002774DF">
            <w:pPr>
              <w:pStyle w:val="NoSpacing"/>
            </w:pPr>
            <w:r>
              <w:t>77.7</w:t>
            </w:r>
            <w:r w:rsidR="00AE07FE">
              <w:t xml:space="preserve"> </w:t>
            </w:r>
            <w:r>
              <w:rPr>
                <w:rFonts w:cstheme="minorHAnsi"/>
              </w:rPr>
              <w:t>±</w:t>
            </w:r>
            <w:r w:rsidR="00AE07FE">
              <w:rPr>
                <w:rFonts w:cstheme="minorHAnsi"/>
              </w:rPr>
              <w:t xml:space="preserve"> </w:t>
            </w:r>
            <w:r>
              <w:t>15.9</w:t>
            </w:r>
          </w:p>
          <w:p w14:paraId="4F13ADC4" w14:textId="29297E26" w:rsidR="001946CB" w:rsidRDefault="001946CB" w:rsidP="002774DF">
            <w:pPr>
              <w:pStyle w:val="NoSpacing"/>
            </w:pPr>
            <w:r>
              <w:t>81.3 (37.5 – 100.0)</w:t>
            </w:r>
          </w:p>
        </w:tc>
        <w:tc>
          <w:tcPr>
            <w:tcW w:w="987" w:type="dxa"/>
          </w:tcPr>
          <w:p w14:paraId="40FE0EAC" w14:textId="47619E44" w:rsidR="0044552A" w:rsidRPr="00512CCC" w:rsidRDefault="0044552A" w:rsidP="002774DF">
            <w:pPr>
              <w:pStyle w:val="NoSpacing"/>
              <w:rPr>
                <w:bCs/>
              </w:rPr>
            </w:pPr>
            <w:r w:rsidRPr="00512CCC">
              <w:rPr>
                <w:bCs/>
              </w:rPr>
              <w:t>0.0</w:t>
            </w:r>
            <w:r w:rsidR="00CA1619">
              <w:rPr>
                <w:bCs/>
              </w:rPr>
              <w:t>7</w:t>
            </w:r>
          </w:p>
        </w:tc>
      </w:tr>
    </w:tbl>
    <w:p w14:paraId="070E16B1" w14:textId="09F42B8A" w:rsidR="00CF122D" w:rsidRDefault="00CF122D"/>
    <w:p w14:paraId="16AFF550" w14:textId="7762CADC" w:rsidR="000227B8" w:rsidRPr="00C00B9A" w:rsidRDefault="000227B8">
      <w:pPr>
        <w:rPr>
          <w:lang w:val="en-GB"/>
        </w:rPr>
      </w:pPr>
    </w:p>
    <w:p w14:paraId="240D6118" w14:textId="3052A345" w:rsidR="000227B8" w:rsidRPr="00C00B9A" w:rsidRDefault="000227B8">
      <w:pPr>
        <w:rPr>
          <w:lang w:val="en-GB"/>
        </w:rPr>
      </w:pPr>
    </w:p>
    <w:p w14:paraId="34704C56" w14:textId="77777777" w:rsidR="000227B8" w:rsidRPr="00C00B9A" w:rsidRDefault="000227B8">
      <w:pPr>
        <w:rPr>
          <w:lang w:val="en-GB"/>
        </w:rPr>
      </w:pPr>
    </w:p>
    <w:p w14:paraId="01CDED80" w14:textId="77777777" w:rsidR="000227B8" w:rsidRPr="00C00B9A" w:rsidRDefault="000227B8">
      <w:pPr>
        <w:rPr>
          <w:lang w:val="en-GB"/>
        </w:rPr>
      </w:pPr>
    </w:p>
    <w:sectPr w:rsidR="000227B8" w:rsidRPr="00C00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9"/>
    <w:rsid w:val="00007ED3"/>
    <w:rsid w:val="00011E2A"/>
    <w:rsid w:val="00017402"/>
    <w:rsid w:val="000227B8"/>
    <w:rsid w:val="00061791"/>
    <w:rsid w:val="000737E3"/>
    <w:rsid w:val="00083A32"/>
    <w:rsid w:val="000C3D2D"/>
    <w:rsid w:val="000E377B"/>
    <w:rsid w:val="000E4CC7"/>
    <w:rsid w:val="000E7042"/>
    <w:rsid w:val="001946CB"/>
    <w:rsid w:val="001C7C8E"/>
    <w:rsid w:val="00212AE3"/>
    <w:rsid w:val="00215AA1"/>
    <w:rsid w:val="00223276"/>
    <w:rsid w:val="00267B01"/>
    <w:rsid w:val="002774DF"/>
    <w:rsid w:val="00290469"/>
    <w:rsid w:val="00314910"/>
    <w:rsid w:val="00326F3E"/>
    <w:rsid w:val="00387F5A"/>
    <w:rsid w:val="003A273D"/>
    <w:rsid w:val="003E1F9D"/>
    <w:rsid w:val="003E6195"/>
    <w:rsid w:val="0044552A"/>
    <w:rsid w:val="004A1266"/>
    <w:rsid w:val="004D3546"/>
    <w:rsid w:val="004E7112"/>
    <w:rsid w:val="00512CCC"/>
    <w:rsid w:val="00531DFA"/>
    <w:rsid w:val="005D4B6B"/>
    <w:rsid w:val="005E2570"/>
    <w:rsid w:val="00687708"/>
    <w:rsid w:val="006914AB"/>
    <w:rsid w:val="00722A9E"/>
    <w:rsid w:val="007410F9"/>
    <w:rsid w:val="00756D1E"/>
    <w:rsid w:val="00771797"/>
    <w:rsid w:val="00795906"/>
    <w:rsid w:val="007A3BA3"/>
    <w:rsid w:val="007D25B9"/>
    <w:rsid w:val="007E6EE8"/>
    <w:rsid w:val="00805B80"/>
    <w:rsid w:val="008E52DB"/>
    <w:rsid w:val="009923CA"/>
    <w:rsid w:val="009964EE"/>
    <w:rsid w:val="009F0C12"/>
    <w:rsid w:val="00A559F9"/>
    <w:rsid w:val="00A61180"/>
    <w:rsid w:val="00A80500"/>
    <w:rsid w:val="00AC4F90"/>
    <w:rsid w:val="00AD496C"/>
    <w:rsid w:val="00AE07FE"/>
    <w:rsid w:val="00AF264B"/>
    <w:rsid w:val="00B32D31"/>
    <w:rsid w:val="00B5138C"/>
    <w:rsid w:val="00B572BE"/>
    <w:rsid w:val="00BA745B"/>
    <w:rsid w:val="00BC488F"/>
    <w:rsid w:val="00BE224E"/>
    <w:rsid w:val="00BF2349"/>
    <w:rsid w:val="00C00B9A"/>
    <w:rsid w:val="00C13BF3"/>
    <w:rsid w:val="00C25B5E"/>
    <w:rsid w:val="00C67DD3"/>
    <w:rsid w:val="00C91804"/>
    <w:rsid w:val="00C92EFB"/>
    <w:rsid w:val="00C9651E"/>
    <w:rsid w:val="00CA1619"/>
    <w:rsid w:val="00CC18D9"/>
    <w:rsid w:val="00CE42D7"/>
    <w:rsid w:val="00CF122D"/>
    <w:rsid w:val="00D13A2A"/>
    <w:rsid w:val="00D42684"/>
    <w:rsid w:val="00D511F7"/>
    <w:rsid w:val="00D529CC"/>
    <w:rsid w:val="00D619B3"/>
    <w:rsid w:val="00D907DB"/>
    <w:rsid w:val="00E75EAF"/>
    <w:rsid w:val="00E775F0"/>
    <w:rsid w:val="00EA1780"/>
    <w:rsid w:val="00EB32E3"/>
    <w:rsid w:val="00F34CB6"/>
    <w:rsid w:val="00F43BAC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57F4"/>
  <w15:chartTrackingRefBased/>
  <w15:docId w15:val="{798F1056-64A3-4B57-87F3-5EBCF2C8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22D"/>
    <w:pPr>
      <w:spacing w:after="0" w:line="240" w:lineRule="auto"/>
    </w:pPr>
  </w:style>
  <w:style w:type="table" w:styleId="TableGrid">
    <w:name w:val="Table Grid"/>
    <w:basedOn w:val="TableNormal"/>
    <w:uiPriority w:val="39"/>
    <w:rsid w:val="00CF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F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Darania</cp:lastModifiedBy>
  <cp:revision>2</cp:revision>
  <dcterms:created xsi:type="dcterms:W3CDTF">2020-11-23T15:13:00Z</dcterms:created>
  <dcterms:modified xsi:type="dcterms:W3CDTF">2020-11-23T15:13:00Z</dcterms:modified>
</cp:coreProperties>
</file>