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7B" w:rsidRPr="00DD1A6C" w:rsidRDefault="00DD1A6C" w:rsidP="0090117B">
      <w:pPr>
        <w:rPr>
          <w:rFonts w:asciiTheme="minorBidi" w:hAnsiTheme="minorBidi"/>
          <w:b/>
          <w:bCs/>
        </w:rPr>
      </w:pPr>
      <w:bookmarkStart w:id="0" w:name="_GoBack"/>
      <w:bookmarkEnd w:id="0"/>
      <w:r w:rsidRPr="00DD1A6C">
        <w:rPr>
          <w:rFonts w:asciiTheme="minorBidi" w:hAnsiTheme="minorBidi"/>
          <w:b/>
          <w:bCs/>
        </w:rPr>
        <w:t>Supplementary Materials:</w:t>
      </w:r>
    </w:p>
    <w:p w:rsidR="0090117B" w:rsidRPr="00DD1A6C" w:rsidRDefault="00DD1A6C" w:rsidP="003054A0">
      <w:pPr>
        <w:rPr>
          <w:rFonts w:asciiTheme="minorBidi" w:hAnsiTheme="minorBidi"/>
          <w:b/>
          <w:bCs/>
        </w:rPr>
      </w:pPr>
      <w:r w:rsidRPr="00DD1A6C">
        <w:rPr>
          <w:rFonts w:asciiTheme="minorBidi" w:hAnsiTheme="minorBidi"/>
          <w:b/>
          <w:bCs/>
        </w:rPr>
        <w:t>Table I. Demographic and clinical characteristics of the study subjects</w:t>
      </w:r>
    </w:p>
    <w:tbl>
      <w:tblPr>
        <w:tblW w:w="9609" w:type="dxa"/>
        <w:tblInd w:w="98" w:type="dxa"/>
        <w:tblLook w:val="04A0" w:firstRow="1" w:lastRow="0" w:firstColumn="1" w:lastColumn="0" w:noHBand="0" w:noVBand="1"/>
      </w:tblPr>
      <w:tblGrid>
        <w:gridCol w:w="4414"/>
        <w:gridCol w:w="1765"/>
        <w:gridCol w:w="1841"/>
        <w:gridCol w:w="1589"/>
      </w:tblGrid>
      <w:tr w:rsidR="00D75CB9" w:rsidRPr="00DD1A6C" w:rsidTr="00E22653">
        <w:trPr>
          <w:trHeight w:val="74"/>
        </w:trPr>
        <w:tc>
          <w:tcPr>
            <w:tcW w:w="9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117B" w:rsidRPr="00DD1A6C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</w:rPr>
            </w:pPr>
            <w:r w:rsidRPr="00DD1A6C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</w:rPr>
              <w:t xml:space="preserve">Frequencies </w:t>
            </w:r>
            <w:r w:rsidR="00AE3066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</w:rPr>
              <w:t>of</w:t>
            </w:r>
            <w:r w:rsidR="00AE3066" w:rsidRPr="00DD1A6C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</w:rPr>
              <w:t xml:space="preserve"> </w:t>
            </w:r>
            <w:r w:rsidRPr="00DD1A6C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</w:rPr>
              <w:t>each variable (N = 640)</w:t>
            </w:r>
          </w:p>
        </w:tc>
      </w:tr>
      <w:tr w:rsidR="00D75CB9" w:rsidRPr="00DD1A6C" w:rsidTr="005B6591">
        <w:trPr>
          <w:trHeight w:val="340"/>
        </w:trPr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2653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2653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E22653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22653" w:rsidRPr="0047257A" w:rsidRDefault="00DD1A6C" w:rsidP="005B65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Count/Mean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653" w:rsidRPr="0047257A" w:rsidRDefault="00DD1A6C" w:rsidP="005B65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 (%)/SD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IVH (by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everity)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79.22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Grade I or II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14.38</w:t>
            </w:r>
          </w:p>
        </w:tc>
      </w:tr>
      <w:tr w:rsidR="00D75CB9" w:rsidRPr="00DD1A6C" w:rsidTr="00CC1EAA">
        <w:trPr>
          <w:trHeight w:val="71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6.41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IVH (All)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79.22</w:t>
            </w:r>
          </w:p>
        </w:tc>
      </w:tr>
      <w:tr w:rsidR="00D75CB9" w:rsidRPr="00DD1A6C" w:rsidTr="00CC1EAA">
        <w:trPr>
          <w:trHeight w:val="71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20.78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B36862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Sex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56.09</w:t>
            </w:r>
          </w:p>
        </w:tc>
      </w:tr>
      <w:tr w:rsidR="00D75CB9" w:rsidRPr="00DD1A6C" w:rsidTr="00CC1EAA">
        <w:trPr>
          <w:trHeight w:val="71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43.91</w:t>
            </w:r>
          </w:p>
        </w:tc>
      </w:tr>
      <w:tr w:rsidR="00D75CB9" w:rsidRPr="00DD1A6C" w:rsidTr="00CC1EAA">
        <w:trPr>
          <w:trHeight w:val="11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Gestational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ge, weeks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24-25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8.91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26-27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11.56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28-29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19.53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30-32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60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Birth weight, g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500-750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10.31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751-1000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15.16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1001-1250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15.94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1251-1500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22.66</w:t>
            </w:r>
          </w:p>
        </w:tc>
      </w:tr>
      <w:tr w:rsidR="00D75CB9" w:rsidRPr="00DD1A6C" w:rsidTr="00CC1EAA">
        <w:trPr>
          <w:trHeight w:val="71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&gt; 1500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35.94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Maternal antenatal steroid treatment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35</w:t>
            </w:r>
          </w:p>
        </w:tc>
      </w:tr>
      <w:tr w:rsidR="00D75CB9" w:rsidRPr="00DD1A6C" w:rsidTr="00CC1EAA">
        <w:trPr>
          <w:trHeight w:val="71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65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Antenatal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agnesium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ulfate</w:t>
            </w:r>
            <w:r w:rsidRPr="0047257A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73.87</w:t>
            </w:r>
          </w:p>
        </w:tc>
      </w:tr>
      <w:tr w:rsidR="00D75CB9" w:rsidRPr="00DD1A6C" w:rsidTr="00CC1EAA">
        <w:trPr>
          <w:trHeight w:val="71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26.13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Maternal hypertension/preeclampsia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90.47</w:t>
            </w:r>
          </w:p>
        </w:tc>
      </w:tr>
      <w:tr w:rsidR="00D75CB9" w:rsidRPr="00DD1A6C" w:rsidTr="00CC1EAA">
        <w:trPr>
          <w:trHeight w:val="71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9.53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Mode of delivery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SVD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37.81</w:t>
            </w:r>
          </w:p>
        </w:tc>
      </w:tr>
      <w:tr w:rsidR="00D75CB9" w:rsidRPr="00DD1A6C" w:rsidTr="00CC1EAA">
        <w:trPr>
          <w:trHeight w:val="71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C/S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62.19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Use of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urfactant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57.81</w:t>
            </w:r>
          </w:p>
        </w:tc>
      </w:tr>
      <w:tr w:rsidR="00D75CB9" w:rsidRPr="00DD1A6C" w:rsidTr="00CC1EAA">
        <w:trPr>
          <w:trHeight w:val="71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42.19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Delivery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r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oom CPR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99.53</w:t>
            </w:r>
          </w:p>
        </w:tc>
      </w:tr>
      <w:tr w:rsidR="00D75CB9" w:rsidRPr="00DD1A6C" w:rsidTr="00CC1EAA">
        <w:trPr>
          <w:trHeight w:val="71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0.47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Need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for d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elivery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room intubation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77.03</w:t>
            </w:r>
          </w:p>
        </w:tc>
      </w:tr>
      <w:tr w:rsidR="00D75CB9" w:rsidRPr="00DD1A6C" w:rsidTr="00CC1EAA">
        <w:trPr>
          <w:trHeight w:val="71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22.97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Parity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74.53</w:t>
            </w:r>
          </w:p>
        </w:tc>
      </w:tr>
      <w:tr w:rsidR="00D75CB9" w:rsidRPr="00DD1A6C" w:rsidTr="00CC1EAA">
        <w:trPr>
          <w:trHeight w:val="71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25.47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47257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High FiO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  <w:vertAlign w:val="subscript"/>
              </w:rPr>
              <w:t>2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(&gt;</w:t>
            </w:r>
            <w:r w:rsidR="0047257A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0.8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) or need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for 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HFOV for the first 24 hours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92.5</w:t>
            </w:r>
          </w:p>
        </w:tc>
      </w:tr>
      <w:tr w:rsidR="00D75CB9" w:rsidRPr="00DD1A6C" w:rsidTr="00CC1EAA">
        <w:trPr>
          <w:trHeight w:val="71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7.5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Use of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i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notropes within 72 hours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87.34</w:t>
            </w:r>
          </w:p>
        </w:tc>
      </w:tr>
      <w:tr w:rsidR="00D75CB9" w:rsidRPr="00DD1A6C" w:rsidTr="00CC1EAA">
        <w:trPr>
          <w:trHeight w:val="71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12.66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Hypercapnia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(&gt;65) during the 1st week (2x blood gas)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88.68</w:t>
            </w:r>
          </w:p>
        </w:tc>
      </w:tr>
      <w:tr w:rsidR="00D75CB9" w:rsidRPr="00DD1A6C" w:rsidTr="00CC1EAA">
        <w:trPr>
          <w:trHeight w:val="71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11.32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Metabolic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cidosis (BE &gt; -12) during the 1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  <w:vertAlign w:val="superscript"/>
              </w:rPr>
              <w:t>st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week 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97.64</w:t>
            </w:r>
          </w:p>
        </w:tc>
      </w:tr>
      <w:tr w:rsidR="00D75CB9" w:rsidRPr="00DD1A6C" w:rsidTr="00CC1EAA">
        <w:trPr>
          <w:trHeight w:val="71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2.36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5568FD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Positive blood culture</w:t>
            </w:r>
            <w:r w:rsidR="00DD1A6C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within 72 hours of birth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97.81</w:t>
            </w:r>
          </w:p>
        </w:tc>
      </w:tr>
      <w:tr w:rsidR="00D75CB9" w:rsidRPr="00DD1A6C" w:rsidTr="00CC1EAA">
        <w:trPr>
          <w:trHeight w:val="71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2.19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47257A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Platelets &lt;100,000 per microliter of blood (within 7 days of age)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80.94</w:t>
            </w:r>
          </w:p>
        </w:tc>
      </w:tr>
      <w:tr w:rsidR="00D75CB9" w:rsidRPr="00DD1A6C" w:rsidTr="00CC1EAA">
        <w:trPr>
          <w:trHeight w:val="71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19.06</w:t>
            </w:r>
          </w:p>
        </w:tc>
      </w:tr>
      <w:tr w:rsidR="00D75CB9" w:rsidRPr="00DD1A6C" w:rsidTr="00CC1EAA">
        <w:trPr>
          <w:trHeight w:val="71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Apgar score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(at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 min)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2.09</w:t>
            </w:r>
          </w:p>
        </w:tc>
      </w:tr>
      <w:tr w:rsidR="00D75CB9" w:rsidRPr="00DD1A6C" w:rsidTr="00CC1EAA">
        <w:trPr>
          <w:trHeight w:val="71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Apgar score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(at 5 min)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7.62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1.84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Birth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ear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34.84</w:t>
            </w:r>
          </w:p>
        </w:tc>
      </w:tr>
      <w:tr w:rsidR="00D75CB9" w:rsidRPr="00DD1A6C" w:rsidTr="00CC1EAA">
        <w:trPr>
          <w:trHeight w:val="67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30.78</w:t>
            </w:r>
          </w:p>
        </w:tc>
      </w:tr>
      <w:tr w:rsidR="00D75CB9" w:rsidRPr="00DD1A6C" w:rsidTr="00CC1EAA">
        <w:trPr>
          <w:trHeight w:val="71"/>
        </w:trPr>
        <w:tc>
          <w:tcPr>
            <w:tcW w:w="4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34.38</w:t>
            </w:r>
          </w:p>
        </w:tc>
      </w:tr>
      <w:tr w:rsidR="00D75CB9" w:rsidRPr="00DD1A6C" w:rsidTr="00CC1EAA">
        <w:trPr>
          <w:trHeight w:val="71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 </w:t>
            </w:r>
          </w:p>
        </w:tc>
      </w:tr>
    </w:tbl>
    <w:p w:rsidR="0090117B" w:rsidRPr="00DD1A6C" w:rsidRDefault="00DD1A6C" w:rsidP="003054A0">
      <w:pPr>
        <w:rPr>
          <w:rFonts w:asciiTheme="minorBidi" w:hAnsiTheme="minorBidi"/>
          <w:b/>
          <w:bCs/>
        </w:rPr>
      </w:pPr>
      <w:r w:rsidRPr="00DD1A6C">
        <w:rPr>
          <w:rFonts w:asciiTheme="minorBidi" w:hAnsiTheme="minorBidi"/>
          <w:b/>
          <w:bCs/>
        </w:rPr>
        <w:lastRenderedPageBreak/>
        <w:t>Table II. Demographic and clinical characteristics of the study subjects stratified by year.</w:t>
      </w:r>
    </w:p>
    <w:tbl>
      <w:tblPr>
        <w:tblW w:w="5163" w:type="pct"/>
        <w:tblLayout w:type="fixed"/>
        <w:tblLook w:val="04A0" w:firstRow="1" w:lastRow="0" w:firstColumn="1" w:lastColumn="0" w:noHBand="0" w:noVBand="1"/>
      </w:tblPr>
      <w:tblGrid>
        <w:gridCol w:w="2539"/>
        <w:gridCol w:w="1515"/>
        <w:gridCol w:w="775"/>
        <w:gridCol w:w="672"/>
        <w:gridCol w:w="1323"/>
        <w:gridCol w:w="1323"/>
        <w:gridCol w:w="827"/>
        <w:gridCol w:w="914"/>
      </w:tblGrid>
      <w:tr w:rsidR="00D75CB9" w:rsidRPr="00DD1A6C" w:rsidTr="00CC1EAA">
        <w:trPr>
          <w:trHeight w:val="9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117B" w:rsidRPr="00DD1A6C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</w:rPr>
            </w:pPr>
            <w:r w:rsidRPr="00DD1A6C">
              <w:rPr>
                <w:rFonts w:asciiTheme="minorBidi" w:eastAsia="Times New Roman" w:hAnsiTheme="minorBidi"/>
                <w:i/>
                <w:iCs/>
                <w:color w:val="000000"/>
              </w:rPr>
              <w:t xml:space="preserve">Frequencies </w:t>
            </w:r>
            <w:r w:rsidR="00AE3066">
              <w:rPr>
                <w:rFonts w:asciiTheme="minorBidi" w:eastAsia="Times New Roman" w:hAnsiTheme="minorBidi"/>
                <w:i/>
                <w:iCs/>
                <w:color w:val="000000"/>
              </w:rPr>
              <w:t>of</w:t>
            </w:r>
            <w:r w:rsidR="00AE3066" w:rsidRPr="00DD1A6C">
              <w:rPr>
                <w:rFonts w:asciiTheme="minorBidi" w:eastAsia="Times New Roman" w:hAnsiTheme="minorBidi"/>
                <w:i/>
                <w:iCs/>
                <w:color w:val="000000"/>
              </w:rPr>
              <w:t xml:space="preserve"> </w:t>
            </w:r>
            <w:r w:rsidRPr="00DD1A6C">
              <w:rPr>
                <w:rFonts w:asciiTheme="minorBidi" w:eastAsia="Times New Roman" w:hAnsiTheme="minorBidi"/>
                <w:i/>
                <w:iCs/>
                <w:color w:val="000000"/>
              </w:rPr>
              <w:t>each variable by year (N = 640)</w:t>
            </w:r>
          </w:p>
        </w:tc>
      </w:tr>
      <w:tr w:rsidR="00D75CB9" w:rsidRPr="00DD1A6C" w:rsidTr="00D16CF6">
        <w:trPr>
          <w:trHeight w:val="277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653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58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2653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pct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2653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Count(%)/Mean(SD)</w:t>
            </w:r>
          </w:p>
        </w:tc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22653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 </w:t>
            </w:r>
          </w:p>
          <w:p w:rsidR="00E22653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653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 </w:t>
            </w:r>
          </w:p>
        </w:tc>
      </w:tr>
      <w:tr w:rsidR="00D75CB9" w:rsidRPr="00DD1A6C" w:rsidTr="00D16CF6">
        <w:trPr>
          <w:trHeight w:val="160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Year 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Total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</w:rPr>
              <w:t>p-value</w:t>
            </w: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IVH (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everity)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162(72.65)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164(83.25)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181(82.27)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47257A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0.044</w:t>
            </w: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Grade I or II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40(17.94)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24(12.18)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28(12.73)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21(9.42)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9(4.57)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11(5.00)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IVH (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ll)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162(72.65)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164(83.25)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181(82.27)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47257A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0.0109</w:t>
            </w: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61(27.35)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33(16.75)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39(17.73)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17B" w:rsidRPr="0047257A" w:rsidRDefault="00B36862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120(53.81)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101(51.27)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138(62.73)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47257A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0.0436</w:t>
            </w: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103(46.19)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96(48.73)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82(37.27)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Gestational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ge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24-25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18(8.07)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20(10.15)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19(8.64)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0.9227</w:t>
            </w: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26-27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29(13.00)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23(11.68)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22(10.00)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28-29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45(20.18)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39(19.80)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41(18.64)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30-32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131(58.74)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115(58.38)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138(62.73)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Birth weight, g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500-750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21(9.42)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21(10.66)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24(10.91)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0.2423</w:t>
            </w: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751-1000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40(17.94)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28(14.21)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29(13.18)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1001-1250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35(15.70)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31(15.74)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36(16.36)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1251-1500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40(17.94)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42(21.32)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63(28.64)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&gt; 1500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87(39.01)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75(38.07)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68(30.91)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Maternal antenatal steroid treatment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90(40.36)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68(34.52)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66(30.00)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0.0723</w:t>
            </w: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133(59.64)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129(65.48)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154(70.00)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Antenatal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agnesium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ulfate</w:t>
            </w:r>
            <w:r w:rsidRPr="0047257A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181(81.53)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131(66.50)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160(72.73)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47257A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0.002</w:t>
            </w: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41(18.47)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66(33.50)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60(27.27)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Maternal hypertension/preeclampsia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209(93.72)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174(88.32)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196(89.09)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0.1182</w:t>
            </w: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14(6.28)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23(11.68)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24(10.91)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Mode of delivery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SVD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81(36.32)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72(36.55)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89(40.45)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0.6073</w:t>
            </w: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C/S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142(63.68)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125(63.45)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131(59.55)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Use of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urfactant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141(63.23)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100(50.76)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129(58.64)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47257A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0.0341</w:t>
            </w: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82(36.77)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97(49.24)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91(41.36)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Delivery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r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oom CPR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223(100.00)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195(98.98)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219(99.55)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0.3147</w:t>
            </w: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0(0)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2(1.02)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1(0.45)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Need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for d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elivery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r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oom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i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ntubation  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186(83.41)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142(72.08)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165(75.00)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47257A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0.0152</w:t>
            </w: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37(16.59)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55(27.92)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55(25.00)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Parity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158(70.85)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138(70.05)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181(82.27)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47257A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0.0049</w:t>
            </w: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65(29.15)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59(29.95)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39(17.73)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17B" w:rsidRPr="0047257A" w:rsidRDefault="00DD1A6C" w:rsidP="0047257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High FiO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  <w:vertAlign w:val="subscript"/>
              </w:rPr>
              <w:t>2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(&gt;</w:t>
            </w:r>
            <w:r w:rsidR="0047257A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0.8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) or need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for 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HFOV for the first 24 hours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205(91.93)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184(93.40)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203(92.27)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0.8386</w:t>
            </w: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18(8.07)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13(6.60)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17(7.73)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Use of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i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notropes within 72 hours 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205(91.93)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164(83.25)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190(86.36)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47257A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0.0245</w:t>
            </w: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18(8.07)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33(16.75)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30(13.64)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lastRenderedPageBreak/>
              <w:t>Hypercapnia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(&gt;65) during the 1st week (2x blood gas)</w:t>
            </w:r>
            <w:r w:rsidRPr="0047257A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197(89.95)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169(85.79)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198(90.00)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0.3044</w:t>
            </w: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22(1.83)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28(14.21)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22(10.00)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Metabolic 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cidosis (BE &gt; -12) during the 1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  <w:vertAlign w:val="superscript"/>
              </w:rPr>
              <w:t>st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week 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215(98.17)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188(95.43)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218(99.09)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47257A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0.0397</w:t>
            </w: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4(26.67)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9(4.57)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2(0.91)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17B" w:rsidRPr="0047257A" w:rsidRDefault="000B1DCC" w:rsidP="000B1DC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Positive blood culture</w:t>
            </w:r>
            <w:r w:rsidR="00DD1A6C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within 72 hours of birth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219(98.21)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193(97.97)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214(97.27)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0.7851</w:t>
            </w: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4(1.79)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4(2.03)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6(2.73)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117B" w:rsidRPr="0047257A" w:rsidRDefault="0047257A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Platelets &lt;100,000 per microliter of blood (within 7 days of age)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178(79.82)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166(84.26)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174(79.09)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0.3536</w:t>
            </w:r>
          </w:p>
        </w:tc>
      </w:tr>
      <w:tr w:rsidR="00D75CB9" w:rsidRPr="00DD1A6C" w:rsidTr="00D16CF6">
        <w:trPr>
          <w:trHeight w:val="83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45(20.18)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31(15.74)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46(20.91)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7"/>
        </w:trPr>
        <w:tc>
          <w:tcPr>
            <w:tcW w:w="1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17B" w:rsidRPr="0047257A" w:rsidRDefault="0090117B" w:rsidP="00CC1EA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D75CB9" w:rsidRPr="00DD1A6C" w:rsidTr="00D16CF6">
        <w:trPr>
          <w:trHeight w:val="87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Apgar score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(at</w:t>
            </w:r>
            <w:r w:rsidR="00122BC0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 min)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5.84(1.95)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5.70(2.33)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5.92(2.00)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0.5399</w:t>
            </w:r>
          </w:p>
        </w:tc>
      </w:tr>
      <w:tr w:rsidR="00D75CB9" w:rsidRPr="00DD1A6C" w:rsidTr="00D16CF6">
        <w:trPr>
          <w:trHeight w:val="87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Apgar score</w:t>
            </w:r>
            <w:r w:rsidR="00AE3066"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</w:t>
            </w: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(at 5 min)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7.65(1.50)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7.45(2.21)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7.76(1.7)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0.2108</w:t>
            </w:r>
          </w:p>
        </w:tc>
      </w:tr>
      <w:tr w:rsidR="00D75CB9" w:rsidRPr="00DD1A6C" w:rsidTr="00D16CF6">
        <w:trPr>
          <w:trHeight w:val="87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17B" w:rsidRPr="0047257A" w:rsidRDefault="00DD1A6C" w:rsidP="00CC1E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47257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 </w:t>
            </w:r>
          </w:p>
        </w:tc>
      </w:tr>
    </w:tbl>
    <w:p w:rsidR="0090117B" w:rsidRDefault="0090117B" w:rsidP="0090117B">
      <w:pPr>
        <w:spacing w:after="0"/>
        <w:jc w:val="both"/>
        <w:rPr>
          <w:rFonts w:asciiTheme="minorBidi" w:hAnsiTheme="minorBidi"/>
        </w:rPr>
      </w:pPr>
    </w:p>
    <w:p w:rsidR="00305E2F" w:rsidRDefault="00305E2F" w:rsidP="0090117B">
      <w:pPr>
        <w:spacing w:after="0"/>
        <w:jc w:val="both"/>
        <w:rPr>
          <w:rFonts w:asciiTheme="minorBidi" w:hAnsiTheme="minorBidi"/>
        </w:rPr>
      </w:pPr>
    </w:p>
    <w:p w:rsidR="00305E2F" w:rsidRPr="000A0FC9" w:rsidRDefault="00305E2F" w:rsidP="00305E2F">
      <w:pPr>
        <w:jc w:val="both"/>
        <w:rPr>
          <w:rFonts w:asciiTheme="minorBidi" w:hAnsiTheme="minorBidi"/>
          <w:sz w:val="24"/>
          <w:szCs w:val="24"/>
        </w:rPr>
      </w:pPr>
      <w:r w:rsidRPr="000A0FC9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253C32B4" wp14:editId="1171D85E">
            <wp:extent cx="5621572" cy="2504661"/>
            <wp:effectExtent l="0" t="0" r="17780" b="1016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5E2F" w:rsidRDefault="00305E2F" w:rsidP="0047257A">
      <w:pPr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Figure </w:t>
      </w:r>
      <w:r w:rsidRPr="000A0FC9">
        <w:rPr>
          <w:rFonts w:asciiTheme="minorBidi" w:hAnsiTheme="minorBidi"/>
          <w:b/>
          <w:bCs/>
        </w:rPr>
        <w:t>I. Incidence of IVH in very low</w:t>
      </w:r>
      <w:r>
        <w:rPr>
          <w:rFonts w:asciiTheme="minorBidi" w:hAnsiTheme="minorBidi"/>
          <w:b/>
          <w:bCs/>
        </w:rPr>
        <w:t xml:space="preserve"> </w:t>
      </w:r>
      <w:r w:rsidRPr="000A0FC9">
        <w:rPr>
          <w:rFonts w:asciiTheme="minorBidi" w:hAnsiTheme="minorBidi"/>
          <w:b/>
          <w:bCs/>
        </w:rPr>
        <w:t>birth weight babies in the NIC</w:t>
      </w:r>
      <w:r w:rsidR="0047257A">
        <w:rPr>
          <w:rFonts w:asciiTheme="minorBidi" w:hAnsiTheme="minorBidi"/>
          <w:b/>
          <w:bCs/>
        </w:rPr>
        <w:t>U</w:t>
      </w:r>
      <w:r w:rsidRPr="000A0FC9">
        <w:rPr>
          <w:rFonts w:asciiTheme="minorBidi" w:hAnsiTheme="minorBidi"/>
          <w:b/>
          <w:bCs/>
        </w:rPr>
        <w:t>, KAMC-R</w:t>
      </w:r>
    </w:p>
    <w:p w:rsidR="0047257A" w:rsidRDefault="0047257A" w:rsidP="0047257A">
      <w:pPr>
        <w:jc w:val="both"/>
        <w:rPr>
          <w:rFonts w:asciiTheme="minorBidi" w:hAnsiTheme="minorBidi"/>
          <w:b/>
          <w:bCs/>
        </w:rPr>
      </w:pPr>
    </w:p>
    <w:p w:rsidR="009F740F" w:rsidRPr="009F740F" w:rsidRDefault="009F740F" w:rsidP="009F740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B043914" wp14:editId="0C0E771B">
            <wp:extent cx="5669280" cy="2655736"/>
            <wp:effectExtent l="0" t="0" r="26670" b="1143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740F" w:rsidRDefault="009F740F" w:rsidP="009F740F">
      <w:pPr>
        <w:spacing w:after="0"/>
        <w:jc w:val="both"/>
        <w:rPr>
          <w:rFonts w:asciiTheme="minorBidi" w:hAnsiTheme="minorBidi"/>
        </w:rPr>
      </w:pPr>
    </w:p>
    <w:p w:rsidR="009F740F" w:rsidRDefault="009F740F" w:rsidP="003054A0">
      <w:pPr>
        <w:jc w:val="both"/>
        <w:rPr>
          <w:rFonts w:asciiTheme="minorBidi" w:hAnsiTheme="minorBidi"/>
          <w:b/>
          <w:bCs/>
        </w:rPr>
      </w:pPr>
      <w:r w:rsidRPr="000A0FC9">
        <w:rPr>
          <w:rFonts w:asciiTheme="minorBidi" w:hAnsiTheme="minorBidi"/>
          <w:b/>
          <w:bCs/>
        </w:rPr>
        <w:t xml:space="preserve">Figure </w:t>
      </w:r>
      <w:r w:rsidR="003054A0">
        <w:rPr>
          <w:rFonts w:asciiTheme="minorBidi" w:hAnsiTheme="minorBidi"/>
          <w:b/>
          <w:bCs/>
        </w:rPr>
        <w:t>I</w:t>
      </w:r>
      <w:r w:rsidR="00305E2F">
        <w:rPr>
          <w:rFonts w:asciiTheme="minorBidi" w:hAnsiTheme="minorBidi"/>
          <w:b/>
          <w:bCs/>
        </w:rPr>
        <w:t>I</w:t>
      </w:r>
      <w:r w:rsidRPr="000A0FC9">
        <w:rPr>
          <w:rFonts w:asciiTheme="minorBidi" w:hAnsiTheme="minorBidi"/>
          <w:b/>
          <w:bCs/>
        </w:rPr>
        <w:t>. Incidence of IVH according to birth weight subgroup</w:t>
      </w:r>
    </w:p>
    <w:p w:rsidR="0047257A" w:rsidRDefault="0047257A" w:rsidP="003054A0">
      <w:pPr>
        <w:jc w:val="both"/>
        <w:rPr>
          <w:rFonts w:asciiTheme="minorBidi" w:hAnsiTheme="minorBidi"/>
          <w:b/>
          <w:bCs/>
        </w:rPr>
      </w:pPr>
    </w:p>
    <w:p w:rsidR="00845870" w:rsidRPr="000A0FC9" w:rsidRDefault="00845870" w:rsidP="00845870">
      <w:pPr>
        <w:rPr>
          <w:rFonts w:asciiTheme="minorBidi" w:hAnsiTheme="minorBidi"/>
          <w:sz w:val="24"/>
          <w:szCs w:val="24"/>
        </w:rPr>
      </w:pPr>
      <w:r w:rsidRPr="000A0FC9">
        <w:rPr>
          <w:rFonts w:asciiTheme="minorBidi" w:hAnsiTheme="minorBidi"/>
          <w:noProof/>
          <w:sz w:val="24"/>
          <w:szCs w:val="24"/>
          <w:u w:val="single"/>
        </w:rPr>
        <w:drawing>
          <wp:inline distT="0" distB="0" distL="0" distR="0" wp14:anchorId="337D4DBA" wp14:editId="691BB927">
            <wp:extent cx="5486400" cy="2872854"/>
            <wp:effectExtent l="0" t="0" r="19050" b="22860"/>
            <wp:docPr id="57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5870" w:rsidRPr="000A0FC9" w:rsidRDefault="00845870" w:rsidP="003054A0">
      <w:pPr>
        <w:jc w:val="both"/>
        <w:rPr>
          <w:rFonts w:asciiTheme="minorBidi" w:hAnsiTheme="minorBidi"/>
          <w:b/>
          <w:bCs/>
        </w:rPr>
      </w:pPr>
      <w:r w:rsidRPr="000A0FC9">
        <w:rPr>
          <w:rFonts w:asciiTheme="minorBidi" w:hAnsiTheme="minorBidi"/>
          <w:b/>
          <w:bCs/>
        </w:rPr>
        <w:t xml:space="preserve">Figure </w:t>
      </w:r>
      <w:r w:rsidR="003054A0">
        <w:rPr>
          <w:rFonts w:asciiTheme="minorBidi" w:hAnsiTheme="minorBidi"/>
          <w:b/>
          <w:bCs/>
        </w:rPr>
        <w:t>II</w:t>
      </w:r>
      <w:r w:rsidR="00305E2F">
        <w:rPr>
          <w:rFonts w:asciiTheme="minorBidi" w:hAnsiTheme="minorBidi"/>
          <w:b/>
          <w:bCs/>
        </w:rPr>
        <w:t>I</w:t>
      </w:r>
      <w:r w:rsidRPr="000A0FC9">
        <w:rPr>
          <w:rFonts w:asciiTheme="minorBidi" w:hAnsiTheme="minorBidi"/>
          <w:b/>
          <w:bCs/>
        </w:rPr>
        <w:t xml:space="preserve">. Incidence of IVH according to </w:t>
      </w:r>
      <w:r>
        <w:rPr>
          <w:rFonts w:asciiTheme="minorBidi" w:hAnsiTheme="minorBidi"/>
          <w:b/>
          <w:bCs/>
        </w:rPr>
        <w:t>GA</w:t>
      </w:r>
      <w:r w:rsidRPr="000A0FC9">
        <w:rPr>
          <w:rFonts w:asciiTheme="minorBidi" w:hAnsiTheme="minorBidi"/>
          <w:b/>
          <w:bCs/>
        </w:rPr>
        <w:t xml:space="preserve"> subgroup</w:t>
      </w:r>
    </w:p>
    <w:p w:rsidR="009F740F" w:rsidRDefault="009F740F" w:rsidP="003F1484">
      <w:pPr>
        <w:spacing w:after="0"/>
        <w:jc w:val="both"/>
        <w:rPr>
          <w:rFonts w:asciiTheme="minorBidi" w:hAnsiTheme="minorBidi"/>
          <w:b/>
          <w:bCs/>
        </w:rPr>
      </w:pPr>
    </w:p>
    <w:sectPr w:rsidR="009F740F" w:rsidSect="005B6591">
      <w:footerReference w:type="default" r:id="rId12"/>
      <w:pgSz w:w="11907" w:h="16839" w:code="9"/>
      <w:pgMar w:top="1170" w:right="1197" w:bottom="810" w:left="135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30C1CD" w15:done="0"/>
  <w15:commentEx w15:paraId="4DB77E57" w15:done="0"/>
  <w15:commentEx w15:paraId="2F0D103E" w15:done="0"/>
  <w15:commentEx w15:paraId="6B29D6B4" w15:done="0"/>
  <w15:commentEx w15:paraId="1EC9E2F9" w15:done="0"/>
  <w15:commentEx w15:paraId="2CFC8EE9" w15:done="0"/>
  <w15:commentEx w15:paraId="5B236E51" w15:done="0"/>
  <w15:commentEx w15:paraId="402F6ABE" w15:done="0"/>
  <w15:commentEx w15:paraId="6DAD371C" w15:done="0"/>
  <w15:commentEx w15:paraId="5EA31833" w15:done="0"/>
  <w15:commentEx w15:paraId="6F66FDEB" w15:done="0"/>
  <w15:commentEx w15:paraId="0B9DFB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B77E57" w16cid:durableId="213F43CE"/>
  <w16cid:commentId w16cid:paraId="2F0D103E" w16cid:durableId="213F4678"/>
  <w16cid:commentId w16cid:paraId="6B29D6B4" w16cid:durableId="213F4748"/>
  <w16cid:commentId w16cid:paraId="1EC9E2F9" w16cid:durableId="213F4805"/>
  <w16cid:commentId w16cid:paraId="2CFC8EE9" w16cid:durableId="213F4F36"/>
  <w16cid:commentId w16cid:paraId="5B236E51" w16cid:durableId="213F64EB"/>
  <w16cid:commentId w16cid:paraId="402F6ABE" w16cid:durableId="213F658E"/>
  <w16cid:commentId w16cid:paraId="6DAD371C" w16cid:durableId="213F6681"/>
  <w16cid:commentId w16cid:paraId="5EA31833" w16cid:durableId="213F7915"/>
  <w16cid:commentId w16cid:paraId="6F66FDEB" w16cid:durableId="213F7BF8"/>
  <w16cid:commentId w16cid:paraId="0B9DFBAD" w16cid:durableId="213F7C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5F" w:rsidRDefault="0018275F">
      <w:pPr>
        <w:spacing w:after="0" w:line="240" w:lineRule="auto"/>
      </w:pPr>
      <w:r>
        <w:separator/>
      </w:r>
    </w:p>
  </w:endnote>
  <w:endnote w:type="continuationSeparator" w:id="0">
    <w:p w:rsidR="0018275F" w:rsidRDefault="0018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590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E18" w:rsidRDefault="00163E1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E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3E18" w:rsidRDefault="00163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5F" w:rsidRDefault="0018275F">
      <w:pPr>
        <w:spacing w:after="0" w:line="240" w:lineRule="auto"/>
      </w:pPr>
      <w:r>
        <w:separator/>
      </w:r>
    </w:p>
  </w:footnote>
  <w:footnote w:type="continuationSeparator" w:id="0">
    <w:p w:rsidR="0018275F" w:rsidRDefault="00182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5BC0"/>
    <w:multiLevelType w:val="hybridMultilevel"/>
    <w:tmpl w:val="D9809B02"/>
    <w:lvl w:ilvl="0" w:tplc="5DCCE3FC">
      <w:start w:val="1"/>
      <w:numFmt w:val="decimal"/>
      <w:lvlText w:val="%1.)"/>
      <w:lvlJc w:val="left"/>
      <w:pPr>
        <w:ind w:left="1170" w:hanging="360"/>
      </w:pPr>
      <w:rPr>
        <w:rFonts w:hint="default"/>
      </w:rPr>
    </w:lvl>
    <w:lvl w:ilvl="1" w:tplc="CE427362" w:tentative="1">
      <w:start w:val="1"/>
      <w:numFmt w:val="lowerLetter"/>
      <w:lvlText w:val="%2."/>
      <w:lvlJc w:val="left"/>
      <w:pPr>
        <w:ind w:left="1440" w:hanging="360"/>
      </w:pPr>
    </w:lvl>
    <w:lvl w:ilvl="2" w:tplc="FBFA642E" w:tentative="1">
      <w:start w:val="1"/>
      <w:numFmt w:val="lowerRoman"/>
      <w:lvlText w:val="%3."/>
      <w:lvlJc w:val="right"/>
      <w:pPr>
        <w:ind w:left="2160" w:hanging="180"/>
      </w:pPr>
    </w:lvl>
    <w:lvl w:ilvl="3" w:tplc="CE90E386" w:tentative="1">
      <w:start w:val="1"/>
      <w:numFmt w:val="decimal"/>
      <w:lvlText w:val="%4."/>
      <w:lvlJc w:val="left"/>
      <w:pPr>
        <w:ind w:left="2880" w:hanging="360"/>
      </w:pPr>
    </w:lvl>
    <w:lvl w:ilvl="4" w:tplc="25DCD3B4" w:tentative="1">
      <w:start w:val="1"/>
      <w:numFmt w:val="lowerLetter"/>
      <w:lvlText w:val="%5."/>
      <w:lvlJc w:val="left"/>
      <w:pPr>
        <w:ind w:left="3600" w:hanging="360"/>
      </w:pPr>
    </w:lvl>
    <w:lvl w:ilvl="5" w:tplc="30DE0CC4" w:tentative="1">
      <w:start w:val="1"/>
      <w:numFmt w:val="lowerRoman"/>
      <w:lvlText w:val="%6."/>
      <w:lvlJc w:val="right"/>
      <w:pPr>
        <w:ind w:left="4320" w:hanging="180"/>
      </w:pPr>
    </w:lvl>
    <w:lvl w:ilvl="6" w:tplc="10AAC6B8" w:tentative="1">
      <w:start w:val="1"/>
      <w:numFmt w:val="decimal"/>
      <w:lvlText w:val="%7."/>
      <w:lvlJc w:val="left"/>
      <w:pPr>
        <w:ind w:left="5040" w:hanging="360"/>
      </w:pPr>
    </w:lvl>
    <w:lvl w:ilvl="7" w:tplc="29E82C0A" w:tentative="1">
      <w:start w:val="1"/>
      <w:numFmt w:val="lowerLetter"/>
      <w:lvlText w:val="%8."/>
      <w:lvlJc w:val="left"/>
      <w:pPr>
        <w:ind w:left="5760" w:hanging="360"/>
      </w:pPr>
    </w:lvl>
    <w:lvl w:ilvl="8" w:tplc="C4521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71345"/>
    <w:multiLevelType w:val="hybridMultilevel"/>
    <w:tmpl w:val="655E5086"/>
    <w:lvl w:ilvl="0" w:tplc="2CD671A2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E9B21990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CFAB94C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31AFCA4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A5F2A4E0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9012A884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5830AD30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BB74F4F6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BF08A92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58E474D1"/>
    <w:multiLevelType w:val="hybridMultilevel"/>
    <w:tmpl w:val="D76CD616"/>
    <w:lvl w:ilvl="0" w:tplc="D982025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637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4AE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27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05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87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A0A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00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A4D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64D9B"/>
    <w:multiLevelType w:val="hybridMultilevel"/>
    <w:tmpl w:val="84A65A08"/>
    <w:lvl w:ilvl="0" w:tplc="51FA721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7CCCC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FC8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4D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CF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206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290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46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4F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9639A"/>
    <w:multiLevelType w:val="hybridMultilevel"/>
    <w:tmpl w:val="AA5ADDDA"/>
    <w:lvl w:ilvl="0" w:tplc="7B841DD6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  <w:b w:val="0"/>
        <w:bCs w:val="0"/>
        <w:sz w:val="28"/>
        <w:szCs w:val="28"/>
      </w:rPr>
    </w:lvl>
    <w:lvl w:ilvl="1" w:tplc="20BE7CEE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2849C38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91AE5EBC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EC6C7E1C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667E44E0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9A66E782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E60CDB5C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FE63A68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6F0C624E"/>
    <w:multiLevelType w:val="hybridMultilevel"/>
    <w:tmpl w:val="D9809B02"/>
    <w:lvl w:ilvl="0" w:tplc="99EEEF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847CE72E" w:tentative="1">
      <w:start w:val="1"/>
      <w:numFmt w:val="lowerLetter"/>
      <w:lvlText w:val="%2."/>
      <w:lvlJc w:val="left"/>
      <w:pPr>
        <w:ind w:left="1440" w:hanging="360"/>
      </w:pPr>
    </w:lvl>
    <w:lvl w:ilvl="2" w:tplc="91B8E65E" w:tentative="1">
      <w:start w:val="1"/>
      <w:numFmt w:val="lowerRoman"/>
      <w:lvlText w:val="%3."/>
      <w:lvlJc w:val="right"/>
      <w:pPr>
        <w:ind w:left="2160" w:hanging="180"/>
      </w:pPr>
    </w:lvl>
    <w:lvl w:ilvl="3" w:tplc="53DCB918" w:tentative="1">
      <w:start w:val="1"/>
      <w:numFmt w:val="decimal"/>
      <w:lvlText w:val="%4."/>
      <w:lvlJc w:val="left"/>
      <w:pPr>
        <w:ind w:left="2880" w:hanging="360"/>
      </w:pPr>
    </w:lvl>
    <w:lvl w:ilvl="4" w:tplc="81F2CA34" w:tentative="1">
      <w:start w:val="1"/>
      <w:numFmt w:val="lowerLetter"/>
      <w:lvlText w:val="%5."/>
      <w:lvlJc w:val="left"/>
      <w:pPr>
        <w:ind w:left="3600" w:hanging="360"/>
      </w:pPr>
    </w:lvl>
    <w:lvl w:ilvl="5" w:tplc="BD60A23A" w:tentative="1">
      <w:start w:val="1"/>
      <w:numFmt w:val="lowerRoman"/>
      <w:lvlText w:val="%6."/>
      <w:lvlJc w:val="right"/>
      <w:pPr>
        <w:ind w:left="4320" w:hanging="180"/>
      </w:pPr>
    </w:lvl>
    <w:lvl w:ilvl="6" w:tplc="FD38F67E" w:tentative="1">
      <w:start w:val="1"/>
      <w:numFmt w:val="decimal"/>
      <w:lvlText w:val="%7."/>
      <w:lvlJc w:val="left"/>
      <w:pPr>
        <w:ind w:left="5040" w:hanging="360"/>
      </w:pPr>
    </w:lvl>
    <w:lvl w:ilvl="7" w:tplc="CE144E42" w:tentative="1">
      <w:start w:val="1"/>
      <w:numFmt w:val="lowerLetter"/>
      <w:lvlText w:val="%8."/>
      <w:lvlJc w:val="left"/>
      <w:pPr>
        <w:ind w:left="5760" w:hanging="360"/>
      </w:pPr>
    </w:lvl>
    <w:lvl w:ilvl="8" w:tplc="8C8EB9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zsjAwNjAxNLUwszBU0lEKTi0uzszPAykwqwUAktKGoSwAAAA="/>
    <w:docVar w:name="MachineID" w:val="207|207|197|185|203|197|199|187|197|187|186|197|205|198|197|188|204|"/>
    <w:docVar w:name="Username" w:val="Editor"/>
  </w:docVars>
  <w:rsids>
    <w:rsidRoot w:val="00F110C3"/>
    <w:rsid w:val="0000322C"/>
    <w:rsid w:val="000034EE"/>
    <w:rsid w:val="00004F8C"/>
    <w:rsid w:val="0001183F"/>
    <w:rsid w:val="00012C14"/>
    <w:rsid w:val="00015AB4"/>
    <w:rsid w:val="00020546"/>
    <w:rsid w:val="00034EB4"/>
    <w:rsid w:val="00040E6B"/>
    <w:rsid w:val="00042E96"/>
    <w:rsid w:val="00047A14"/>
    <w:rsid w:val="00051FE8"/>
    <w:rsid w:val="00055BE4"/>
    <w:rsid w:val="00065E46"/>
    <w:rsid w:val="00073917"/>
    <w:rsid w:val="00074900"/>
    <w:rsid w:val="000766E5"/>
    <w:rsid w:val="00083949"/>
    <w:rsid w:val="000854DD"/>
    <w:rsid w:val="000953C3"/>
    <w:rsid w:val="00097685"/>
    <w:rsid w:val="000A3395"/>
    <w:rsid w:val="000B1DCC"/>
    <w:rsid w:val="000C1DF8"/>
    <w:rsid w:val="000C2BBF"/>
    <w:rsid w:val="000C5EF0"/>
    <w:rsid w:val="000D04D9"/>
    <w:rsid w:val="000D3102"/>
    <w:rsid w:val="000D3AED"/>
    <w:rsid w:val="000E2159"/>
    <w:rsid w:val="000E4963"/>
    <w:rsid w:val="000F51B1"/>
    <w:rsid w:val="000F627C"/>
    <w:rsid w:val="001029A1"/>
    <w:rsid w:val="00111287"/>
    <w:rsid w:val="001121A3"/>
    <w:rsid w:val="00112B9A"/>
    <w:rsid w:val="00122BC0"/>
    <w:rsid w:val="00123FA9"/>
    <w:rsid w:val="0012645C"/>
    <w:rsid w:val="001301A6"/>
    <w:rsid w:val="00135399"/>
    <w:rsid w:val="00137BE0"/>
    <w:rsid w:val="00140DB7"/>
    <w:rsid w:val="00153E6D"/>
    <w:rsid w:val="00156351"/>
    <w:rsid w:val="00156455"/>
    <w:rsid w:val="0016015C"/>
    <w:rsid w:val="00163E18"/>
    <w:rsid w:val="00163E41"/>
    <w:rsid w:val="00166BC2"/>
    <w:rsid w:val="001773DE"/>
    <w:rsid w:val="0018275F"/>
    <w:rsid w:val="00184D82"/>
    <w:rsid w:val="001942AD"/>
    <w:rsid w:val="00197028"/>
    <w:rsid w:val="001A6604"/>
    <w:rsid w:val="001A72D4"/>
    <w:rsid w:val="001B0822"/>
    <w:rsid w:val="001B1A59"/>
    <w:rsid w:val="001B659D"/>
    <w:rsid w:val="001C6824"/>
    <w:rsid w:val="001D044B"/>
    <w:rsid w:val="001D25F2"/>
    <w:rsid w:val="001E1ED8"/>
    <w:rsid w:val="001E6359"/>
    <w:rsid w:val="001F0111"/>
    <w:rsid w:val="00200E40"/>
    <w:rsid w:val="002040DE"/>
    <w:rsid w:val="00207AAB"/>
    <w:rsid w:val="00212CC5"/>
    <w:rsid w:val="00215CF9"/>
    <w:rsid w:val="002277B0"/>
    <w:rsid w:val="00231313"/>
    <w:rsid w:val="00236783"/>
    <w:rsid w:val="00236C9A"/>
    <w:rsid w:val="00237940"/>
    <w:rsid w:val="002416BA"/>
    <w:rsid w:val="0024266A"/>
    <w:rsid w:val="00245857"/>
    <w:rsid w:val="002464F2"/>
    <w:rsid w:val="00251AFF"/>
    <w:rsid w:val="0026218A"/>
    <w:rsid w:val="00262FCB"/>
    <w:rsid w:val="00272B85"/>
    <w:rsid w:val="00277EAF"/>
    <w:rsid w:val="0028389F"/>
    <w:rsid w:val="00285CC1"/>
    <w:rsid w:val="00285D38"/>
    <w:rsid w:val="00286606"/>
    <w:rsid w:val="0029075B"/>
    <w:rsid w:val="00294F8C"/>
    <w:rsid w:val="002A25E4"/>
    <w:rsid w:val="002A5976"/>
    <w:rsid w:val="002B1465"/>
    <w:rsid w:val="002B42B4"/>
    <w:rsid w:val="002B4C55"/>
    <w:rsid w:val="002B5FFE"/>
    <w:rsid w:val="002C0C73"/>
    <w:rsid w:val="002C37E4"/>
    <w:rsid w:val="002C38FF"/>
    <w:rsid w:val="002E51FF"/>
    <w:rsid w:val="002E7467"/>
    <w:rsid w:val="002F370A"/>
    <w:rsid w:val="002F6C6A"/>
    <w:rsid w:val="003014FA"/>
    <w:rsid w:val="00304AA5"/>
    <w:rsid w:val="003054A0"/>
    <w:rsid w:val="00305E2F"/>
    <w:rsid w:val="00310FE8"/>
    <w:rsid w:val="003125FD"/>
    <w:rsid w:val="00314FC9"/>
    <w:rsid w:val="00330F22"/>
    <w:rsid w:val="0034685C"/>
    <w:rsid w:val="00347361"/>
    <w:rsid w:val="00361D9A"/>
    <w:rsid w:val="003635A8"/>
    <w:rsid w:val="00364F21"/>
    <w:rsid w:val="00365090"/>
    <w:rsid w:val="0036618A"/>
    <w:rsid w:val="003706D1"/>
    <w:rsid w:val="0037380A"/>
    <w:rsid w:val="0038464F"/>
    <w:rsid w:val="00394CF0"/>
    <w:rsid w:val="003A2FE3"/>
    <w:rsid w:val="003A43F4"/>
    <w:rsid w:val="003A5969"/>
    <w:rsid w:val="003B0260"/>
    <w:rsid w:val="003B67F7"/>
    <w:rsid w:val="003C08C7"/>
    <w:rsid w:val="003C1B9E"/>
    <w:rsid w:val="003C4403"/>
    <w:rsid w:val="003E258A"/>
    <w:rsid w:val="003F1484"/>
    <w:rsid w:val="003F1589"/>
    <w:rsid w:val="003F1C9E"/>
    <w:rsid w:val="003F38EF"/>
    <w:rsid w:val="003F5971"/>
    <w:rsid w:val="003F77A1"/>
    <w:rsid w:val="004078A7"/>
    <w:rsid w:val="004118E8"/>
    <w:rsid w:val="004225A5"/>
    <w:rsid w:val="00422CDE"/>
    <w:rsid w:val="00424B05"/>
    <w:rsid w:val="0042631F"/>
    <w:rsid w:val="00426AE3"/>
    <w:rsid w:val="004402D8"/>
    <w:rsid w:val="00442A35"/>
    <w:rsid w:val="0044495C"/>
    <w:rsid w:val="00444F9F"/>
    <w:rsid w:val="00445D59"/>
    <w:rsid w:val="00446A37"/>
    <w:rsid w:val="00447573"/>
    <w:rsid w:val="0045050A"/>
    <w:rsid w:val="0045496E"/>
    <w:rsid w:val="00464944"/>
    <w:rsid w:val="00466797"/>
    <w:rsid w:val="0047257A"/>
    <w:rsid w:val="00474816"/>
    <w:rsid w:val="00483304"/>
    <w:rsid w:val="004926F4"/>
    <w:rsid w:val="004961DC"/>
    <w:rsid w:val="00496F97"/>
    <w:rsid w:val="004A1704"/>
    <w:rsid w:val="004A2FD9"/>
    <w:rsid w:val="004B30B8"/>
    <w:rsid w:val="004B632D"/>
    <w:rsid w:val="004B67F7"/>
    <w:rsid w:val="004B6D23"/>
    <w:rsid w:val="004B70D6"/>
    <w:rsid w:val="004B7236"/>
    <w:rsid w:val="004C136A"/>
    <w:rsid w:val="004C43DF"/>
    <w:rsid w:val="004C7B54"/>
    <w:rsid w:val="004D058C"/>
    <w:rsid w:val="004D099C"/>
    <w:rsid w:val="004D1936"/>
    <w:rsid w:val="004D2885"/>
    <w:rsid w:val="004E5E5E"/>
    <w:rsid w:val="004F237B"/>
    <w:rsid w:val="004F4751"/>
    <w:rsid w:val="00500A94"/>
    <w:rsid w:val="0050134B"/>
    <w:rsid w:val="00501C77"/>
    <w:rsid w:val="00502F14"/>
    <w:rsid w:val="00503067"/>
    <w:rsid w:val="005040A0"/>
    <w:rsid w:val="005056B6"/>
    <w:rsid w:val="00507305"/>
    <w:rsid w:val="005238D3"/>
    <w:rsid w:val="00527EF8"/>
    <w:rsid w:val="00530190"/>
    <w:rsid w:val="00546CA0"/>
    <w:rsid w:val="00551CEA"/>
    <w:rsid w:val="00556199"/>
    <w:rsid w:val="005568FD"/>
    <w:rsid w:val="00575CB1"/>
    <w:rsid w:val="005761FE"/>
    <w:rsid w:val="00585A6B"/>
    <w:rsid w:val="00591504"/>
    <w:rsid w:val="00596B0B"/>
    <w:rsid w:val="005977F7"/>
    <w:rsid w:val="00597FBA"/>
    <w:rsid w:val="005A425A"/>
    <w:rsid w:val="005A5FBA"/>
    <w:rsid w:val="005B18E2"/>
    <w:rsid w:val="005B1A29"/>
    <w:rsid w:val="005B6591"/>
    <w:rsid w:val="005C09A7"/>
    <w:rsid w:val="005C1223"/>
    <w:rsid w:val="005C23AE"/>
    <w:rsid w:val="005C350E"/>
    <w:rsid w:val="005D327F"/>
    <w:rsid w:val="005E27D6"/>
    <w:rsid w:val="005E3376"/>
    <w:rsid w:val="005F384E"/>
    <w:rsid w:val="005F544A"/>
    <w:rsid w:val="00600ADE"/>
    <w:rsid w:val="00602EB3"/>
    <w:rsid w:val="00605145"/>
    <w:rsid w:val="006052FE"/>
    <w:rsid w:val="00613152"/>
    <w:rsid w:val="00624F97"/>
    <w:rsid w:val="00636AF0"/>
    <w:rsid w:val="006370B1"/>
    <w:rsid w:val="006468B3"/>
    <w:rsid w:val="0064790E"/>
    <w:rsid w:val="00650295"/>
    <w:rsid w:val="00674308"/>
    <w:rsid w:val="006747A3"/>
    <w:rsid w:val="0067760F"/>
    <w:rsid w:val="0068408A"/>
    <w:rsid w:val="0068529F"/>
    <w:rsid w:val="006A514D"/>
    <w:rsid w:val="006B35F6"/>
    <w:rsid w:val="006B6D07"/>
    <w:rsid w:val="006C4C89"/>
    <w:rsid w:val="006C553E"/>
    <w:rsid w:val="006F0833"/>
    <w:rsid w:val="006F2AD2"/>
    <w:rsid w:val="006F43A9"/>
    <w:rsid w:val="006F4C44"/>
    <w:rsid w:val="00706FE5"/>
    <w:rsid w:val="007104FE"/>
    <w:rsid w:val="0071620B"/>
    <w:rsid w:val="00726250"/>
    <w:rsid w:val="0072729B"/>
    <w:rsid w:val="0075174C"/>
    <w:rsid w:val="00753D90"/>
    <w:rsid w:val="00756063"/>
    <w:rsid w:val="007572A0"/>
    <w:rsid w:val="007645CA"/>
    <w:rsid w:val="0076687C"/>
    <w:rsid w:val="00767D74"/>
    <w:rsid w:val="00772791"/>
    <w:rsid w:val="007823D6"/>
    <w:rsid w:val="007869DA"/>
    <w:rsid w:val="00787DC1"/>
    <w:rsid w:val="00797B1E"/>
    <w:rsid w:val="007A1D4B"/>
    <w:rsid w:val="007A1DB0"/>
    <w:rsid w:val="007A6F90"/>
    <w:rsid w:val="007A7E32"/>
    <w:rsid w:val="007B2DDF"/>
    <w:rsid w:val="007B5E2E"/>
    <w:rsid w:val="007B75A5"/>
    <w:rsid w:val="007B7FC3"/>
    <w:rsid w:val="007C7C37"/>
    <w:rsid w:val="007D3D18"/>
    <w:rsid w:val="007E01BA"/>
    <w:rsid w:val="007E42F6"/>
    <w:rsid w:val="007E7B3B"/>
    <w:rsid w:val="007E7D56"/>
    <w:rsid w:val="00800C15"/>
    <w:rsid w:val="00800FFA"/>
    <w:rsid w:val="00802EC7"/>
    <w:rsid w:val="00804C42"/>
    <w:rsid w:val="00806466"/>
    <w:rsid w:val="00811CC1"/>
    <w:rsid w:val="00812BFC"/>
    <w:rsid w:val="0081315E"/>
    <w:rsid w:val="00813F48"/>
    <w:rsid w:val="008340E7"/>
    <w:rsid w:val="008372F5"/>
    <w:rsid w:val="00837550"/>
    <w:rsid w:val="008401D7"/>
    <w:rsid w:val="0084238B"/>
    <w:rsid w:val="008431DF"/>
    <w:rsid w:val="008455ED"/>
    <w:rsid w:val="00845870"/>
    <w:rsid w:val="0085019D"/>
    <w:rsid w:val="00852A45"/>
    <w:rsid w:val="008542B0"/>
    <w:rsid w:val="0086054B"/>
    <w:rsid w:val="0086308C"/>
    <w:rsid w:val="00864C95"/>
    <w:rsid w:val="00874426"/>
    <w:rsid w:val="00887D5F"/>
    <w:rsid w:val="00890B9A"/>
    <w:rsid w:val="008926D2"/>
    <w:rsid w:val="00894937"/>
    <w:rsid w:val="00895DE9"/>
    <w:rsid w:val="008963ED"/>
    <w:rsid w:val="0089780F"/>
    <w:rsid w:val="008A6008"/>
    <w:rsid w:val="008A7AAB"/>
    <w:rsid w:val="008B0322"/>
    <w:rsid w:val="008B0FA0"/>
    <w:rsid w:val="008B352C"/>
    <w:rsid w:val="008B5C85"/>
    <w:rsid w:val="008C10F3"/>
    <w:rsid w:val="008C3D10"/>
    <w:rsid w:val="008E2D2F"/>
    <w:rsid w:val="008F476D"/>
    <w:rsid w:val="008F56C2"/>
    <w:rsid w:val="0090117B"/>
    <w:rsid w:val="00904024"/>
    <w:rsid w:val="00906B7E"/>
    <w:rsid w:val="009072D4"/>
    <w:rsid w:val="00907517"/>
    <w:rsid w:val="00911BFE"/>
    <w:rsid w:val="00920223"/>
    <w:rsid w:val="00920E56"/>
    <w:rsid w:val="00921238"/>
    <w:rsid w:val="0092169B"/>
    <w:rsid w:val="00926CFA"/>
    <w:rsid w:val="00931936"/>
    <w:rsid w:val="009330F5"/>
    <w:rsid w:val="0093465C"/>
    <w:rsid w:val="00941EB1"/>
    <w:rsid w:val="00943936"/>
    <w:rsid w:val="00946FC1"/>
    <w:rsid w:val="00950471"/>
    <w:rsid w:val="00952035"/>
    <w:rsid w:val="00953517"/>
    <w:rsid w:val="00970211"/>
    <w:rsid w:val="00970D09"/>
    <w:rsid w:val="009749E9"/>
    <w:rsid w:val="0097710B"/>
    <w:rsid w:val="00981A76"/>
    <w:rsid w:val="00981E15"/>
    <w:rsid w:val="0098570C"/>
    <w:rsid w:val="0099486B"/>
    <w:rsid w:val="009952F8"/>
    <w:rsid w:val="00995B21"/>
    <w:rsid w:val="00997A6B"/>
    <w:rsid w:val="009A5A24"/>
    <w:rsid w:val="009A7272"/>
    <w:rsid w:val="009B214A"/>
    <w:rsid w:val="009B6E8F"/>
    <w:rsid w:val="009C4EA0"/>
    <w:rsid w:val="009D3435"/>
    <w:rsid w:val="009D7707"/>
    <w:rsid w:val="009D7B79"/>
    <w:rsid w:val="009E105C"/>
    <w:rsid w:val="009E1826"/>
    <w:rsid w:val="009F109C"/>
    <w:rsid w:val="009F1422"/>
    <w:rsid w:val="009F584D"/>
    <w:rsid w:val="009F740F"/>
    <w:rsid w:val="00A02104"/>
    <w:rsid w:val="00A036AF"/>
    <w:rsid w:val="00A10039"/>
    <w:rsid w:val="00A11B0B"/>
    <w:rsid w:val="00A17459"/>
    <w:rsid w:val="00A2091F"/>
    <w:rsid w:val="00A22BB9"/>
    <w:rsid w:val="00A230D3"/>
    <w:rsid w:val="00A23932"/>
    <w:rsid w:val="00A30A43"/>
    <w:rsid w:val="00A31930"/>
    <w:rsid w:val="00A45FD8"/>
    <w:rsid w:val="00A51B1D"/>
    <w:rsid w:val="00A52BF8"/>
    <w:rsid w:val="00A53CE7"/>
    <w:rsid w:val="00A54C30"/>
    <w:rsid w:val="00A56B2A"/>
    <w:rsid w:val="00A56E02"/>
    <w:rsid w:val="00A70AE8"/>
    <w:rsid w:val="00A74932"/>
    <w:rsid w:val="00A7577E"/>
    <w:rsid w:val="00A77B4A"/>
    <w:rsid w:val="00A824F8"/>
    <w:rsid w:val="00A868CF"/>
    <w:rsid w:val="00A938BD"/>
    <w:rsid w:val="00AA058C"/>
    <w:rsid w:val="00AA3FD2"/>
    <w:rsid w:val="00AA4CA3"/>
    <w:rsid w:val="00AB1570"/>
    <w:rsid w:val="00AB5556"/>
    <w:rsid w:val="00AC085D"/>
    <w:rsid w:val="00AC22F2"/>
    <w:rsid w:val="00AC293F"/>
    <w:rsid w:val="00AD36AE"/>
    <w:rsid w:val="00AE3066"/>
    <w:rsid w:val="00AE71D7"/>
    <w:rsid w:val="00AF0AD5"/>
    <w:rsid w:val="00AF0B48"/>
    <w:rsid w:val="00AF7E91"/>
    <w:rsid w:val="00B00B0D"/>
    <w:rsid w:val="00B13841"/>
    <w:rsid w:val="00B155E8"/>
    <w:rsid w:val="00B17ACE"/>
    <w:rsid w:val="00B276A3"/>
    <w:rsid w:val="00B30B68"/>
    <w:rsid w:val="00B33CC1"/>
    <w:rsid w:val="00B35853"/>
    <w:rsid w:val="00B36862"/>
    <w:rsid w:val="00B444BA"/>
    <w:rsid w:val="00B45D11"/>
    <w:rsid w:val="00B46A6B"/>
    <w:rsid w:val="00B521CA"/>
    <w:rsid w:val="00B53C23"/>
    <w:rsid w:val="00B5540C"/>
    <w:rsid w:val="00B57278"/>
    <w:rsid w:val="00B653DE"/>
    <w:rsid w:val="00B65879"/>
    <w:rsid w:val="00B931A2"/>
    <w:rsid w:val="00B93674"/>
    <w:rsid w:val="00B9452F"/>
    <w:rsid w:val="00BA21F7"/>
    <w:rsid w:val="00BA63C6"/>
    <w:rsid w:val="00BA74E4"/>
    <w:rsid w:val="00BB571F"/>
    <w:rsid w:val="00BB6035"/>
    <w:rsid w:val="00BC1491"/>
    <w:rsid w:val="00BC4046"/>
    <w:rsid w:val="00BC633D"/>
    <w:rsid w:val="00BC7290"/>
    <w:rsid w:val="00BC7FB5"/>
    <w:rsid w:val="00BD615D"/>
    <w:rsid w:val="00BE1615"/>
    <w:rsid w:val="00BE34B8"/>
    <w:rsid w:val="00BE5520"/>
    <w:rsid w:val="00BF580E"/>
    <w:rsid w:val="00BF65E5"/>
    <w:rsid w:val="00C002AC"/>
    <w:rsid w:val="00C07728"/>
    <w:rsid w:val="00C127D2"/>
    <w:rsid w:val="00C21CFF"/>
    <w:rsid w:val="00C42342"/>
    <w:rsid w:val="00C437E5"/>
    <w:rsid w:val="00C43BA3"/>
    <w:rsid w:val="00C44978"/>
    <w:rsid w:val="00C519D1"/>
    <w:rsid w:val="00C51CCE"/>
    <w:rsid w:val="00C528B3"/>
    <w:rsid w:val="00C553F3"/>
    <w:rsid w:val="00C62063"/>
    <w:rsid w:val="00C649BB"/>
    <w:rsid w:val="00C64E38"/>
    <w:rsid w:val="00C71BE4"/>
    <w:rsid w:val="00C74AAB"/>
    <w:rsid w:val="00C76196"/>
    <w:rsid w:val="00C878B4"/>
    <w:rsid w:val="00C906F6"/>
    <w:rsid w:val="00C922FB"/>
    <w:rsid w:val="00C9266D"/>
    <w:rsid w:val="00C93A64"/>
    <w:rsid w:val="00C95F3C"/>
    <w:rsid w:val="00CB6F5F"/>
    <w:rsid w:val="00CC08EC"/>
    <w:rsid w:val="00CC0A51"/>
    <w:rsid w:val="00CC1EAA"/>
    <w:rsid w:val="00CD09D3"/>
    <w:rsid w:val="00CD313D"/>
    <w:rsid w:val="00CE2C2E"/>
    <w:rsid w:val="00CE35BE"/>
    <w:rsid w:val="00CF6EC3"/>
    <w:rsid w:val="00D065DF"/>
    <w:rsid w:val="00D16CF6"/>
    <w:rsid w:val="00D252FA"/>
    <w:rsid w:val="00D32180"/>
    <w:rsid w:val="00D4202C"/>
    <w:rsid w:val="00D4363D"/>
    <w:rsid w:val="00D536E8"/>
    <w:rsid w:val="00D568E4"/>
    <w:rsid w:val="00D621CF"/>
    <w:rsid w:val="00D6387C"/>
    <w:rsid w:val="00D6703D"/>
    <w:rsid w:val="00D71FEA"/>
    <w:rsid w:val="00D73018"/>
    <w:rsid w:val="00D75CB9"/>
    <w:rsid w:val="00D853FB"/>
    <w:rsid w:val="00D85D28"/>
    <w:rsid w:val="00D91AC0"/>
    <w:rsid w:val="00D92C22"/>
    <w:rsid w:val="00D969EC"/>
    <w:rsid w:val="00DA2E9F"/>
    <w:rsid w:val="00DA702C"/>
    <w:rsid w:val="00DA785A"/>
    <w:rsid w:val="00DB619A"/>
    <w:rsid w:val="00DD1A6C"/>
    <w:rsid w:val="00DD6C4C"/>
    <w:rsid w:val="00DE4222"/>
    <w:rsid w:val="00DF0DF5"/>
    <w:rsid w:val="00E00482"/>
    <w:rsid w:val="00E00E65"/>
    <w:rsid w:val="00E153A2"/>
    <w:rsid w:val="00E16044"/>
    <w:rsid w:val="00E22653"/>
    <w:rsid w:val="00E25E6B"/>
    <w:rsid w:val="00E25FCC"/>
    <w:rsid w:val="00E26B68"/>
    <w:rsid w:val="00E33C04"/>
    <w:rsid w:val="00E34CC3"/>
    <w:rsid w:val="00E374E6"/>
    <w:rsid w:val="00E4739E"/>
    <w:rsid w:val="00E53D54"/>
    <w:rsid w:val="00E6375F"/>
    <w:rsid w:val="00E7037B"/>
    <w:rsid w:val="00E91381"/>
    <w:rsid w:val="00E928B2"/>
    <w:rsid w:val="00E93296"/>
    <w:rsid w:val="00EA7472"/>
    <w:rsid w:val="00EB54FB"/>
    <w:rsid w:val="00EC255C"/>
    <w:rsid w:val="00EC377F"/>
    <w:rsid w:val="00ED0C22"/>
    <w:rsid w:val="00ED0D23"/>
    <w:rsid w:val="00ED0EE4"/>
    <w:rsid w:val="00ED33E4"/>
    <w:rsid w:val="00ED58E4"/>
    <w:rsid w:val="00EE0900"/>
    <w:rsid w:val="00EE2340"/>
    <w:rsid w:val="00EE2534"/>
    <w:rsid w:val="00EE4572"/>
    <w:rsid w:val="00EF265B"/>
    <w:rsid w:val="00EF3666"/>
    <w:rsid w:val="00EF57E3"/>
    <w:rsid w:val="00EF6B1E"/>
    <w:rsid w:val="00EF72CE"/>
    <w:rsid w:val="00F110C3"/>
    <w:rsid w:val="00F116DE"/>
    <w:rsid w:val="00F1173F"/>
    <w:rsid w:val="00F146FC"/>
    <w:rsid w:val="00F21032"/>
    <w:rsid w:val="00F22F49"/>
    <w:rsid w:val="00F23BC5"/>
    <w:rsid w:val="00F23E81"/>
    <w:rsid w:val="00F24476"/>
    <w:rsid w:val="00F30F2A"/>
    <w:rsid w:val="00F35D05"/>
    <w:rsid w:val="00F41119"/>
    <w:rsid w:val="00F43B68"/>
    <w:rsid w:val="00F55943"/>
    <w:rsid w:val="00F61302"/>
    <w:rsid w:val="00F6527C"/>
    <w:rsid w:val="00F668C1"/>
    <w:rsid w:val="00F74BA4"/>
    <w:rsid w:val="00F750F3"/>
    <w:rsid w:val="00F769FE"/>
    <w:rsid w:val="00F8030A"/>
    <w:rsid w:val="00F92A20"/>
    <w:rsid w:val="00F931A8"/>
    <w:rsid w:val="00F96033"/>
    <w:rsid w:val="00FA08A7"/>
    <w:rsid w:val="00FA1C05"/>
    <w:rsid w:val="00FA4062"/>
    <w:rsid w:val="00FA5539"/>
    <w:rsid w:val="00FB3E9B"/>
    <w:rsid w:val="00FD1102"/>
    <w:rsid w:val="00FE02EB"/>
    <w:rsid w:val="00FE243B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52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m286493101743772636apple-tab-span">
    <w:name w:val="m_286493101743772636apple-tab-span"/>
    <w:basedOn w:val="DefaultParagraphFont"/>
    <w:rsid w:val="00527EF8"/>
  </w:style>
  <w:style w:type="paragraph" w:styleId="Header">
    <w:name w:val="header"/>
    <w:basedOn w:val="Normal"/>
    <w:link w:val="HeaderChar"/>
    <w:uiPriority w:val="99"/>
    <w:unhideWhenUsed/>
    <w:rsid w:val="00177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DE"/>
  </w:style>
  <w:style w:type="paragraph" w:styleId="Footer">
    <w:name w:val="footer"/>
    <w:basedOn w:val="Normal"/>
    <w:link w:val="FooterChar"/>
    <w:uiPriority w:val="99"/>
    <w:unhideWhenUsed/>
    <w:rsid w:val="00177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DE"/>
  </w:style>
  <w:style w:type="character" w:styleId="CommentReference">
    <w:name w:val="annotation reference"/>
    <w:basedOn w:val="DefaultParagraphFont"/>
    <w:uiPriority w:val="99"/>
    <w:semiHidden/>
    <w:unhideWhenUsed/>
    <w:rsid w:val="007572A0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2A0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2A0"/>
    <w:rPr>
      <w:rFonts w:ascii="Tahoma" w:hAnsi="Tahoma" w:cs="Tahoma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2A0"/>
    <w:rPr>
      <w:rFonts w:ascii="Tahoma" w:hAnsi="Tahoma" w:cs="Tahoma"/>
      <w:b/>
      <w:bCs/>
      <w:sz w:val="16"/>
      <w:szCs w:val="20"/>
    </w:rPr>
  </w:style>
  <w:style w:type="character" w:customStyle="1" w:styleId="st">
    <w:name w:val="st"/>
    <w:basedOn w:val="DefaultParagraphFont"/>
    <w:rsid w:val="003F5971"/>
  </w:style>
  <w:style w:type="paragraph" w:styleId="Revision">
    <w:name w:val="Revision"/>
    <w:hidden/>
    <w:uiPriority w:val="99"/>
    <w:semiHidden/>
    <w:rsid w:val="00F92A20"/>
    <w:pPr>
      <w:spacing w:after="0" w:line="240" w:lineRule="auto"/>
    </w:pPr>
  </w:style>
  <w:style w:type="paragraph" w:customStyle="1" w:styleId="xp1">
    <w:name w:val="x_p1"/>
    <w:basedOn w:val="Normal"/>
    <w:rsid w:val="00AB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AB5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52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m286493101743772636apple-tab-span">
    <w:name w:val="m_286493101743772636apple-tab-span"/>
    <w:basedOn w:val="DefaultParagraphFont"/>
    <w:rsid w:val="00527EF8"/>
  </w:style>
  <w:style w:type="paragraph" w:styleId="Header">
    <w:name w:val="header"/>
    <w:basedOn w:val="Normal"/>
    <w:link w:val="HeaderChar"/>
    <w:uiPriority w:val="99"/>
    <w:unhideWhenUsed/>
    <w:rsid w:val="00177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DE"/>
  </w:style>
  <w:style w:type="paragraph" w:styleId="Footer">
    <w:name w:val="footer"/>
    <w:basedOn w:val="Normal"/>
    <w:link w:val="FooterChar"/>
    <w:uiPriority w:val="99"/>
    <w:unhideWhenUsed/>
    <w:rsid w:val="00177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DE"/>
  </w:style>
  <w:style w:type="character" w:styleId="CommentReference">
    <w:name w:val="annotation reference"/>
    <w:basedOn w:val="DefaultParagraphFont"/>
    <w:uiPriority w:val="99"/>
    <w:semiHidden/>
    <w:unhideWhenUsed/>
    <w:rsid w:val="007572A0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2A0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2A0"/>
    <w:rPr>
      <w:rFonts w:ascii="Tahoma" w:hAnsi="Tahoma" w:cs="Tahoma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2A0"/>
    <w:rPr>
      <w:rFonts w:ascii="Tahoma" w:hAnsi="Tahoma" w:cs="Tahoma"/>
      <w:b/>
      <w:bCs/>
      <w:sz w:val="16"/>
      <w:szCs w:val="20"/>
    </w:rPr>
  </w:style>
  <w:style w:type="character" w:customStyle="1" w:styleId="st">
    <w:name w:val="st"/>
    <w:basedOn w:val="DefaultParagraphFont"/>
    <w:rsid w:val="003F5971"/>
  </w:style>
  <w:style w:type="paragraph" w:styleId="Revision">
    <w:name w:val="Revision"/>
    <w:hidden/>
    <w:uiPriority w:val="99"/>
    <w:semiHidden/>
    <w:rsid w:val="00F92A20"/>
    <w:pPr>
      <w:spacing w:after="0" w:line="240" w:lineRule="auto"/>
    </w:pPr>
  </w:style>
  <w:style w:type="paragraph" w:customStyle="1" w:styleId="xp1">
    <w:name w:val="x_p1"/>
    <w:basedOn w:val="Normal"/>
    <w:rsid w:val="00AB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AB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ifs\Desktop\IVH%202018\IVH%20DATA%20-%20DR.%20OMAR%20(22.07.2019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ifs\Desktop\IVH%202018\IVH%20DATA%20-%20DR.%20OMAR%20(22.07.2019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ifs\Desktop\IVH%202018\Copy%20of%20IVH_results_23_07_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715525943872394E-2"/>
          <c:y val="0.16764501421506681"/>
          <c:w val="0.87878020055185413"/>
          <c:h val="0.6984788252819749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A5E3-483D-AEED-3CF556EB3438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5E3-483D-AEED-3CF556EB3438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A5E3-483D-AEED-3CF556EB3438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'FREQ BY IVH'!$K$38:$M$38</c:f>
              <c:strCache>
                <c:ptCount val="3"/>
                <c:pt idx="0">
                  <c:v>NO IVH</c:v>
                </c:pt>
                <c:pt idx="1">
                  <c:v>MILD IVH (GRADE I &amp; II)</c:v>
                </c:pt>
                <c:pt idx="2">
                  <c:v>SEVERE IVH (GRADE III &amp; IV)</c:v>
                </c:pt>
              </c:strCache>
            </c:strRef>
          </c:cat>
          <c:val>
            <c:numRef>
              <c:f>'FREQ BY IVH'!$K$39:$M$39</c:f>
              <c:numCache>
                <c:formatCode>0.00%</c:formatCode>
                <c:ptCount val="3"/>
                <c:pt idx="0">
                  <c:v>0.79220000000000002</c:v>
                </c:pt>
                <c:pt idx="1">
                  <c:v>0.14380000000000001</c:v>
                </c:pt>
                <c:pt idx="2">
                  <c:v>6.4100000000000004E-2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5E3-483D-AEED-3CF556EB34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823936"/>
        <c:axId val="100433216"/>
      </c:barChart>
      <c:catAx>
        <c:axId val="134823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433216"/>
        <c:crosses val="autoZero"/>
        <c:auto val="1"/>
        <c:lblAlgn val="ctr"/>
        <c:lblOffset val="100"/>
        <c:noMultiLvlLbl val="0"/>
      </c:catAx>
      <c:valAx>
        <c:axId val="10043321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</c:spPr>
        <c:crossAx val="134823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'FREQ BY IVH'!$V$11</c:f>
              <c:strCache>
                <c:ptCount val="1"/>
                <c:pt idx="0">
                  <c:v>NO IVH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'FREQ BY IVH'!$U$12:$U$16</c:f>
              <c:strCache>
                <c:ptCount val="5"/>
                <c:pt idx="0">
                  <c:v>500-750 g</c:v>
                </c:pt>
                <c:pt idx="1">
                  <c:v>751-1000 g</c:v>
                </c:pt>
                <c:pt idx="2">
                  <c:v>1001-1250 g</c:v>
                </c:pt>
                <c:pt idx="3">
                  <c:v>1251-1500 g</c:v>
                </c:pt>
                <c:pt idx="4">
                  <c:v>&gt; 1500 g</c:v>
                </c:pt>
              </c:strCache>
            </c:strRef>
          </c:cat>
          <c:val>
            <c:numRef>
              <c:f>'FREQ BY IVH'!$V$12:$V$16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0.68</c:v>
                </c:pt>
                <c:pt idx="2">
                  <c:v>0.71</c:v>
                </c:pt>
                <c:pt idx="3">
                  <c:v>0.86</c:v>
                </c:pt>
                <c:pt idx="4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'FREQ BY IVH'!$W$11</c:f>
              <c:strCache>
                <c:ptCount val="1"/>
                <c:pt idx="0">
                  <c:v>I &amp; II</c:v>
                </c:pt>
              </c:strCache>
            </c:strRef>
          </c:tx>
          <c:spPr>
            <a:pattFill prst="narVert">
              <a:fgClr>
                <a:schemeClr val="bg1">
                  <a:lumMod val="65000"/>
                </a:schemeClr>
              </a:fgClr>
              <a:bgClr>
                <a:schemeClr val="bg1"/>
              </a:bgClr>
            </a:pattFill>
            <a:ln>
              <a:solidFill>
                <a:schemeClr val="bg1">
                  <a:lumMod val="50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'FREQ BY IVH'!$U$12:$U$16</c:f>
              <c:strCache>
                <c:ptCount val="5"/>
                <c:pt idx="0">
                  <c:v>500-750 g</c:v>
                </c:pt>
                <c:pt idx="1">
                  <c:v>751-1000 g</c:v>
                </c:pt>
                <c:pt idx="2">
                  <c:v>1001-1250 g</c:v>
                </c:pt>
                <c:pt idx="3">
                  <c:v>1251-1500 g</c:v>
                </c:pt>
                <c:pt idx="4">
                  <c:v>&gt; 1500 g</c:v>
                </c:pt>
              </c:strCache>
            </c:strRef>
          </c:cat>
          <c:val>
            <c:numRef>
              <c:f>'FREQ BY IVH'!$W$12:$W$16</c:f>
              <c:numCache>
                <c:formatCode>0%</c:formatCode>
                <c:ptCount val="5"/>
                <c:pt idx="0">
                  <c:v>0.24</c:v>
                </c:pt>
                <c:pt idx="1">
                  <c:v>0.19</c:v>
                </c:pt>
                <c:pt idx="2">
                  <c:v>0.24</c:v>
                </c:pt>
                <c:pt idx="3">
                  <c:v>0.11</c:v>
                </c:pt>
                <c:pt idx="4">
                  <c:v>0.08</c:v>
                </c:pt>
              </c:numCache>
            </c:numRef>
          </c:val>
        </c:ser>
        <c:ser>
          <c:idx val="2"/>
          <c:order val="2"/>
          <c:tx>
            <c:strRef>
              <c:f>'FREQ BY IVH'!$X$11</c:f>
              <c:strCache>
                <c:ptCount val="1"/>
                <c:pt idx="0">
                  <c:v>III &amp; IV</c:v>
                </c:pt>
              </c:strCache>
            </c:strRef>
          </c:tx>
          <c:spPr>
            <a:pattFill prst="dkHorz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'FREQ BY IVH'!$U$12:$U$16</c:f>
              <c:strCache>
                <c:ptCount val="5"/>
                <c:pt idx="0">
                  <c:v>500-750 g</c:v>
                </c:pt>
                <c:pt idx="1">
                  <c:v>751-1000 g</c:v>
                </c:pt>
                <c:pt idx="2">
                  <c:v>1001-1250 g</c:v>
                </c:pt>
                <c:pt idx="3">
                  <c:v>1251-1500 g</c:v>
                </c:pt>
                <c:pt idx="4">
                  <c:v>&gt; 1500 g</c:v>
                </c:pt>
              </c:strCache>
            </c:strRef>
          </c:cat>
          <c:val>
            <c:numRef>
              <c:f>'FREQ BY IVH'!$X$12:$X$16</c:f>
              <c:numCache>
                <c:formatCode>0%</c:formatCode>
                <c:ptCount val="5"/>
                <c:pt idx="0">
                  <c:v>0.21</c:v>
                </c:pt>
                <c:pt idx="1">
                  <c:v>0.13</c:v>
                </c:pt>
                <c:pt idx="2">
                  <c:v>0.06</c:v>
                </c:pt>
                <c:pt idx="3">
                  <c:v>0.03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448512"/>
        <c:axId val="100886784"/>
      </c:barChart>
      <c:catAx>
        <c:axId val="136448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n-US"/>
          </a:p>
        </c:txPr>
        <c:crossAx val="100886784"/>
        <c:crosses val="autoZero"/>
        <c:auto val="1"/>
        <c:lblAlgn val="ctr"/>
        <c:lblOffset val="100"/>
        <c:noMultiLvlLbl val="0"/>
      </c:catAx>
      <c:valAx>
        <c:axId val="1008867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spPr>
          <a:noFill/>
        </c:spPr>
        <c:crossAx val="1364485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 i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'FREQ BY IVH'!$W$5</c:f>
              <c:strCache>
                <c:ptCount val="1"/>
                <c:pt idx="0">
                  <c:v>No IVH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'FREQ BY IVH'!$V$6:$V$9</c:f>
              <c:strCache>
                <c:ptCount val="4"/>
                <c:pt idx="0">
                  <c:v>24-25 weeks</c:v>
                </c:pt>
                <c:pt idx="1">
                  <c:v>26-27 weeks</c:v>
                </c:pt>
                <c:pt idx="2">
                  <c:v>28-29 weeks</c:v>
                </c:pt>
                <c:pt idx="3">
                  <c:v>30-32 weeks</c:v>
                </c:pt>
              </c:strCache>
            </c:strRef>
          </c:cat>
          <c:val>
            <c:numRef>
              <c:f>'FREQ BY IVH'!$W$6:$W$9</c:f>
              <c:numCache>
                <c:formatCode>0.0%</c:formatCode>
                <c:ptCount val="4"/>
                <c:pt idx="0">
                  <c:v>0.49120000000000003</c:v>
                </c:pt>
                <c:pt idx="1">
                  <c:v>0.59460000000000002</c:v>
                </c:pt>
                <c:pt idx="2">
                  <c:v>0.73599999999999999</c:v>
                </c:pt>
                <c:pt idx="3">
                  <c:v>0.89319999999999999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6D-4AAF-B8C2-70A49B2AD761}"/>
            </c:ext>
          </c:extLst>
        </c:ser>
        <c:ser>
          <c:idx val="1"/>
          <c:order val="1"/>
          <c:tx>
            <c:strRef>
              <c:f>'FREQ BY IVH'!$X$5</c:f>
              <c:strCache>
                <c:ptCount val="1"/>
                <c:pt idx="0">
                  <c:v>I and II</c:v>
                </c:pt>
              </c:strCache>
            </c:strRef>
          </c:tx>
          <c:spPr>
            <a:pattFill prst="narVert">
              <a:fgClr>
                <a:schemeClr val="tx1">
                  <a:lumMod val="85000"/>
                  <a:lumOff val="15000"/>
                </a:schemeClr>
              </a:fgClr>
              <a:bgClr>
                <a:schemeClr val="bg1"/>
              </a:bgClr>
            </a:pattFill>
            <a:ln w="12700">
              <a:solidFill>
                <a:schemeClr val="bg1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4.3879735664326238E-3"/>
                  <c:y val="6.9444444444445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66D-4AAF-B8C2-70A49B2AD76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939867832163119E-3"/>
                  <c:y val="1.0416393263342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66D-4AAF-B8C2-70A49B2AD76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879735664326238E-3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66D-4AAF-B8C2-70A49B2AD76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5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'FREQ BY IVH'!$V$6:$V$9</c:f>
              <c:strCache>
                <c:ptCount val="4"/>
                <c:pt idx="0">
                  <c:v>24-25 weeks</c:v>
                </c:pt>
                <c:pt idx="1">
                  <c:v>26-27 weeks</c:v>
                </c:pt>
                <c:pt idx="2">
                  <c:v>28-29 weeks</c:v>
                </c:pt>
                <c:pt idx="3">
                  <c:v>30-32 weeks</c:v>
                </c:pt>
              </c:strCache>
            </c:strRef>
          </c:cat>
          <c:val>
            <c:numRef>
              <c:f>'FREQ BY IVH'!$X$6:$X$9</c:f>
              <c:numCache>
                <c:formatCode>0.0%</c:formatCode>
                <c:ptCount val="4"/>
                <c:pt idx="0">
                  <c:v>0.24560000000000001</c:v>
                </c:pt>
                <c:pt idx="1">
                  <c:v>0.22969999999999999</c:v>
                </c:pt>
                <c:pt idx="2">
                  <c:v>0.2</c:v>
                </c:pt>
                <c:pt idx="3">
                  <c:v>9.3799999999999994E-2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66D-4AAF-B8C2-70A49B2AD761}"/>
            </c:ext>
          </c:extLst>
        </c:ser>
        <c:ser>
          <c:idx val="2"/>
          <c:order val="2"/>
          <c:tx>
            <c:strRef>
              <c:f>'FREQ BY IVH'!$Y$5</c:f>
              <c:strCache>
                <c:ptCount val="1"/>
                <c:pt idx="0">
                  <c:v>III &amp; IV</c:v>
                </c:pt>
              </c:strCache>
            </c:strRef>
          </c:tx>
          <c:spPr>
            <a:pattFill prst="dk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bg1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4.3879735664326238E-3"/>
                  <c:y val="-6.94471784776896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66D-4AAF-B8C2-70A49B2AD76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879735664326238E-3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66D-4AAF-B8C2-70A49B2AD76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939867832163119E-3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66D-4AAF-B8C2-70A49B2AD761}"/>
                </c:ext>
                <c:ext xmlns:c15="http://schemas.microsoft.com/office/drawing/2012/chart" uri="{CE6537A1-D6FC-4f65-9D91-7224C49458BB}"/>
              </c:extLst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'FREQ BY IVH'!$V$6:$V$9</c:f>
              <c:strCache>
                <c:ptCount val="4"/>
                <c:pt idx="0">
                  <c:v>24-25 weeks</c:v>
                </c:pt>
                <c:pt idx="1">
                  <c:v>26-27 weeks</c:v>
                </c:pt>
                <c:pt idx="2">
                  <c:v>28-29 weeks</c:v>
                </c:pt>
                <c:pt idx="3">
                  <c:v>30-32 weeks</c:v>
                </c:pt>
              </c:strCache>
            </c:strRef>
          </c:cat>
          <c:val>
            <c:numRef>
              <c:f>'FREQ BY IVH'!$Y$6:$Y$9</c:f>
              <c:numCache>
                <c:formatCode>0.0%</c:formatCode>
                <c:ptCount val="4"/>
                <c:pt idx="0">
                  <c:v>0.26319999999999999</c:v>
                </c:pt>
                <c:pt idx="1">
                  <c:v>0.1757</c:v>
                </c:pt>
                <c:pt idx="2">
                  <c:v>6.4000000000000001E-2</c:v>
                </c:pt>
                <c:pt idx="3">
                  <c:v>1.2999999999999999E-2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66D-4AAF-B8C2-70A49B2AD7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404992"/>
        <c:axId val="100888512"/>
      </c:barChart>
      <c:catAx>
        <c:axId val="136404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 i="0"/>
            </a:pPr>
            <a:endParaRPr lang="en-US"/>
          </a:p>
        </c:txPr>
        <c:crossAx val="100888512"/>
        <c:crosses val="autoZero"/>
        <c:auto val="1"/>
        <c:lblAlgn val="ctr"/>
        <c:lblOffset val="100"/>
        <c:noMultiLvlLbl val="0"/>
      </c:catAx>
      <c:valAx>
        <c:axId val="1008885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extTo"/>
        <c:crossAx val="1364049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 i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1DBE-7B0E-4F15-A8E4-5F1D8952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Saif, Saif</dc:creator>
  <cp:lastModifiedBy>Saif, Saif</cp:lastModifiedBy>
  <cp:revision>4</cp:revision>
  <cp:lastPrinted>2019-10-15T10:50:00Z</cp:lastPrinted>
  <dcterms:created xsi:type="dcterms:W3CDTF">2019-11-25T06:41:00Z</dcterms:created>
  <dcterms:modified xsi:type="dcterms:W3CDTF">2019-11-25T07:07:00Z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43740.8432638889</vt:r8>
  </property>
  <property fmtid="{D5CDD505-2E9C-101B-9397-08002B2CF9AE}" pid="4" name="EditTimer">
    <vt:i4>8175</vt:i4>
  </property>
</Properties>
</file>