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24" w:rsidRDefault="00BC2224" w:rsidP="00B2714A">
      <w:pPr>
        <w:spacing w:line="480" w:lineRule="auto"/>
        <w:rPr>
          <w:b/>
          <w:lang w:val="en-CA"/>
        </w:rPr>
      </w:pPr>
      <w:r w:rsidRPr="000B3284">
        <w:rPr>
          <w:rFonts w:eastAsia="Times New Roman"/>
          <w:b/>
          <w:bCs/>
          <w:color w:val="000000"/>
          <w:szCs w:val="22"/>
          <w:lang w:val="en-CA" w:eastAsia="en-CA"/>
        </w:rPr>
        <w:t>Supplemental Material</w:t>
      </w:r>
      <w:r w:rsidRPr="000B3284">
        <w:rPr>
          <w:b/>
          <w:lang w:val="en-CA"/>
        </w:rPr>
        <w:t xml:space="preserve"> </w:t>
      </w:r>
      <w:r w:rsidR="00F062B3">
        <w:rPr>
          <w:b/>
          <w:lang w:val="en-CA"/>
        </w:rPr>
        <w:t xml:space="preserve">– International Journal of Public Health </w:t>
      </w:r>
    </w:p>
    <w:p w:rsidR="00AA468F" w:rsidRDefault="00AA468F" w:rsidP="00F46278">
      <w:pPr>
        <w:spacing w:line="480" w:lineRule="auto"/>
        <w:rPr>
          <w:b/>
          <w:lang w:val="en-CA"/>
        </w:rPr>
      </w:pPr>
      <w:r w:rsidRPr="00AA468F">
        <w:rPr>
          <w:b/>
          <w:lang w:val="en-CA"/>
        </w:rPr>
        <w:t>Investing in a Healthy Lifestyle Strategy: Is it worth it?</w:t>
      </w:r>
    </w:p>
    <w:p w:rsidR="00E90977" w:rsidRPr="00AA468F" w:rsidRDefault="00E90977" w:rsidP="00F46278">
      <w:pPr>
        <w:spacing w:line="480" w:lineRule="auto"/>
        <w:rPr>
          <w:lang w:val="fr-FR"/>
        </w:rPr>
      </w:pPr>
      <w:r w:rsidRPr="00AA468F">
        <w:rPr>
          <w:b/>
          <w:lang w:val="fr-FR"/>
        </w:rPr>
        <w:t>Authors:</w:t>
      </w:r>
      <w:r w:rsidRPr="00AA468F">
        <w:rPr>
          <w:lang w:val="fr-FR"/>
        </w:rPr>
        <w:t xml:space="preserve"> Tarik Benmarhnia </w:t>
      </w:r>
      <w:r w:rsidRPr="00AA468F">
        <w:rPr>
          <w:vertAlign w:val="superscript"/>
          <w:lang w:val="fr-FR"/>
        </w:rPr>
        <w:t>1*</w:t>
      </w:r>
      <w:r w:rsidRPr="00AA468F">
        <w:rPr>
          <w:lang w:val="fr-FR"/>
        </w:rPr>
        <w:t>, Pierre-Alexandre Dionne</w:t>
      </w:r>
      <w:r w:rsidRPr="00AA468F">
        <w:rPr>
          <w:vertAlign w:val="superscript"/>
          <w:lang w:val="fr-FR"/>
        </w:rPr>
        <w:t>2*</w:t>
      </w:r>
      <w:r w:rsidRPr="00AA468F">
        <w:rPr>
          <w:lang w:val="fr-FR"/>
        </w:rPr>
        <w:t>, Éric Tchouaket</w:t>
      </w:r>
      <w:r w:rsidRPr="00AA468F">
        <w:rPr>
          <w:vertAlign w:val="superscript"/>
          <w:lang w:val="fr-FR"/>
        </w:rPr>
        <w:t>3</w:t>
      </w:r>
      <w:r w:rsidRPr="00AA468F">
        <w:rPr>
          <w:lang w:val="fr-FR"/>
        </w:rPr>
        <w:t>, Alvine K. Fansi</w:t>
      </w:r>
      <w:r w:rsidRPr="00AA468F">
        <w:rPr>
          <w:vertAlign w:val="superscript"/>
          <w:lang w:val="fr-FR"/>
        </w:rPr>
        <w:t>4</w:t>
      </w:r>
      <w:r w:rsidRPr="00AA468F">
        <w:rPr>
          <w:lang w:val="fr-FR"/>
        </w:rPr>
        <w:t>, Astrid Brousselle</w:t>
      </w:r>
      <w:r w:rsidRPr="00AA468F">
        <w:rPr>
          <w:vertAlign w:val="superscript"/>
          <w:lang w:val="fr-FR"/>
        </w:rPr>
        <w:t>2</w:t>
      </w:r>
    </w:p>
    <w:p w:rsidR="00E90977" w:rsidRDefault="00E90977" w:rsidP="00E90977">
      <w:pPr>
        <w:spacing w:line="480" w:lineRule="auto"/>
      </w:pPr>
      <w:r w:rsidRPr="0050028F">
        <w:t>(1)</w:t>
      </w:r>
      <w:r w:rsidRPr="0050028F">
        <w:tab/>
        <w:t>Institute for Health and Social Policy, McGill University. QC, Canada</w:t>
      </w:r>
    </w:p>
    <w:p w:rsidR="00E90977" w:rsidRPr="005F2978" w:rsidRDefault="00E90977" w:rsidP="00E90977">
      <w:pPr>
        <w:spacing w:line="480" w:lineRule="auto"/>
      </w:pPr>
      <w:r>
        <w:t>(2)</w:t>
      </w:r>
      <w:r>
        <w:tab/>
      </w:r>
      <w:r w:rsidRPr="0050028F">
        <w:t>Charles-LeMoyne Hospital Research Centre</w:t>
      </w:r>
      <w:r>
        <w:t xml:space="preserve">, </w:t>
      </w:r>
      <w:r w:rsidRPr="0050028F">
        <w:t>University of Sherbrooke</w:t>
      </w:r>
      <w:r>
        <w:t xml:space="preserve">. </w:t>
      </w:r>
      <w:r w:rsidRPr="005F2978">
        <w:t>QC, Canada</w:t>
      </w:r>
    </w:p>
    <w:p w:rsidR="00E90977" w:rsidRPr="00E90977" w:rsidRDefault="00E90977" w:rsidP="00E90977">
      <w:pPr>
        <w:spacing w:line="480" w:lineRule="auto"/>
        <w:rPr>
          <w:lang w:val="fr-FR"/>
        </w:rPr>
      </w:pPr>
      <w:r w:rsidRPr="0050028F">
        <w:t>(3)</w:t>
      </w:r>
      <w:r w:rsidRPr="0050028F">
        <w:tab/>
        <w:t>Department of Nursing</w:t>
      </w:r>
      <w:r>
        <w:t>,</w:t>
      </w:r>
      <w:r w:rsidRPr="0050028F">
        <w:t xml:space="preserve"> University of Quebec in Outaouais</w:t>
      </w:r>
      <w:r>
        <w:t xml:space="preserve">. </w:t>
      </w:r>
      <w:r w:rsidRPr="00E90977">
        <w:rPr>
          <w:lang w:val="fr-FR"/>
        </w:rPr>
        <w:t>QC, Canada</w:t>
      </w:r>
    </w:p>
    <w:p w:rsidR="00E90977" w:rsidRPr="00E90977" w:rsidRDefault="00E90977" w:rsidP="00E90977">
      <w:pPr>
        <w:spacing w:line="480" w:lineRule="auto"/>
        <w:rPr>
          <w:lang w:val="fr-FR"/>
        </w:rPr>
      </w:pPr>
      <w:r w:rsidRPr="00E90977">
        <w:rPr>
          <w:lang w:val="fr-FR"/>
        </w:rPr>
        <w:t>(4)</w:t>
      </w:r>
      <w:r w:rsidRPr="00E90977">
        <w:rPr>
          <w:lang w:val="fr-FR"/>
        </w:rPr>
        <w:tab/>
        <w:t>Institut national d'excellence en santé et en services sociaux (INESSS)</w:t>
      </w:r>
    </w:p>
    <w:p w:rsidR="00E90977" w:rsidRDefault="00E90977" w:rsidP="00E90977">
      <w:pPr>
        <w:spacing w:line="480" w:lineRule="auto"/>
      </w:pPr>
      <w:r w:rsidRPr="005F2978">
        <w:t>* these 2 authors equally contributed to this work</w:t>
      </w:r>
    </w:p>
    <w:p w:rsidR="00E90977" w:rsidRPr="005F2978" w:rsidRDefault="00E90977" w:rsidP="00E90977">
      <w:pPr>
        <w:spacing w:line="480" w:lineRule="auto"/>
      </w:pPr>
      <w:r w:rsidRPr="002F1A97">
        <w:rPr>
          <w:u w:val="single"/>
        </w:rPr>
        <w:t>Email addresses:</w:t>
      </w:r>
      <w:r>
        <w:t xml:space="preserve"> </w:t>
      </w:r>
      <w:hyperlink r:id="rId5" w:history="1">
        <w:r w:rsidRPr="00F144CB">
          <w:rPr>
            <w:rStyle w:val="Hyperlink"/>
          </w:rPr>
          <w:t>tarik.benmarhnia@mcgill.ca</w:t>
        </w:r>
      </w:hyperlink>
      <w:r>
        <w:t xml:space="preserve">; </w:t>
      </w:r>
      <w:hyperlink r:id="rId6" w:history="1">
        <w:r w:rsidRPr="00F144CB">
          <w:rPr>
            <w:rStyle w:val="Hyperlink"/>
          </w:rPr>
          <w:t>pierre-alexandre.Dionne@usherbrooke.ca</w:t>
        </w:r>
      </w:hyperlink>
      <w:r>
        <w:t xml:space="preserve">; </w:t>
      </w:r>
      <w:hyperlink r:id="rId7" w:history="1">
        <w:r w:rsidRPr="00F144CB">
          <w:rPr>
            <w:rStyle w:val="Hyperlink"/>
          </w:rPr>
          <w:t>Eric.Tchouaket@uqo.ca</w:t>
        </w:r>
      </w:hyperlink>
      <w:r>
        <w:t xml:space="preserve">; </w:t>
      </w:r>
      <w:hyperlink r:id="rId8" w:history="1">
        <w:r w:rsidRPr="00F144CB">
          <w:rPr>
            <w:rStyle w:val="Hyperlink"/>
          </w:rPr>
          <w:t>afansi@yahoo.com</w:t>
        </w:r>
      </w:hyperlink>
      <w:r>
        <w:t xml:space="preserve">; </w:t>
      </w:r>
      <w:hyperlink r:id="rId9" w:history="1">
        <w:r w:rsidRPr="00F144CB">
          <w:rPr>
            <w:rStyle w:val="Hyperlink"/>
          </w:rPr>
          <w:t>astrid.brousselle@usherbrooke.ca</w:t>
        </w:r>
      </w:hyperlink>
      <w:r>
        <w:t xml:space="preserve">   </w:t>
      </w:r>
    </w:p>
    <w:p w:rsidR="00E90977" w:rsidRPr="005F2978" w:rsidRDefault="00E90977" w:rsidP="00E90977">
      <w:pPr>
        <w:spacing w:line="480" w:lineRule="auto"/>
        <w:jc w:val="both"/>
      </w:pPr>
      <w:r w:rsidRPr="005F2978">
        <w:rPr>
          <w:b/>
        </w:rPr>
        <w:t>Corresponding author</w:t>
      </w:r>
      <w:r w:rsidRPr="005F2978">
        <w:t>: Tarik Benmarhnia</w:t>
      </w:r>
    </w:p>
    <w:p w:rsidR="00E90977" w:rsidRPr="005F2978" w:rsidRDefault="00E90977" w:rsidP="00E90977">
      <w:pPr>
        <w:spacing w:line="480" w:lineRule="auto"/>
      </w:pPr>
      <w:r w:rsidRPr="00B82910">
        <w:t xml:space="preserve">Mailing address: Institute for Health and Social Policy, McGill University. Meredith, Charles, House, 1130 Pine Avenue West Montreal, Quebec H3A 1A3, Canada. </w:t>
      </w:r>
      <w:r>
        <w:rPr>
          <w:color w:val="000000"/>
          <w:lang w:val="en-GB"/>
        </w:rPr>
        <w:t>Tel</w:t>
      </w:r>
      <w:r w:rsidRPr="00487E80">
        <w:rPr>
          <w:color w:val="000000"/>
          <w:lang w:val="en-GB"/>
        </w:rPr>
        <w:t>: +1514</w:t>
      </w:r>
      <w:r>
        <w:rPr>
          <w:color w:val="000000"/>
          <w:lang w:val="en-GB"/>
        </w:rPr>
        <w:t xml:space="preserve">6384393, E-mail: </w:t>
      </w:r>
      <w:hyperlink r:id="rId10" w:history="1">
        <w:r w:rsidRPr="009C1091">
          <w:rPr>
            <w:rStyle w:val="Hyperlink"/>
            <w:lang w:val="en-GB"/>
          </w:rPr>
          <w:t>tarik.benmarhnia@mcgill.ca</w:t>
        </w:r>
      </w:hyperlink>
    </w:p>
    <w:p w:rsidR="00CD7AED" w:rsidRPr="000B3284" w:rsidRDefault="00CD7AED" w:rsidP="00B2714A">
      <w:pPr>
        <w:spacing w:line="480" w:lineRule="auto"/>
        <w:rPr>
          <w:lang w:val="en-CA"/>
        </w:rPr>
      </w:pPr>
    </w:p>
    <w:p w:rsidR="00B2714A" w:rsidRPr="00BC2224" w:rsidRDefault="00B2714A">
      <w:pPr>
        <w:spacing w:line="276" w:lineRule="auto"/>
        <w:rPr>
          <w:rFonts w:eastAsia="Times New Roman"/>
          <w:bCs/>
          <w:color w:val="000000"/>
          <w:szCs w:val="22"/>
          <w:lang w:val="en-CA" w:eastAsia="en-CA"/>
        </w:rPr>
      </w:pPr>
      <w:r w:rsidRPr="00BC2224">
        <w:rPr>
          <w:rFonts w:eastAsia="Times New Roman"/>
          <w:bCs/>
          <w:color w:val="000000"/>
          <w:szCs w:val="22"/>
          <w:lang w:val="en-CA" w:eastAsia="en-CA"/>
        </w:rPr>
        <w:br w:type="page"/>
      </w:r>
    </w:p>
    <w:p w:rsidR="00794D17" w:rsidRDefault="008A7C9B" w:rsidP="008A7C9B">
      <w:pPr>
        <w:rPr>
          <w:rFonts w:eastAsia="Times New Roman"/>
          <w:b/>
          <w:bCs/>
          <w:color w:val="000000"/>
          <w:szCs w:val="22"/>
          <w:u w:val="single"/>
          <w:lang w:val="en-CA" w:eastAsia="en-CA"/>
        </w:rPr>
      </w:pPr>
      <w:r w:rsidRPr="008A7C9B">
        <w:rPr>
          <w:rFonts w:eastAsia="Times New Roman"/>
          <w:b/>
          <w:bCs/>
          <w:color w:val="000000"/>
          <w:szCs w:val="22"/>
          <w:u w:val="single"/>
          <w:lang w:val="en-CA" w:eastAsia="en-CA"/>
        </w:rPr>
        <w:lastRenderedPageBreak/>
        <w:t>Appendix</w:t>
      </w:r>
      <w:r w:rsidR="00065EEC">
        <w:rPr>
          <w:rFonts w:eastAsia="Times New Roman"/>
          <w:b/>
          <w:bCs/>
          <w:color w:val="000000"/>
          <w:szCs w:val="22"/>
          <w:u w:val="single"/>
          <w:lang w:val="en-CA" w:eastAsia="en-CA"/>
        </w:rPr>
        <w:t xml:space="preserve"> </w:t>
      </w:r>
      <w:r w:rsidR="00BD3D52">
        <w:rPr>
          <w:rFonts w:eastAsia="Times New Roman"/>
          <w:b/>
          <w:bCs/>
          <w:color w:val="000000"/>
          <w:szCs w:val="22"/>
          <w:u w:val="single"/>
          <w:lang w:val="en-CA" w:eastAsia="en-CA"/>
        </w:rPr>
        <w:t>1:</w:t>
      </w:r>
      <w:r w:rsidR="00065EEC">
        <w:rPr>
          <w:rFonts w:eastAsia="Times New Roman"/>
          <w:b/>
          <w:bCs/>
          <w:color w:val="000000"/>
          <w:szCs w:val="22"/>
          <w:u w:val="single"/>
          <w:lang w:val="en-CA" w:eastAsia="en-CA"/>
        </w:rPr>
        <w:t xml:space="preserve"> </w:t>
      </w:r>
      <w:r w:rsidR="00794D17">
        <w:rPr>
          <w:rFonts w:eastAsia="Times New Roman"/>
          <w:b/>
          <w:bCs/>
          <w:color w:val="000000"/>
          <w:szCs w:val="22"/>
          <w:u w:val="single"/>
          <w:lang w:val="en-CA" w:eastAsia="en-CA"/>
        </w:rPr>
        <w:t xml:space="preserve">Scoping review of </w:t>
      </w:r>
      <w:r w:rsidR="00794D17" w:rsidRPr="00794D17">
        <w:rPr>
          <w:rFonts w:eastAsia="Times New Roman"/>
          <w:b/>
          <w:bCs/>
          <w:color w:val="000000"/>
          <w:szCs w:val="22"/>
          <w:u w:val="single"/>
          <w:lang w:val="en-CA" w:eastAsia="en-CA"/>
        </w:rPr>
        <w:t>systematic reviews, meta-analyses, and cohort studies</w:t>
      </w:r>
      <w:r w:rsidR="00794D17">
        <w:rPr>
          <w:rFonts w:eastAsia="Times New Roman"/>
          <w:b/>
          <w:bCs/>
          <w:color w:val="000000"/>
          <w:szCs w:val="22"/>
          <w:u w:val="single"/>
          <w:lang w:val="en-CA" w:eastAsia="en-CA"/>
        </w:rPr>
        <w:t xml:space="preserve"> for the assessment of the </w:t>
      </w:r>
      <w:r w:rsidR="00794D17" w:rsidRPr="00794D17">
        <w:rPr>
          <w:rFonts w:eastAsia="Times New Roman"/>
          <w:b/>
          <w:bCs/>
          <w:color w:val="000000"/>
          <w:szCs w:val="22"/>
          <w:u w:val="single"/>
          <w:lang w:val="en-CA" w:eastAsia="en-CA"/>
        </w:rPr>
        <w:t xml:space="preserve">proportion of the costs attributable to </w:t>
      </w:r>
      <w:r w:rsidR="00BD3D52">
        <w:rPr>
          <w:rFonts w:eastAsia="Times New Roman"/>
          <w:b/>
          <w:bCs/>
          <w:color w:val="000000"/>
          <w:szCs w:val="22"/>
          <w:u w:val="single"/>
          <w:lang w:val="en-CA" w:eastAsia="en-CA"/>
        </w:rPr>
        <w:t>each</w:t>
      </w:r>
      <w:r w:rsidR="00794D17" w:rsidRPr="00794D17">
        <w:rPr>
          <w:rFonts w:eastAsia="Times New Roman"/>
          <w:b/>
          <w:bCs/>
          <w:color w:val="000000"/>
          <w:szCs w:val="22"/>
          <w:u w:val="single"/>
          <w:lang w:val="en-CA" w:eastAsia="en-CA"/>
        </w:rPr>
        <w:t xml:space="preserve"> risk factors</w:t>
      </w:r>
    </w:p>
    <w:p w:rsidR="008A7C9B" w:rsidRPr="00BD3D52" w:rsidRDefault="00BD3D52" w:rsidP="008A7C9B">
      <w:pPr>
        <w:rPr>
          <w:rFonts w:eastAsia="Times New Roman"/>
          <w:b/>
          <w:bCs/>
          <w:color w:val="000000"/>
          <w:szCs w:val="22"/>
          <w:lang w:val="en-CA" w:eastAsia="en-CA"/>
        </w:rPr>
      </w:pPr>
      <w:r w:rsidRPr="00BD3D52">
        <w:rPr>
          <w:rFonts w:eastAsia="Times New Roman"/>
          <w:b/>
          <w:bCs/>
          <w:color w:val="000000"/>
          <w:szCs w:val="22"/>
          <w:lang w:val="en-CA" w:eastAsia="en-CA"/>
        </w:rPr>
        <w:t>Description of the process used for the systematic reviews.</w:t>
      </w:r>
    </w:p>
    <w:p w:rsidR="00065EEC" w:rsidRPr="002D1584" w:rsidRDefault="00065EEC" w:rsidP="00065EEC">
      <w:pPr>
        <w:pStyle w:val="MediumGrid1-Accent21"/>
        <w:numPr>
          <w:ilvl w:val="0"/>
          <w:numId w:val="6"/>
        </w:numPr>
        <w:tabs>
          <w:tab w:val="left" w:pos="0"/>
        </w:tabs>
        <w:ind w:left="284" w:hanging="284"/>
        <w:contextualSpacing w:val="0"/>
        <w:jc w:val="left"/>
        <w:rPr>
          <w:lang w:val="en-CA"/>
        </w:rPr>
      </w:pPr>
      <w:r w:rsidRPr="002D1584">
        <w:rPr>
          <w:lang w:val="en-CA"/>
        </w:rPr>
        <w:t>We selected the most appropriate relationship between the exposure targeted by the HLHP</w:t>
      </w:r>
      <w:r w:rsidR="00C010CF">
        <w:rPr>
          <w:lang w:val="en-CA"/>
        </w:rPr>
        <w:t xml:space="preserve"> (</w:t>
      </w:r>
      <w:r w:rsidR="00067548">
        <w:rPr>
          <w:lang w:val="en-CA"/>
        </w:rPr>
        <w:t>H</w:t>
      </w:r>
      <w:r w:rsidR="00C010CF" w:rsidRPr="00D22C40">
        <w:rPr>
          <w:lang w:val="en-CA"/>
        </w:rPr>
        <w:t xml:space="preserve">ealthy </w:t>
      </w:r>
      <w:r w:rsidR="00067548">
        <w:rPr>
          <w:lang w:val="en-CA"/>
        </w:rPr>
        <w:t>Lifestyle H</w:t>
      </w:r>
      <w:r w:rsidR="00C010CF" w:rsidRPr="00D22C40">
        <w:rPr>
          <w:lang w:val="en-CA"/>
        </w:rPr>
        <w:t xml:space="preserve">abits </w:t>
      </w:r>
      <w:r w:rsidR="00934381">
        <w:rPr>
          <w:lang w:val="en-CA"/>
        </w:rPr>
        <w:t>P</w:t>
      </w:r>
      <w:r w:rsidR="00C010CF" w:rsidRPr="00D22C40">
        <w:rPr>
          <w:lang w:val="en-CA"/>
        </w:rPr>
        <w:t>romotion</w:t>
      </w:r>
      <w:r w:rsidR="00C010CF">
        <w:rPr>
          <w:lang w:val="en-CA"/>
        </w:rPr>
        <w:t>)</w:t>
      </w:r>
      <w:r w:rsidRPr="002D1584">
        <w:rPr>
          <w:lang w:val="en-CA"/>
        </w:rPr>
        <w:t xml:space="preserve"> strategy and the selected health effects. We then conducted a scoping review of systematic reviews, meta-analyses, and cohort studies using the following selection criteria: </w:t>
      </w:r>
    </w:p>
    <w:p w:rsidR="00065EEC" w:rsidRPr="002D1584" w:rsidRDefault="00065EEC" w:rsidP="00065EEC">
      <w:pPr>
        <w:pStyle w:val="MediumGrid1-Accent21"/>
        <w:numPr>
          <w:ilvl w:val="1"/>
          <w:numId w:val="6"/>
        </w:numPr>
        <w:tabs>
          <w:tab w:val="left" w:pos="0"/>
        </w:tabs>
        <w:spacing w:before="0" w:after="0"/>
        <w:ind w:left="568" w:hanging="284"/>
        <w:contextualSpacing w:val="0"/>
        <w:jc w:val="left"/>
        <w:rPr>
          <w:lang w:val="en-CA"/>
        </w:rPr>
      </w:pPr>
      <w:r w:rsidRPr="002D1584">
        <w:rPr>
          <w:lang w:val="en-CA"/>
        </w:rPr>
        <w:t>RRs</w:t>
      </w:r>
      <w:r w:rsidR="00255ECF">
        <w:rPr>
          <w:lang w:val="en-CA"/>
        </w:rPr>
        <w:t xml:space="preserve"> (Relative Risks)</w:t>
      </w:r>
      <w:r w:rsidRPr="002D1584">
        <w:rPr>
          <w:lang w:val="en-CA"/>
        </w:rPr>
        <w:t xml:space="preserve"> from systematic reviews and meta-analyses;</w:t>
      </w:r>
    </w:p>
    <w:p w:rsidR="00065EEC" w:rsidRPr="002D1584" w:rsidRDefault="00065EEC" w:rsidP="00065EEC">
      <w:pPr>
        <w:pStyle w:val="MediumGrid1-Accent21"/>
        <w:numPr>
          <w:ilvl w:val="1"/>
          <w:numId w:val="6"/>
        </w:numPr>
        <w:tabs>
          <w:tab w:val="left" w:pos="0"/>
        </w:tabs>
        <w:spacing w:before="0" w:after="0"/>
        <w:ind w:left="568" w:hanging="284"/>
        <w:contextualSpacing w:val="0"/>
        <w:jc w:val="left"/>
        <w:rPr>
          <w:lang w:val="en-CA"/>
        </w:rPr>
      </w:pPr>
      <w:r w:rsidRPr="002D1584">
        <w:rPr>
          <w:lang w:val="en-CA"/>
        </w:rPr>
        <w:t>RRs for North American or European populations (Western populations), to consider population</w:t>
      </w:r>
      <w:r>
        <w:rPr>
          <w:lang w:val="en-CA"/>
        </w:rPr>
        <w:t>s</w:t>
      </w:r>
      <w:r w:rsidRPr="002D1584">
        <w:rPr>
          <w:lang w:val="en-CA"/>
        </w:rPr>
        <w:t xml:space="preserve"> comparable to that of Quebec; </w:t>
      </w:r>
    </w:p>
    <w:p w:rsidR="00065EEC" w:rsidRPr="002D1584" w:rsidRDefault="00065EEC" w:rsidP="00065EEC">
      <w:pPr>
        <w:pStyle w:val="MediumGrid1-Accent21"/>
        <w:numPr>
          <w:ilvl w:val="1"/>
          <w:numId w:val="6"/>
        </w:numPr>
        <w:tabs>
          <w:tab w:val="left" w:pos="0"/>
        </w:tabs>
        <w:spacing w:before="0" w:after="0"/>
        <w:ind w:left="568" w:hanging="284"/>
        <w:contextualSpacing w:val="0"/>
        <w:jc w:val="left"/>
        <w:rPr>
          <w:lang w:val="en-CA"/>
        </w:rPr>
      </w:pPr>
      <w:r w:rsidRPr="002D1584">
        <w:rPr>
          <w:lang w:val="en-CA"/>
        </w:rPr>
        <w:t>RRs from studies published after 2000 inclusively;</w:t>
      </w:r>
    </w:p>
    <w:p w:rsidR="00065EEC" w:rsidRPr="00BD3D52" w:rsidRDefault="00065EEC" w:rsidP="00065EEC">
      <w:pPr>
        <w:pStyle w:val="MediumGrid1-Accent21"/>
        <w:numPr>
          <w:ilvl w:val="1"/>
          <w:numId w:val="6"/>
        </w:numPr>
        <w:tabs>
          <w:tab w:val="left" w:pos="0"/>
        </w:tabs>
        <w:spacing w:before="0" w:after="0"/>
        <w:ind w:left="568" w:hanging="284"/>
        <w:contextualSpacing w:val="0"/>
        <w:jc w:val="left"/>
        <w:rPr>
          <w:lang w:val="en-CA"/>
        </w:rPr>
      </w:pPr>
      <w:r w:rsidRPr="00BD3D52">
        <w:rPr>
          <w:lang w:val="en-CA"/>
        </w:rPr>
        <w:t>RRs expressed for the same exposure measurements; e.g. as the HLHP policy was aimed at increasing the prevalence of physical activity, measured as 30 minutes of activity per day, we retained studies expressing physical activity as 30 minutes of activity per day;</w:t>
      </w:r>
    </w:p>
    <w:p w:rsidR="00065EEC" w:rsidRPr="002D1584" w:rsidRDefault="00065EEC" w:rsidP="00065EEC">
      <w:pPr>
        <w:pStyle w:val="MediumGrid1-Accent21"/>
        <w:numPr>
          <w:ilvl w:val="1"/>
          <w:numId w:val="6"/>
        </w:numPr>
        <w:tabs>
          <w:tab w:val="left" w:pos="0"/>
        </w:tabs>
        <w:spacing w:before="0" w:after="240"/>
        <w:ind w:left="568" w:hanging="284"/>
        <w:contextualSpacing w:val="0"/>
        <w:jc w:val="left"/>
        <w:rPr>
          <w:lang w:val="en-CA"/>
        </w:rPr>
      </w:pPr>
      <w:r w:rsidRPr="002D1584">
        <w:rPr>
          <w:lang w:val="en-CA"/>
        </w:rPr>
        <w:t xml:space="preserve">RRs stratified by sex. </w:t>
      </w:r>
    </w:p>
    <w:p w:rsidR="00065EEC" w:rsidRPr="002D1584" w:rsidRDefault="00065EEC" w:rsidP="00065EEC">
      <w:pPr>
        <w:pStyle w:val="MediumGrid1-Accent21"/>
        <w:numPr>
          <w:ilvl w:val="0"/>
          <w:numId w:val="6"/>
        </w:numPr>
        <w:tabs>
          <w:tab w:val="left" w:pos="0"/>
        </w:tabs>
        <w:ind w:left="284" w:hanging="284"/>
        <w:contextualSpacing w:val="0"/>
        <w:jc w:val="left"/>
        <w:rPr>
          <w:lang w:val="en-CA"/>
        </w:rPr>
      </w:pPr>
      <w:r w:rsidRPr="002D1584">
        <w:rPr>
          <w:lang w:val="en-CA"/>
        </w:rPr>
        <w:t xml:space="preserve">We organized the RRs collected through the review into a hierarchy according to these standards. When it was not possible to meet all the criteria, we proceeded as follows: </w:t>
      </w:r>
    </w:p>
    <w:p w:rsidR="00065EEC" w:rsidRPr="002D1584" w:rsidRDefault="00065EEC" w:rsidP="00065EEC">
      <w:pPr>
        <w:pStyle w:val="MediumGrid1-Accent21"/>
        <w:numPr>
          <w:ilvl w:val="1"/>
          <w:numId w:val="6"/>
        </w:numPr>
        <w:tabs>
          <w:tab w:val="left" w:pos="0"/>
        </w:tabs>
        <w:spacing w:before="0" w:after="0"/>
        <w:ind w:left="568" w:hanging="284"/>
        <w:contextualSpacing w:val="0"/>
        <w:jc w:val="left"/>
        <w:rPr>
          <w:lang w:val="en-CA"/>
        </w:rPr>
      </w:pPr>
      <w:r w:rsidRPr="002D1584">
        <w:rPr>
          <w:lang w:val="en-CA"/>
        </w:rPr>
        <w:t>If no data were available in systematic reviews or meta-analyses, we used RRs from North American cohorts.</w:t>
      </w:r>
    </w:p>
    <w:p w:rsidR="00065EEC" w:rsidRPr="002D1584" w:rsidRDefault="00065EEC" w:rsidP="00065EEC">
      <w:pPr>
        <w:pStyle w:val="MediumGrid1-Accent21"/>
        <w:numPr>
          <w:ilvl w:val="1"/>
          <w:numId w:val="6"/>
        </w:numPr>
        <w:tabs>
          <w:tab w:val="left" w:pos="0"/>
        </w:tabs>
        <w:spacing w:before="0" w:after="0"/>
        <w:ind w:left="567" w:hanging="283"/>
        <w:contextualSpacing w:val="0"/>
        <w:jc w:val="left"/>
        <w:rPr>
          <w:lang w:val="en-CA"/>
        </w:rPr>
      </w:pPr>
      <w:r w:rsidRPr="002D1584">
        <w:rPr>
          <w:lang w:val="en-CA"/>
        </w:rPr>
        <w:t xml:space="preserve">If no data were available after 2000, we retained the last systematic reviews or meta-analyses before 2000. </w:t>
      </w:r>
    </w:p>
    <w:p w:rsidR="00065EEC" w:rsidRPr="002D1584" w:rsidRDefault="00065EEC" w:rsidP="00065EEC">
      <w:pPr>
        <w:pStyle w:val="MediumGrid1-Accent21"/>
        <w:numPr>
          <w:ilvl w:val="1"/>
          <w:numId w:val="6"/>
        </w:numPr>
        <w:tabs>
          <w:tab w:val="left" w:pos="0"/>
        </w:tabs>
        <w:spacing w:before="0" w:after="0"/>
        <w:ind w:left="568" w:hanging="284"/>
        <w:contextualSpacing w:val="0"/>
        <w:jc w:val="left"/>
        <w:rPr>
          <w:lang w:val="en-CA"/>
        </w:rPr>
      </w:pPr>
      <w:r w:rsidRPr="002D1584">
        <w:rPr>
          <w:lang w:val="en-CA"/>
        </w:rPr>
        <w:t xml:space="preserve">If no data were available stratified by sex, we used the same RRs for men and women. </w:t>
      </w:r>
    </w:p>
    <w:p w:rsidR="00065EEC" w:rsidRPr="002D1584" w:rsidRDefault="00065EEC" w:rsidP="00065EEC">
      <w:pPr>
        <w:pStyle w:val="MediumGrid1-Accent21"/>
        <w:numPr>
          <w:ilvl w:val="0"/>
          <w:numId w:val="6"/>
        </w:numPr>
        <w:tabs>
          <w:tab w:val="left" w:pos="0"/>
        </w:tabs>
        <w:ind w:left="284" w:hanging="284"/>
        <w:contextualSpacing w:val="0"/>
        <w:jc w:val="left"/>
        <w:rPr>
          <w:lang w:val="en-CA"/>
        </w:rPr>
      </w:pPr>
      <w:r w:rsidRPr="002D1584">
        <w:rPr>
          <w:lang w:val="en-CA"/>
        </w:rPr>
        <w:t xml:space="preserve">We prioritized the articles according to the criteria described above and chose one RR for each relationship (stratified by sex when possible) as most appropriate to represent the </w:t>
      </w:r>
      <w:r w:rsidRPr="002D1584">
        <w:rPr>
          <w:lang w:val="en-CA"/>
        </w:rPr>
        <w:lastRenderedPageBreak/>
        <w:t>population of Quebec targeted by the identified actions of the HLHP strategy and kept the other R</w:t>
      </w:r>
      <w:r w:rsidR="00BD3D52">
        <w:rPr>
          <w:lang w:val="en-CA"/>
        </w:rPr>
        <w:t xml:space="preserve">Rs for the sensitivity analyses. Studies selected in our literature review of RR are presented in Table 1 (Appendix 1). </w:t>
      </w:r>
    </w:p>
    <w:p w:rsidR="00065EEC" w:rsidRPr="002D1584" w:rsidRDefault="00065EEC" w:rsidP="00934381">
      <w:pPr>
        <w:pStyle w:val="MediumGrid1-Accent21"/>
        <w:numPr>
          <w:ilvl w:val="0"/>
          <w:numId w:val="6"/>
        </w:numPr>
        <w:tabs>
          <w:tab w:val="left" w:pos="0"/>
        </w:tabs>
        <w:contextualSpacing w:val="0"/>
        <w:jc w:val="left"/>
        <w:rPr>
          <w:lang w:val="en-CA"/>
        </w:rPr>
      </w:pPr>
      <w:r w:rsidRPr="002D1584">
        <w:rPr>
          <w:lang w:val="en-CA"/>
        </w:rPr>
        <w:t>We calculated adjusted PAFs</w:t>
      </w:r>
      <w:r w:rsidR="005F1AB2">
        <w:rPr>
          <w:lang w:val="en-CA"/>
        </w:rPr>
        <w:t xml:space="preserve"> (P</w:t>
      </w:r>
      <w:r w:rsidR="00C6180A">
        <w:rPr>
          <w:lang w:val="en-CA"/>
        </w:rPr>
        <w:t>opulation Attributable Fraction)</w:t>
      </w:r>
      <w:r w:rsidRPr="002D1584">
        <w:rPr>
          <w:lang w:val="en-CA"/>
        </w:rPr>
        <w:t xml:space="preserve"> using the RRs selected based on our literature review and the exposure prevalence data from the 2009–2010 CCHS</w:t>
      </w:r>
      <w:r w:rsidR="00934381">
        <w:rPr>
          <w:lang w:val="en-CA"/>
        </w:rPr>
        <w:t xml:space="preserve"> (</w:t>
      </w:r>
      <w:r w:rsidR="00934381" w:rsidRPr="00934381">
        <w:rPr>
          <w:lang w:val="en-CA"/>
        </w:rPr>
        <w:t>Canadian Community Health Survey</w:t>
      </w:r>
      <w:r w:rsidR="00934381">
        <w:rPr>
          <w:lang w:val="en-CA"/>
        </w:rPr>
        <w:t>)</w:t>
      </w:r>
      <w:r w:rsidRPr="002D1584">
        <w:rPr>
          <w:lang w:val="en-CA"/>
        </w:rPr>
        <w:t xml:space="preserve"> survey.</w:t>
      </w:r>
      <w:r>
        <w:rPr>
          <w:vertAlign w:val="superscript"/>
          <w:lang w:val="en-CA"/>
        </w:rPr>
        <w:t>28</w:t>
      </w:r>
      <w:r w:rsidRPr="002D1584">
        <w:rPr>
          <w:lang w:val="en-CA"/>
        </w:rPr>
        <w:t xml:space="preserve"> These PAFs were multiplied by the costs of disease to obtain the costs attributable to each risk factor.</w:t>
      </w:r>
    </w:p>
    <w:p w:rsidR="00065EEC" w:rsidRDefault="00065EEC" w:rsidP="008A7C9B">
      <w:pPr>
        <w:rPr>
          <w:rFonts w:eastAsia="Times New Roman"/>
          <w:b/>
          <w:bCs/>
          <w:color w:val="000000"/>
          <w:szCs w:val="22"/>
          <w:lang w:val="en-CA" w:eastAsia="en-CA"/>
        </w:rPr>
      </w:pPr>
    </w:p>
    <w:p w:rsidR="009909E0" w:rsidRDefault="009909E0">
      <w:pPr>
        <w:spacing w:line="276" w:lineRule="auto"/>
        <w:rPr>
          <w:rFonts w:eastAsia="Times New Roman"/>
          <w:b/>
          <w:bCs/>
          <w:color w:val="000000"/>
          <w:szCs w:val="22"/>
          <w:lang w:val="en-CA" w:eastAsia="en-CA"/>
        </w:rPr>
      </w:pPr>
      <w:r>
        <w:rPr>
          <w:rFonts w:eastAsia="Times New Roman"/>
          <w:b/>
          <w:bCs/>
          <w:color w:val="000000"/>
          <w:szCs w:val="22"/>
          <w:lang w:val="en-CA" w:eastAsia="en-CA"/>
        </w:rPr>
        <w:br w:type="page"/>
      </w:r>
    </w:p>
    <w:p w:rsidR="00737E9B" w:rsidRDefault="009909E0">
      <w:pPr>
        <w:spacing w:line="276" w:lineRule="auto"/>
        <w:rPr>
          <w:b/>
          <w:lang w:eastAsia="fr-CA"/>
        </w:rPr>
      </w:pPr>
      <w:r>
        <w:rPr>
          <w:rFonts w:eastAsia="Times New Roman"/>
          <w:b/>
          <w:bCs/>
          <w:color w:val="000000"/>
          <w:szCs w:val="22"/>
          <w:lang w:val="en-CA" w:eastAsia="en-CA"/>
        </w:rPr>
        <w:lastRenderedPageBreak/>
        <w:t xml:space="preserve">Appendix 2: Objectives </w:t>
      </w:r>
      <w:r w:rsidRPr="007426DC">
        <w:rPr>
          <w:b/>
          <w:lang w:eastAsia="fr-CA"/>
        </w:rPr>
        <w:t>of the healthy lifestyle habits promotion strategy in Quebec</w:t>
      </w:r>
      <w:r>
        <w:rPr>
          <w:b/>
          <w:lang w:eastAsia="fr-CA"/>
        </w:rPr>
        <w:t>, Canada</w:t>
      </w:r>
    </w:p>
    <w:p w:rsidR="00307A7B" w:rsidRDefault="00307A7B">
      <w:pPr>
        <w:spacing w:line="276" w:lineRule="auto"/>
        <w:rPr>
          <w:b/>
          <w:lang w:eastAsia="fr-CA"/>
        </w:rPr>
      </w:pPr>
      <w:r>
        <w:rPr>
          <w:b/>
          <w:lang w:eastAsia="fr-CA"/>
        </w:rPr>
        <w:t xml:space="preserve">A – </w:t>
      </w:r>
      <w:r w:rsidR="00CB0040">
        <w:rPr>
          <w:b/>
          <w:lang w:eastAsia="fr-CA"/>
        </w:rPr>
        <w:t>Healthy</w:t>
      </w:r>
      <w:r>
        <w:rPr>
          <w:b/>
          <w:lang w:eastAsia="fr-CA"/>
        </w:rPr>
        <w:t xml:space="preserve"> lifestyle </w:t>
      </w:r>
    </w:p>
    <w:p w:rsidR="00CB0040" w:rsidRDefault="000F719E" w:rsidP="00CB0040">
      <w:pPr>
        <w:pStyle w:val="ListParagraph"/>
        <w:numPr>
          <w:ilvl w:val="0"/>
          <w:numId w:val="8"/>
        </w:numPr>
        <w:spacing w:line="276" w:lineRule="auto"/>
        <w:rPr>
          <w:lang w:eastAsia="fr-CA"/>
        </w:rPr>
      </w:pPr>
      <w:r>
        <w:rPr>
          <w:lang w:eastAsia="fr-CA"/>
        </w:rPr>
        <w:t xml:space="preserve">5% increase in the proportion of people eating 5 or more proportions of fruits and vegetables daily. </w:t>
      </w:r>
    </w:p>
    <w:p w:rsidR="00790ED9" w:rsidRDefault="00790ED9" w:rsidP="00CB0040">
      <w:pPr>
        <w:pStyle w:val="ListParagraph"/>
        <w:numPr>
          <w:ilvl w:val="0"/>
          <w:numId w:val="8"/>
        </w:numPr>
        <w:spacing w:line="276" w:lineRule="auto"/>
        <w:rPr>
          <w:lang w:eastAsia="fr-CA"/>
        </w:rPr>
      </w:pPr>
      <w:r>
        <w:rPr>
          <w:lang w:eastAsia="fr-CA"/>
        </w:rPr>
        <w:t xml:space="preserve">5% increase in the proportion of people reaching the recommended level of physical activity </w:t>
      </w:r>
    </w:p>
    <w:p w:rsidR="00790ED9" w:rsidRDefault="00790ED9" w:rsidP="00CB0040">
      <w:pPr>
        <w:pStyle w:val="ListParagraph"/>
        <w:numPr>
          <w:ilvl w:val="0"/>
          <w:numId w:val="8"/>
        </w:numPr>
        <w:spacing w:line="276" w:lineRule="auto"/>
        <w:rPr>
          <w:lang w:eastAsia="fr-CA"/>
        </w:rPr>
      </w:pPr>
      <w:r>
        <w:rPr>
          <w:lang w:eastAsia="fr-CA"/>
        </w:rPr>
        <w:t xml:space="preserve">Reduce the rate of smoking to 13% in young people and to 16% in people aged 15 and over </w:t>
      </w:r>
    </w:p>
    <w:p w:rsidR="00790ED9" w:rsidRDefault="00790ED9" w:rsidP="00CB0040">
      <w:pPr>
        <w:pStyle w:val="ListParagraph"/>
        <w:numPr>
          <w:ilvl w:val="0"/>
          <w:numId w:val="8"/>
        </w:numPr>
        <w:spacing w:line="276" w:lineRule="auto"/>
        <w:rPr>
          <w:lang w:eastAsia="fr-CA"/>
        </w:rPr>
      </w:pPr>
      <w:r>
        <w:rPr>
          <w:lang w:eastAsia="fr-CA"/>
        </w:rPr>
        <w:t xml:space="preserve">Reduce the prevalence of food insecurity to less than 4.5%  </w:t>
      </w:r>
    </w:p>
    <w:p w:rsidR="00790ED9" w:rsidRPr="00DB5100" w:rsidRDefault="00790ED9" w:rsidP="00790ED9">
      <w:pPr>
        <w:spacing w:line="276" w:lineRule="auto"/>
        <w:rPr>
          <w:b/>
          <w:lang w:eastAsia="fr-CA"/>
        </w:rPr>
      </w:pPr>
      <w:r w:rsidRPr="00DB5100">
        <w:rPr>
          <w:b/>
          <w:lang w:eastAsia="fr-CA"/>
        </w:rPr>
        <w:t xml:space="preserve">B – Chronic diseases and risk factors </w:t>
      </w:r>
    </w:p>
    <w:p w:rsidR="00790ED9" w:rsidRDefault="00DB5100" w:rsidP="00DB5100">
      <w:pPr>
        <w:pStyle w:val="ListParagraph"/>
        <w:numPr>
          <w:ilvl w:val="0"/>
          <w:numId w:val="9"/>
        </w:numPr>
        <w:spacing w:line="276" w:lineRule="auto"/>
        <w:rPr>
          <w:lang w:eastAsia="fr-CA"/>
        </w:rPr>
      </w:pPr>
      <w:r>
        <w:rPr>
          <w:lang w:eastAsia="fr-CA"/>
        </w:rPr>
        <w:t xml:space="preserve">Limit the increase of diabetes to 30% </w:t>
      </w:r>
    </w:p>
    <w:p w:rsidR="00DB5100" w:rsidRDefault="00DB5100" w:rsidP="00DB5100">
      <w:pPr>
        <w:pStyle w:val="ListParagraph"/>
        <w:numPr>
          <w:ilvl w:val="0"/>
          <w:numId w:val="9"/>
        </w:numPr>
        <w:spacing w:line="276" w:lineRule="auto"/>
        <w:rPr>
          <w:lang w:eastAsia="fr-CA"/>
        </w:rPr>
      </w:pPr>
      <w:r>
        <w:rPr>
          <w:lang w:eastAsia="fr-CA"/>
        </w:rPr>
        <w:t>2% decrease in the prevalence of obesity and 5% decrease in the prevalence of overweight</w:t>
      </w:r>
    </w:p>
    <w:p w:rsidR="00DB5100" w:rsidRDefault="0023498B" w:rsidP="00DB5100">
      <w:pPr>
        <w:pStyle w:val="ListParagraph"/>
        <w:numPr>
          <w:ilvl w:val="0"/>
          <w:numId w:val="9"/>
        </w:numPr>
        <w:spacing w:line="276" w:lineRule="auto"/>
        <w:rPr>
          <w:lang w:eastAsia="fr-CA"/>
        </w:rPr>
      </w:pPr>
      <w:r>
        <w:rPr>
          <w:lang w:eastAsia="fr-CA"/>
        </w:rPr>
        <w:t>Reduce to 3%/year mortality and morbidity rates due to Cardio</w:t>
      </w:r>
      <w:r w:rsidR="008C7F7D">
        <w:rPr>
          <w:lang w:eastAsia="fr-CA"/>
        </w:rPr>
        <w:t>v</w:t>
      </w:r>
      <w:r>
        <w:rPr>
          <w:lang w:eastAsia="fr-CA"/>
        </w:rPr>
        <w:t>ascular Diseases (CVD)</w:t>
      </w:r>
      <w:r w:rsidR="00DB5100">
        <w:rPr>
          <w:lang w:eastAsia="fr-CA"/>
        </w:rPr>
        <w:t xml:space="preserve"> </w:t>
      </w:r>
    </w:p>
    <w:p w:rsidR="008C7F7D" w:rsidRDefault="008C7F7D" w:rsidP="00DB5100">
      <w:pPr>
        <w:pStyle w:val="ListParagraph"/>
        <w:numPr>
          <w:ilvl w:val="0"/>
          <w:numId w:val="9"/>
        </w:numPr>
        <w:spacing w:line="276" w:lineRule="auto"/>
        <w:rPr>
          <w:lang w:eastAsia="fr-CA"/>
        </w:rPr>
      </w:pPr>
      <w:r>
        <w:rPr>
          <w:lang w:eastAsia="fr-CA"/>
        </w:rPr>
        <w:t xml:space="preserve">25% reduction in mortality rate due do breast cancer </w:t>
      </w:r>
    </w:p>
    <w:p w:rsidR="008C7F7D" w:rsidRDefault="008C7F7D" w:rsidP="0078341F">
      <w:pPr>
        <w:pStyle w:val="ListParagraph"/>
        <w:numPr>
          <w:ilvl w:val="0"/>
          <w:numId w:val="9"/>
        </w:numPr>
        <w:spacing w:line="276" w:lineRule="auto"/>
        <w:rPr>
          <w:lang w:eastAsia="fr-CA"/>
        </w:rPr>
      </w:pPr>
      <w:r>
        <w:rPr>
          <w:lang w:eastAsia="fr-CA"/>
        </w:rPr>
        <w:t xml:space="preserve">15% reduction in mortality and morbidity rates due to asthma and </w:t>
      </w:r>
      <w:r w:rsidR="0078341F" w:rsidRPr="0078341F">
        <w:rPr>
          <w:lang w:eastAsia="fr-CA"/>
        </w:rPr>
        <w:t xml:space="preserve">Chronic Obstructive Pulmonary Disease </w:t>
      </w:r>
      <w:r w:rsidR="0078341F">
        <w:rPr>
          <w:lang w:eastAsia="fr-CA"/>
        </w:rPr>
        <w:t>(</w:t>
      </w:r>
      <w:r>
        <w:rPr>
          <w:lang w:eastAsia="fr-CA"/>
        </w:rPr>
        <w:t>COPD</w:t>
      </w:r>
      <w:r w:rsidR="0078341F">
        <w:rPr>
          <w:lang w:eastAsia="fr-CA"/>
        </w:rPr>
        <w:t>)</w:t>
      </w:r>
      <w:r>
        <w:rPr>
          <w:lang w:eastAsia="fr-CA"/>
        </w:rPr>
        <w:t xml:space="preserve">. </w:t>
      </w:r>
    </w:p>
    <w:p w:rsidR="00790ED9" w:rsidRPr="00CB0040" w:rsidRDefault="00790ED9" w:rsidP="00790ED9">
      <w:pPr>
        <w:spacing w:line="276" w:lineRule="auto"/>
        <w:rPr>
          <w:lang w:eastAsia="fr-CA"/>
        </w:rPr>
      </w:pPr>
    </w:p>
    <w:p w:rsidR="00307A7B" w:rsidRPr="004A6264" w:rsidRDefault="004A6264">
      <w:pPr>
        <w:spacing w:line="276" w:lineRule="auto"/>
        <w:rPr>
          <w:b/>
          <w:lang w:val="fr-FR" w:eastAsia="fr-CA"/>
        </w:rPr>
      </w:pPr>
      <w:r w:rsidRPr="004A6264">
        <w:rPr>
          <w:b/>
          <w:lang w:val="fr-FR" w:eastAsia="fr-CA"/>
        </w:rPr>
        <w:t xml:space="preserve">Sources: </w:t>
      </w:r>
    </w:p>
    <w:p w:rsidR="004A6264" w:rsidRPr="004A6264" w:rsidRDefault="004A6264" w:rsidP="004A6264">
      <w:pPr>
        <w:pStyle w:val="ColorfulList-Accent11"/>
        <w:numPr>
          <w:ilvl w:val="0"/>
          <w:numId w:val="4"/>
        </w:numPr>
        <w:spacing w:before="0" w:after="240" w:line="240" w:lineRule="auto"/>
        <w:ind w:left="360" w:right="-224"/>
        <w:rPr>
          <w:sz w:val="18"/>
          <w:szCs w:val="20"/>
          <w:lang w:val="fr-CA"/>
        </w:rPr>
      </w:pPr>
      <w:r w:rsidRPr="004A6264">
        <w:rPr>
          <w:sz w:val="18"/>
          <w:szCs w:val="20"/>
          <w:lang w:val="fr-CA"/>
        </w:rPr>
        <w:t xml:space="preserve">Ministère de la Santé et des Services sociaux (MSSS), 2008. Programme national de santé publique 2003-2012, mise à jour 2008 [National Program of Public Health 2003-2012, update 2008]. Gouvernement du Québec, Québec. Available at : </w:t>
      </w:r>
      <w:hyperlink r:id="rId11" w:history="1">
        <w:r w:rsidRPr="004A6264">
          <w:rPr>
            <w:rStyle w:val="Hyperlink"/>
            <w:sz w:val="18"/>
            <w:szCs w:val="20"/>
            <w:lang w:val="fr-CA"/>
          </w:rPr>
          <w:t>http://publications.msss.gouv.qc.ca/acrobat/f/documentation/2008/08-216-01.pdf</w:t>
        </w:r>
      </w:hyperlink>
    </w:p>
    <w:p w:rsidR="004A6264" w:rsidRPr="004A6264" w:rsidRDefault="004A6264" w:rsidP="004A6264">
      <w:pPr>
        <w:pStyle w:val="ColorfulList-Accent11"/>
        <w:numPr>
          <w:ilvl w:val="0"/>
          <w:numId w:val="4"/>
        </w:numPr>
        <w:spacing w:before="0" w:after="240" w:line="240" w:lineRule="auto"/>
        <w:ind w:left="360" w:right="-224"/>
        <w:rPr>
          <w:sz w:val="18"/>
          <w:szCs w:val="20"/>
          <w:lang w:val="en-CA"/>
        </w:rPr>
      </w:pPr>
      <w:r w:rsidRPr="004A6264">
        <w:rPr>
          <w:sz w:val="18"/>
          <w:szCs w:val="20"/>
          <w:lang w:val="en-CA"/>
        </w:rPr>
        <w:t xml:space="preserve">Alliance for the Prevention of Chronic Disease, 2002. Building the case for the prevention of chronic disease. Disease Intervention Division, Centre for Chronic Disease Prevention and Control, Health Canada, Ottawa. </w:t>
      </w:r>
    </w:p>
    <w:p w:rsidR="004A6264" w:rsidRPr="004A6264" w:rsidRDefault="004A6264" w:rsidP="004A6264">
      <w:pPr>
        <w:pStyle w:val="ColorfulList-Accent11"/>
        <w:numPr>
          <w:ilvl w:val="0"/>
          <w:numId w:val="4"/>
        </w:numPr>
        <w:spacing w:before="0" w:after="240" w:line="240" w:lineRule="auto"/>
        <w:ind w:left="360" w:right="-224"/>
        <w:rPr>
          <w:sz w:val="18"/>
          <w:szCs w:val="20"/>
          <w:lang w:val="fr-CA"/>
        </w:rPr>
      </w:pPr>
      <w:r w:rsidRPr="004A6264">
        <w:rPr>
          <w:color w:val="000000"/>
          <w:sz w:val="18"/>
          <w:szCs w:val="20"/>
          <w:lang w:val="fr-CA"/>
        </w:rPr>
        <w:t xml:space="preserve">Ministère de la Santé et des Services sociaux (MSSS), 2006. Investir pour l'avenir - Plan d'action gouvernemental de promotion des saines habitudes de vie et de prévention des problèmes reliés au poids 2006-2012 [Government action plan for the promotion of healthy lifestyles and prevention of weight-related problems,  Investing for the Future, 2006-2012]. Gouvernement du Québec, Québec. Available at : </w:t>
      </w:r>
      <w:hyperlink r:id="rId12" w:history="1">
        <w:r w:rsidRPr="004A6264">
          <w:rPr>
            <w:rStyle w:val="Hyperlink"/>
            <w:sz w:val="18"/>
            <w:szCs w:val="20"/>
            <w:lang w:val="fr-CA"/>
          </w:rPr>
          <w:t>http://www.saineshabitudesdevie.gouv.qc.ca/extranet/pag/index.php?le-pag</w:t>
        </w:r>
      </w:hyperlink>
      <w:r w:rsidRPr="004A6264">
        <w:rPr>
          <w:color w:val="000000"/>
          <w:sz w:val="18"/>
          <w:szCs w:val="20"/>
          <w:lang w:val="fr-CA"/>
        </w:rPr>
        <w:t xml:space="preserve"> </w:t>
      </w:r>
    </w:p>
    <w:p w:rsidR="004A6264" w:rsidRPr="004A6264" w:rsidRDefault="004A6264" w:rsidP="004A6264">
      <w:pPr>
        <w:pStyle w:val="ColorfulList-Accent11"/>
        <w:numPr>
          <w:ilvl w:val="0"/>
          <w:numId w:val="4"/>
        </w:numPr>
        <w:spacing w:before="0" w:after="240" w:line="240" w:lineRule="auto"/>
        <w:ind w:left="360" w:right="-224"/>
        <w:jc w:val="left"/>
        <w:rPr>
          <w:sz w:val="18"/>
          <w:szCs w:val="20"/>
          <w:lang w:val="en-CA"/>
        </w:rPr>
      </w:pPr>
      <w:r w:rsidRPr="004A6264">
        <w:rPr>
          <w:sz w:val="18"/>
          <w:szCs w:val="20"/>
          <w:lang w:val="en-CA"/>
        </w:rPr>
        <w:t xml:space="preserve">National Public Health Partnership (NPHP), 2001. Preventing Chronic Disease: A Strategic Framework [online]. Background paper, Melbourne, Victoria (Australia). Available at: </w:t>
      </w:r>
      <w:hyperlink r:id="rId13" w:history="1">
        <w:r w:rsidRPr="004A6264">
          <w:rPr>
            <w:rStyle w:val="Hyperlink"/>
            <w:sz w:val="18"/>
            <w:szCs w:val="20"/>
            <w:lang w:val="en-CA"/>
          </w:rPr>
          <w:t>www.nphp.gov.au</w:t>
        </w:r>
      </w:hyperlink>
      <w:r w:rsidRPr="004A6264">
        <w:rPr>
          <w:sz w:val="18"/>
          <w:szCs w:val="20"/>
          <w:lang w:val="en-CA"/>
        </w:rPr>
        <w:t xml:space="preserve"> </w:t>
      </w:r>
    </w:p>
    <w:p w:rsidR="004A6264" w:rsidRPr="004A6264" w:rsidRDefault="004A6264">
      <w:pPr>
        <w:spacing w:line="276" w:lineRule="auto"/>
        <w:rPr>
          <w:b/>
          <w:lang w:val="en-CA" w:eastAsia="fr-CA"/>
        </w:rPr>
      </w:pPr>
    </w:p>
    <w:p w:rsidR="00307A7B" w:rsidRDefault="00307A7B">
      <w:pPr>
        <w:spacing w:line="276" w:lineRule="auto"/>
        <w:rPr>
          <w:b/>
          <w:lang w:eastAsia="fr-CA"/>
        </w:rPr>
      </w:pPr>
    </w:p>
    <w:p w:rsidR="00307A7B" w:rsidRPr="00307A7B" w:rsidRDefault="00307A7B">
      <w:pPr>
        <w:spacing w:line="276" w:lineRule="auto"/>
        <w:rPr>
          <w:rFonts w:eastAsia="Times New Roman"/>
          <w:bCs/>
          <w:color w:val="000000"/>
          <w:szCs w:val="22"/>
          <w:lang w:val="en-CA" w:eastAsia="en-CA"/>
        </w:rPr>
        <w:sectPr w:rsidR="00307A7B" w:rsidRPr="00307A7B" w:rsidSect="00794D17">
          <w:pgSz w:w="12240" w:h="15840"/>
          <w:pgMar w:top="1080" w:right="1440" w:bottom="1260" w:left="1440" w:header="720" w:footer="720" w:gutter="0"/>
          <w:cols w:space="720"/>
          <w:docGrid w:linePitch="360"/>
        </w:sectPr>
      </w:pPr>
    </w:p>
    <w:p w:rsidR="00737E9B" w:rsidRPr="008D7D4A" w:rsidRDefault="00737E9B" w:rsidP="00737E9B">
      <w:pPr>
        <w:rPr>
          <w:b/>
          <w:lang w:val="en-CA" w:eastAsia="fr-CA"/>
        </w:rPr>
      </w:pPr>
      <w:r>
        <w:rPr>
          <w:b/>
          <w:lang w:val="en-CA" w:eastAsia="fr-CA"/>
        </w:rPr>
        <w:lastRenderedPageBreak/>
        <w:t>Figure S1</w:t>
      </w:r>
      <w:r w:rsidRPr="008D7D4A">
        <w:rPr>
          <w:b/>
          <w:lang w:val="en-CA" w:eastAsia="fr-CA"/>
        </w:rPr>
        <w:t>. Causal chain effects of adopting and maintaining healthy lifestyles on the occurrence of chr</w:t>
      </w:r>
      <w:r w:rsidR="00E90977">
        <w:rPr>
          <w:b/>
          <w:lang w:val="en-CA" w:eastAsia="fr-CA"/>
        </w:rPr>
        <w:t>onic disease</w:t>
      </w:r>
      <w:r w:rsidR="00EF3B42">
        <w:rPr>
          <w:b/>
          <w:lang w:val="en-CA" w:eastAsia="fr-CA"/>
        </w:rPr>
        <w:t>s and related costs</w:t>
      </w:r>
      <w:r w:rsidR="00C132DE">
        <w:rPr>
          <w:b/>
          <w:lang w:val="en-CA" w:eastAsia="fr-CA"/>
        </w:rPr>
        <w:t xml:space="preserve">. </w:t>
      </w:r>
      <w:r w:rsidR="00C132DE">
        <w:rPr>
          <w:b/>
          <w:bCs/>
          <w:lang w:val="en-CA" w:eastAsia="fr-CA"/>
        </w:rPr>
        <w:t>Canada 2016</w:t>
      </w:r>
    </w:p>
    <w:p w:rsidR="00737E9B" w:rsidRPr="008D7D4A" w:rsidRDefault="00737E9B" w:rsidP="00737E9B">
      <w:pPr>
        <w:jc w:val="center"/>
        <w:rPr>
          <w:lang w:val="en-CA"/>
        </w:rPr>
      </w:pPr>
      <w:r>
        <w:rPr>
          <w:noProof/>
          <w:lang w:val="en-CA" w:eastAsia="en-CA"/>
        </w:rPr>
        <mc:AlternateContent>
          <mc:Choice Requires="wps">
            <w:drawing>
              <wp:anchor distT="0" distB="0" distL="114300" distR="114300" simplePos="0" relativeHeight="251656704" behindDoc="0" locked="0" layoutInCell="1" allowOverlap="1" wp14:anchorId="2C739A5B" wp14:editId="69F5695A">
                <wp:simplePos x="0" y="0"/>
                <wp:positionH relativeFrom="column">
                  <wp:posOffset>6238240</wp:posOffset>
                </wp:positionH>
                <wp:positionV relativeFrom="paragraph">
                  <wp:posOffset>340995</wp:posOffset>
                </wp:positionV>
                <wp:extent cx="1579245" cy="4189095"/>
                <wp:effectExtent l="0" t="0" r="20955" b="20955"/>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9245" cy="4189095"/>
                        </a:xfrm>
                        <a:prstGeom prst="rect">
                          <a:avLst/>
                        </a:prstGeom>
                        <a:solidFill>
                          <a:srgbClr val="7F7F7F">
                            <a:alpha val="10196"/>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A53CF" id="Rectangle 47" o:spid="_x0000_s1026" style="position:absolute;margin-left:491.2pt;margin-top:26.85pt;width:124.35pt;height:329.8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" fillcolor="#7f7f7f" strokeweight="1pt">
                <v:fill opacity="6682f"/>
              </v:rect>
            </w:pict>
          </mc:Fallback>
        </mc:AlternateContent>
      </w:r>
      <w:r>
        <w:rPr>
          <w:noProof/>
          <w:lang w:val="en-CA" w:eastAsia="en-CA"/>
        </w:rPr>
        <mc:AlternateContent>
          <mc:Choice Requires="wps">
            <w:drawing>
              <wp:anchor distT="0" distB="0" distL="114300" distR="114300" simplePos="0" relativeHeight="251653632" behindDoc="0" locked="0" layoutInCell="1" allowOverlap="1" wp14:anchorId="720A85AD" wp14:editId="18B72E05">
                <wp:simplePos x="0" y="0"/>
                <wp:positionH relativeFrom="column">
                  <wp:posOffset>412115</wp:posOffset>
                </wp:positionH>
                <wp:positionV relativeFrom="paragraph">
                  <wp:posOffset>239395</wp:posOffset>
                </wp:positionV>
                <wp:extent cx="5426075" cy="4189095"/>
                <wp:effectExtent l="0" t="0" r="22225" b="20955"/>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26075" cy="4189095"/>
                        </a:xfrm>
                        <a:prstGeom prst="rect">
                          <a:avLst/>
                        </a:prstGeom>
                        <a:solidFill>
                          <a:srgbClr val="7F7F7F">
                            <a:alpha val="10196"/>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B7A19" id="Rectangle 46" o:spid="_x0000_s1026" style="position:absolute;margin-left:32.45pt;margin-top:18.85pt;width:427.25pt;height:329.8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" fillcolor="#7f7f7f" strokeweight="1pt">
                <v:fill opacity="6682f"/>
              </v:rect>
            </w:pict>
          </mc:Fallback>
        </mc:AlternateContent>
      </w:r>
      <w:r>
        <w:rPr>
          <w:b/>
          <w:noProof/>
          <w:sz w:val="22"/>
          <w:lang w:val="en-CA" w:eastAsia="en-CA"/>
        </w:rPr>
        <mc:AlternateContent>
          <mc:Choice Requires="wps">
            <w:drawing>
              <wp:anchor distT="4294967294" distB="4294967294" distL="114300" distR="114300" simplePos="0" relativeHeight="251659776" behindDoc="0" locked="0" layoutInCell="1" allowOverlap="1" wp14:anchorId="6E992756" wp14:editId="048703CF">
                <wp:simplePos x="0" y="0"/>
                <wp:positionH relativeFrom="column">
                  <wp:posOffset>1875790</wp:posOffset>
                </wp:positionH>
                <wp:positionV relativeFrom="paragraph">
                  <wp:posOffset>3671569</wp:posOffset>
                </wp:positionV>
                <wp:extent cx="180975" cy="0"/>
                <wp:effectExtent l="0" t="76200" r="28575" b="95250"/>
                <wp:wrapNone/>
                <wp:docPr id="8"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97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0BD82864" id="_x0000_t32" coordsize="21600,21600" o:spt="32" o:oned="t" path="m,l21600,21600e" filled="f">
                <v:path arrowok="t" fillok="f" o:connecttype="none"/>
                <o:lock v:ext="edit" shapetype="t"/>
              </v:shapetype>
              <v:shape id="Connecteur droit avec flèche 1" o:spid="_x0000_s1026" type="#_x0000_t32" style="position:absolute;margin-left:147.7pt;margin-top:289.1pt;width:14.2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" strokeweight=".5pt">
                <v:stroke endarrow="block"/>
                <o:lock v:ext="edit" shapetype="f"/>
              </v:shape>
            </w:pict>
          </mc:Fallback>
        </mc:AlternateContent>
      </w:r>
      <w:r>
        <w:rPr>
          <w:b/>
          <w:noProof/>
          <w:sz w:val="22"/>
          <w:lang w:val="en-CA" w:eastAsia="en-CA"/>
        </w:rPr>
        <mc:AlternateContent>
          <mc:Choice Requires="wps">
            <w:drawing>
              <wp:anchor distT="4294967293" distB="4294967293" distL="114300" distR="114300" simplePos="0" relativeHeight="251658752" behindDoc="0" locked="0" layoutInCell="1" allowOverlap="1" wp14:anchorId="4AA9CF86" wp14:editId="6F8B31C7">
                <wp:simplePos x="0" y="0"/>
                <wp:positionH relativeFrom="column">
                  <wp:posOffset>556260</wp:posOffset>
                </wp:positionH>
                <wp:positionV relativeFrom="paragraph">
                  <wp:posOffset>3671569</wp:posOffset>
                </wp:positionV>
                <wp:extent cx="180975" cy="0"/>
                <wp:effectExtent l="0" t="76200" r="28575" b="95250"/>
                <wp:wrapNone/>
                <wp:docPr id="7"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6350" cap="flat" cmpd="sng" algn="ctr">
                          <a:solidFill>
                            <a:sysClr val="windowText" lastClr="000000"/>
                          </a:solidFill>
                          <a:prstDash val="dash"/>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530E61E9" id="Connecteur droit avec flèche 2" o:spid="_x0000_s1026" type="#_x0000_t32" style="position:absolute;margin-left:43.8pt;margin-top:289.1pt;width:14.2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" strokecolor="windowText" strokeweight=".5pt">
                <v:stroke dashstyle="dash" endarrow="block"/>
                <o:lock v:ext="edit" shapetype="f"/>
              </v:shape>
            </w:pict>
          </mc:Fallback>
        </mc:AlternateContent>
      </w:r>
      <w:r>
        <w:rPr>
          <w:noProof/>
          <w:lang w:val="en-CA" w:eastAsia="en-CA"/>
        </w:rPr>
        <mc:AlternateContent>
          <mc:Choice Requires="wps">
            <w:drawing>
              <wp:anchor distT="0" distB="0" distL="114300" distR="114300" simplePos="0" relativeHeight="251662848" behindDoc="0" locked="0" layoutInCell="1" allowOverlap="1" wp14:anchorId="4A0180ED" wp14:editId="36BBD1A6">
                <wp:simplePos x="0" y="0"/>
                <wp:positionH relativeFrom="column">
                  <wp:posOffset>530860</wp:posOffset>
                </wp:positionH>
                <wp:positionV relativeFrom="paragraph">
                  <wp:posOffset>3487420</wp:posOffset>
                </wp:positionV>
                <wp:extent cx="3375025" cy="342900"/>
                <wp:effectExtent l="0" t="0" r="0" b="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35C" w:rsidRPr="008707EB" w:rsidRDefault="0036135C" w:rsidP="00737E9B">
                            <w:pPr>
                              <w:spacing w:before="120" w:after="120"/>
                              <w:rPr>
                                <w:b/>
                                <w:sz w:val="22"/>
                                <w:lang w:val="en-CA"/>
                              </w:rPr>
                            </w:pPr>
                            <w:r w:rsidRPr="008707EB">
                              <w:rPr>
                                <w:b/>
                                <w:sz w:val="18"/>
                                <w:lang w:val="en-CA"/>
                              </w:rPr>
                              <w:t xml:space="preserve">      = P</w:t>
                            </w:r>
                            <w:r w:rsidRPr="008707EB">
                              <w:rPr>
                                <w:b/>
                                <w:sz w:val="16"/>
                                <w:lang w:val="en-CA"/>
                              </w:rPr>
                              <w:t xml:space="preserve">ossible association;            = Established association     </w:t>
                            </w:r>
                          </w:p>
                          <w:p w:rsidR="0036135C" w:rsidRDefault="0036135C" w:rsidP="00737E9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A0180ED" id="_x0000_t202" coordsize="21600,21600" o:spt="202" path="m,l,21600r21600,l21600,xe">
                <v:stroke joinstyle="miter"/>
                <v:path gradientshapeok="t" o:connecttype="rect"/>
              </v:shapetype>
              <v:shape id="Text Box 55" o:spid="_x0000_s1026" type="#_x0000_t202" style="position:absolute;left:0;text-align:left;margin-left:41.8pt;margin-top:274.6pt;width:265.75pt;height:27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o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" filled="f" stroked="f">
                <v:textbox>
                  <w:txbxContent>
                    <w:p w:rsidR="0036135C" w:rsidRPr="008707EB" w:rsidRDefault="0036135C" w:rsidP="00737E9B">
                      <w:pPr>
                        <w:spacing w:before="120" w:after="120"/>
                        <w:rPr>
                          <w:b/>
                          <w:sz w:val="22"/>
                          <w:lang w:val="en-CA"/>
                        </w:rPr>
                      </w:pPr>
                      <w:r w:rsidRPr="008707EB">
                        <w:rPr>
                          <w:b/>
                          <w:sz w:val="18"/>
                          <w:lang w:val="en-CA"/>
                        </w:rPr>
                        <w:t xml:space="preserve">      = P</w:t>
                      </w:r>
                      <w:r w:rsidRPr="008707EB">
                        <w:rPr>
                          <w:b/>
                          <w:sz w:val="16"/>
                          <w:lang w:val="en-CA"/>
                        </w:rPr>
                        <w:t xml:space="preserve">ossible association;            = Established association     </w:t>
                      </w:r>
                    </w:p>
                    <w:p w:rsidR="0036135C" w:rsidRDefault="0036135C" w:rsidP="00737E9B"/>
                  </w:txbxContent>
                </v:textbox>
              </v:shape>
            </w:pict>
          </mc:Fallback>
        </mc:AlternateContent>
      </w:r>
      <w:r>
        <w:rPr>
          <w:noProof/>
          <w:lang w:val="en-CA" w:eastAsia="en-CA"/>
        </w:rPr>
        <mc:AlternateContent>
          <mc:Choice Requires="wps">
            <w:drawing>
              <wp:anchor distT="0" distB="0" distL="114300" distR="114300" simplePos="0" relativeHeight="251660800" behindDoc="0" locked="0" layoutInCell="1" allowOverlap="1" wp14:anchorId="5E66A711" wp14:editId="2324283F">
                <wp:simplePos x="0" y="0"/>
                <wp:positionH relativeFrom="column">
                  <wp:posOffset>4364355</wp:posOffset>
                </wp:positionH>
                <wp:positionV relativeFrom="paragraph">
                  <wp:posOffset>346075</wp:posOffset>
                </wp:positionV>
                <wp:extent cx="1478280" cy="2346325"/>
                <wp:effectExtent l="0" t="0" r="26670" b="15875"/>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2346325"/>
                        </a:xfrm>
                        <a:prstGeom prst="rect">
                          <a:avLst/>
                        </a:prstGeom>
                        <a:solidFill>
                          <a:srgbClr val="B8CCE4">
                            <a:alpha val="16078"/>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7B15" id="Rectangle 53" o:spid="_x0000_s1026" style="position:absolute;margin-left:343.65pt;margin-top:27.25pt;width:116.4pt;height:18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" fillcolor="#b8cce4">
                <v:fill opacity="10537f"/>
              </v:rect>
            </w:pict>
          </mc:Fallback>
        </mc:AlternateContent>
      </w:r>
      <w:r>
        <w:rPr>
          <w:noProof/>
          <w:lang w:val="en-CA" w:eastAsia="en-CA"/>
        </w:rPr>
        <mc:AlternateContent>
          <mc:Choice Requires="wps">
            <w:drawing>
              <wp:anchor distT="0" distB="0" distL="114300" distR="114300" simplePos="0" relativeHeight="251661824" behindDoc="0" locked="0" layoutInCell="1" allowOverlap="1" wp14:anchorId="3D28B009" wp14:editId="5CF6171E">
                <wp:simplePos x="0" y="0"/>
                <wp:positionH relativeFrom="column">
                  <wp:posOffset>4482465</wp:posOffset>
                </wp:positionH>
                <wp:positionV relativeFrom="paragraph">
                  <wp:posOffset>333375</wp:posOffset>
                </wp:positionV>
                <wp:extent cx="1420495" cy="33274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35C" w:rsidRDefault="0036135C" w:rsidP="00737E9B">
                            <w:pPr>
                              <w:jc w:val="center"/>
                              <w:rPr>
                                <w:rFonts w:ascii="Verdana" w:hAnsi="Verdana"/>
                                <w:b/>
                                <w:sz w:val="14"/>
                                <w:szCs w:val="14"/>
                                <w:lang w:val="en-CA"/>
                              </w:rPr>
                            </w:pPr>
                            <w:r>
                              <w:rPr>
                                <w:rFonts w:ascii="Verdana" w:hAnsi="Verdana"/>
                                <w:b/>
                                <w:sz w:val="14"/>
                                <w:szCs w:val="14"/>
                                <w:lang w:val="en-CA"/>
                              </w:rPr>
                              <w:t>Reduction of</w:t>
                            </w:r>
                          </w:p>
                          <w:p w:rsidR="0036135C" w:rsidRPr="008707EB" w:rsidRDefault="0036135C" w:rsidP="00737E9B">
                            <w:pPr>
                              <w:jc w:val="center"/>
                              <w:rPr>
                                <w:rFonts w:ascii="Verdana" w:hAnsi="Verdana"/>
                                <w:b/>
                                <w:sz w:val="14"/>
                                <w:szCs w:val="14"/>
                                <w:lang w:val="en-CA"/>
                              </w:rPr>
                            </w:pPr>
                            <w:r>
                              <w:rPr>
                                <w:rFonts w:ascii="Verdana" w:hAnsi="Verdana"/>
                                <w:b/>
                                <w:sz w:val="14"/>
                                <w:szCs w:val="14"/>
                                <w:lang w:val="en-CA"/>
                              </w:rPr>
                              <w:t>chronic diseases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8B009" id="Text Box 54" o:spid="_x0000_s1027" type="#_x0000_t202" style="position:absolute;left:0;text-align:left;margin-left:352.95pt;margin-top:26.25pt;width:111.85pt;height:2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2uQIAAME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" filled="f" stroked="f">
                <v:textbox>
                  <w:txbxContent>
                    <w:p w:rsidR="0036135C" w:rsidRDefault="0036135C" w:rsidP="00737E9B">
                      <w:pPr>
                        <w:jc w:val="center"/>
                        <w:rPr>
                          <w:rFonts w:ascii="Verdana" w:hAnsi="Verdana"/>
                          <w:b/>
                          <w:sz w:val="14"/>
                          <w:szCs w:val="14"/>
                          <w:lang w:val="en-CA"/>
                        </w:rPr>
                      </w:pPr>
                      <w:r>
                        <w:rPr>
                          <w:rFonts w:ascii="Verdana" w:hAnsi="Verdana"/>
                          <w:b/>
                          <w:sz w:val="14"/>
                          <w:szCs w:val="14"/>
                          <w:lang w:val="en-CA"/>
                        </w:rPr>
                        <w:t>Reduction of</w:t>
                      </w:r>
                    </w:p>
                    <w:p w:rsidR="0036135C" w:rsidRPr="008707EB" w:rsidRDefault="0036135C" w:rsidP="00737E9B">
                      <w:pPr>
                        <w:jc w:val="center"/>
                        <w:rPr>
                          <w:rFonts w:ascii="Verdana" w:hAnsi="Verdana"/>
                          <w:b/>
                          <w:sz w:val="14"/>
                          <w:szCs w:val="14"/>
                          <w:lang w:val="en-CA"/>
                        </w:rPr>
                      </w:pPr>
                      <w:r>
                        <w:rPr>
                          <w:rFonts w:ascii="Verdana" w:hAnsi="Verdana"/>
                          <w:b/>
                          <w:sz w:val="14"/>
                          <w:szCs w:val="14"/>
                          <w:lang w:val="en-CA"/>
                        </w:rPr>
                        <w:t>chronic diseases</w:t>
                      </w:r>
                    </w:p>
                  </w:txbxContent>
                </v:textbox>
              </v:shape>
            </w:pict>
          </mc:Fallback>
        </mc:AlternateContent>
      </w:r>
      <w:r>
        <w:rPr>
          <w:noProof/>
          <w:lang w:val="en-CA" w:eastAsia="en-CA"/>
        </w:rPr>
        <mc:AlternateContent>
          <mc:Choice Requires="wps">
            <w:drawing>
              <wp:anchor distT="0" distB="0" distL="114300" distR="114300" simplePos="0" relativeHeight="251652608" behindDoc="0" locked="0" layoutInCell="1" allowOverlap="1" wp14:anchorId="67E1CF89" wp14:editId="5CE39B5A">
                <wp:simplePos x="0" y="0"/>
                <wp:positionH relativeFrom="column">
                  <wp:posOffset>5984240</wp:posOffset>
                </wp:positionH>
                <wp:positionV relativeFrom="paragraph">
                  <wp:posOffset>1581150</wp:posOffset>
                </wp:positionV>
                <wp:extent cx="217805" cy="370840"/>
                <wp:effectExtent l="0" t="38100" r="29845" b="48260"/>
                <wp:wrapNone/>
                <wp:docPr id="3" name="Flèche droi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05" cy="370840"/>
                        </a:xfrm>
                        <a:prstGeom prst="rightArrow">
                          <a:avLst/>
                        </a:prstGeom>
                        <a:solidFill>
                          <a:srgbClr val="4F81BD">
                            <a:lumMod val="20000"/>
                            <a:lumOff val="8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6176C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6" type="#_x0000_t13" style="position:absolute;margin-left:471.2pt;margin-top:124.5pt;width:17.15pt;height:2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" adj="10800" fillcolor="#dce6f2" strokecolor="windowText" strokeweight="1pt">
                <v:path arrowok="t"/>
              </v:shape>
            </w:pict>
          </mc:Fallback>
        </mc:AlternateContent>
      </w:r>
      <w:r>
        <w:rPr>
          <w:noProof/>
          <w:lang w:val="en-CA" w:eastAsia="en-CA"/>
        </w:rPr>
        <w:drawing>
          <wp:inline distT="0" distB="0" distL="0" distR="0" wp14:anchorId="22CBAAB5" wp14:editId="7A60A184">
            <wp:extent cx="7048500" cy="4000500"/>
            <wp:effectExtent l="0" t="0" r="12700" b="12700"/>
            <wp:docPr id="2" name="Image 5" descr="Modèle logique new english 2.cmap.c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odèle logique new english 2.cmap.cma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0" cy="4000500"/>
                    </a:xfrm>
                    <a:prstGeom prst="rect">
                      <a:avLst/>
                    </a:prstGeom>
                    <a:noFill/>
                    <a:ln>
                      <a:noFill/>
                    </a:ln>
                  </pic:spPr>
                </pic:pic>
              </a:graphicData>
            </a:graphic>
          </wp:inline>
        </w:drawing>
      </w:r>
    </w:p>
    <w:p w:rsidR="00737E9B" w:rsidRPr="008D7D4A" w:rsidRDefault="00737E9B" w:rsidP="00737E9B">
      <w:pPr>
        <w:pStyle w:val="ColorfulList-Accent11"/>
        <w:spacing w:before="240" w:after="80"/>
        <w:ind w:left="851"/>
        <w:contextualSpacing w:val="0"/>
        <w:rPr>
          <w:sz w:val="18"/>
          <w:lang w:val="en-CA"/>
        </w:rPr>
      </w:pPr>
      <w:r w:rsidRPr="008D7D4A">
        <w:rPr>
          <w:b/>
          <w:sz w:val="18"/>
          <w:lang w:val="en-CA"/>
        </w:rPr>
        <w:t>*The consumption of fruit and vegetables is a good indicator of the quality of eating in a population</w:t>
      </w:r>
    </w:p>
    <w:p w:rsidR="00737E9B" w:rsidRPr="008D7D4A" w:rsidRDefault="00737E9B" w:rsidP="00737E9B">
      <w:pPr>
        <w:pStyle w:val="ColorfulList-Accent11"/>
        <w:spacing w:after="80" w:line="240" w:lineRule="auto"/>
        <w:ind w:left="0"/>
        <w:contextualSpacing w:val="0"/>
        <w:rPr>
          <w:b/>
          <w:sz w:val="18"/>
          <w:lang w:val="en-CA"/>
        </w:rPr>
      </w:pPr>
      <w:r w:rsidRPr="008D7D4A">
        <w:rPr>
          <w:b/>
          <w:sz w:val="22"/>
          <w:lang w:val="en-CA"/>
        </w:rPr>
        <w:t>References:</w:t>
      </w:r>
    </w:p>
    <w:p w:rsidR="00737E9B" w:rsidRPr="00737E9B" w:rsidRDefault="00737E9B" w:rsidP="00737E9B">
      <w:pPr>
        <w:pStyle w:val="ColorfulList-Accent11"/>
        <w:numPr>
          <w:ilvl w:val="0"/>
          <w:numId w:val="4"/>
        </w:numPr>
        <w:spacing w:before="0" w:after="0" w:line="240" w:lineRule="auto"/>
        <w:ind w:left="432" w:hanging="432"/>
        <w:contextualSpacing w:val="0"/>
        <w:jc w:val="left"/>
        <w:rPr>
          <w:sz w:val="18"/>
          <w:szCs w:val="18"/>
          <w:lang w:val="en-CA"/>
        </w:rPr>
      </w:pPr>
      <w:r w:rsidRPr="00737E9B">
        <w:rPr>
          <w:sz w:val="18"/>
          <w:szCs w:val="18"/>
          <w:lang w:val="en-CA"/>
        </w:rPr>
        <w:t xml:space="preserve">Alliance for the Prevention of Chronic Disease, 2002. Building the case for the prevention of chronic disease. Disease Intervention Division, Centre for Chronic Disease Prevention and Control, Health Canada, Ottawa. </w:t>
      </w:r>
    </w:p>
    <w:p w:rsidR="00737E9B" w:rsidRPr="00737E9B" w:rsidRDefault="00737E9B" w:rsidP="00737E9B">
      <w:pPr>
        <w:pStyle w:val="ColorfulList-Accent11"/>
        <w:numPr>
          <w:ilvl w:val="0"/>
          <w:numId w:val="4"/>
        </w:numPr>
        <w:spacing w:before="0" w:after="0" w:line="240" w:lineRule="auto"/>
        <w:ind w:left="432" w:hanging="432"/>
        <w:contextualSpacing w:val="0"/>
        <w:jc w:val="left"/>
        <w:rPr>
          <w:sz w:val="18"/>
          <w:szCs w:val="18"/>
          <w:lang w:val="en-CA"/>
        </w:rPr>
      </w:pPr>
      <w:r w:rsidRPr="00737E9B">
        <w:rPr>
          <w:sz w:val="18"/>
          <w:szCs w:val="18"/>
          <w:lang w:val="en-CA"/>
        </w:rPr>
        <w:t xml:space="preserve">National Public Health Partnership (NPHP), 2001. Preventing Chronic Disease: A Strategic Framework [online]. Background paper, Melbourne, Victoria (Australia). Available at: </w:t>
      </w:r>
      <w:hyperlink r:id="rId15" w:history="1">
        <w:r w:rsidRPr="00737E9B">
          <w:rPr>
            <w:rStyle w:val="Hyperlink"/>
            <w:sz w:val="18"/>
            <w:szCs w:val="18"/>
            <w:lang w:val="en-CA"/>
          </w:rPr>
          <w:t>www.nphp.gov.au</w:t>
        </w:r>
      </w:hyperlink>
      <w:r w:rsidRPr="00737E9B">
        <w:rPr>
          <w:sz w:val="18"/>
          <w:szCs w:val="18"/>
          <w:lang w:val="en-CA"/>
        </w:rPr>
        <w:t xml:space="preserve">  </w:t>
      </w:r>
    </w:p>
    <w:p w:rsidR="00737E9B" w:rsidRPr="00737E9B" w:rsidRDefault="00737E9B" w:rsidP="00737E9B">
      <w:pPr>
        <w:pStyle w:val="ColorfulList-Accent11"/>
        <w:numPr>
          <w:ilvl w:val="0"/>
          <w:numId w:val="4"/>
        </w:numPr>
        <w:spacing w:before="0" w:after="0" w:line="240" w:lineRule="auto"/>
        <w:ind w:left="432" w:hanging="432"/>
        <w:contextualSpacing w:val="0"/>
        <w:jc w:val="left"/>
        <w:rPr>
          <w:b/>
          <w:sz w:val="18"/>
          <w:szCs w:val="18"/>
          <w:u w:val="single"/>
          <w:lang w:val="en-CA"/>
        </w:rPr>
      </w:pPr>
      <w:r w:rsidRPr="00737E9B">
        <w:rPr>
          <w:sz w:val="18"/>
          <w:szCs w:val="18"/>
          <w:lang w:val="en-CA"/>
        </w:rPr>
        <w:t>WHO and FAO (World Health Organization and Food and Agriculture Organization of the United Nations), 2003. Diet, Nutrition, and the Prevention of Chronic Diseases: Report of a Joint WHO/FAO Expert Consultation. Report 916. WHO, Geneva.</w:t>
      </w:r>
    </w:p>
    <w:p w:rsidR="00737E9B" w:rsidRPr="00737E9B" w:rsidRDefault="00737E9B" w:rsidP="00737E9B">
      <w:pPr>
        <w:pStyle w:val="ColorfulList-Accent11"/>
        <w:numPr>
          <w:ilvl w:val="0"/>
          <w:numId w:val="4"/>
        </w:numPr>
        <w:spacing w:before="0" w:after="0" w:line="240" w:lineRule="auto"/>
        <w:ind w:left="432" w:hanging="432"/>
        <w:contextualSpacing w:val="0"/>
        <w:jc w:val="left"/>
        <w:rPr>
          <w:b/>
          <w:sz w:val="18"/>
          <w:szCs w:val="18"/>
          <w:u w:val="single"/>
          <w:lang w:val="en-CA" w:eastAsia="fr-FR"/>
        </w:rPr>
      </w:pPr>
      <w:r w:rsidRPr="00737E9B">
        <w:rPr>
          <w:sz w:val="18"/>
          <w:szCs w:val="18"/>
          <w:lang w:val="en-CA"/>
        </w:rPr>
        <w:lastRenderedPageBreak/>
        <w:t>IARC (International Agency for Research on Cancer), 2002. Weight Control and Physical Activity. IARC Press, Lyon, France.</w:t>
      </w:r>
    </w:p>
    <w:p w:rsidR="00737E9B" w:rsidRPr="00737E9B" w:rsidRDefault="00737E9B" w:rsidP="00737E9B">
      <w:pPr>
        <w:spacing w:line="276" w:lineRule="auto"/>
        <w:rPr>
          <w:rFonts w:eastAsia="Times New Roman"/>
          <w:b/>
          <w:bCs/>
          <w:color w:val="000000"/>
          <w:sz w:val="18"/>
          <w:szCs w:val="18"/>
          <w:lang w:val="en-CA" w:eastAsia="en-CA"/>
        </w:rPr>
        <w:sectPr w:rsidR="00737E9B" w:rsidRPr="00737E9B" w:rsidSect="00737E9B">
          <w:pgSz w:w="15840" w:h="12240" w:orient="landscape"/>
          <w:pgMar w:top="1440" w:right="1080" w:bottom="1440" w:left="1260" w:header="720" w:footer="720" w:gutter="0"/>
          <w:cols w:space="720"/>
          <w:docGrid w:linePitch="360"/>
        </w:sectPr>
      </w:pPr>
    </w:p>
    <w:p w:rsidR="008A7C9B" w:rsidRPr="008D7D4A" w:rsidRDefault="008A7C9B" w:rsidP="008A7C9B">
      <w:pPr>
        <w:rPr>
          <w:lang w:val="en-CA"/>
        </w:rPr>
      </w:pPr>
      <w:r>
        <w:rPr>
          <w:rFonts w:eastAsia="Times New Roman"/>
          <w:b/>
          <w:bCs/>
          <w:color w:val="000000"/>
          <w:szCs w:val="22"/>
          <w:lang w:val="en-CA" w:eastAsia="en-CA"/>
        </w:rPr>
        <w:lastRenderedPageBreak/>
        <w:t xml:space="preserve">Table </w:t>
      </w:r>
      <w:r w:rsidR="00C27771">
        <w:rPr>
          <w:rFonts w:eastAsia="Times New Roman"/>
          <w:b/>
          <w:bCs/>
          <w:color w:val="000000"/>
          <w:szCs w:val="22"/>
          <w:lang w:val="en-CA" w:eastAsia="en-CA"/>
        </w:rPr>
        <w:t>S</w:t>
      </w:r>
      <w:r>
        <w:rPr>
          <w:rFonts w:eastAsia="Times New Roman"/>
          <w:b/>
          <w:bCs/>
          <w:color w:val="000000"/>
          <w:szCs w:val="22"/>
          <w:lang w:val="en-CA" w:eastAsia="en-CA"/>
        </w:rPr>
        <w:t xml:space="preserve">1. </w:t>
      </w:r>
      <w:r w:rsidRPr="008D7D4A">
        <w:rPr>
          <w:rFonts w:eastAsia="Times New Roman"/>
          <w:b/>
          <w:bCs/>
          <w:color w:val="000000"/>
          <w:szCs w:val="22"/>
          <w:lang w:val="en-CA" w:eastAsia="en-CA"/>
        </w:rPr>
        <w:t xml:space="preserve"> Studies </w:t>
      </w:r>
      <w:r>
        <w:rPr>
          <w:rFonts w:eastAsia="Times New Roman"/>
          <w:b/>
          <w:bCs/>
          <w:color w:val="000000"/>
          <w:szCs w:val="22"/>
          <w:lang w:val="en-CA" w:eastAsia="en-CA"/>
        </w:rPr>
        <w:t>selected</w:t>
      </w:r>
      <w:r w:rsidRPr="008D7D4A">
        <w:rPr>
          <w:rFonts w:eastAsia="Times New Roman"/>
          <w:b/>
          <w:bCs/>
          <w:color w:val="000000"/>
          <w:szCs w:val="22"/>
          <w:lang w:val="en-CA" w:eastAsia="en-CA"/>
        </w:rPr>
        <w:t xml:space="preserve"> in our literature review</w:t>
      </w:r>
      <w:r>
        <w:rPr>
          <w:rFonts w:eastAsia="Times New Roman"/>
          <w:b/>
          <w:bCs/>
          <w:color w:val="000000"/>
          <w:szCs w:val="22"/>
          <w:lang w:val="en-CA" w:eastAsia="en-CA"/>
        </w:rPr>
        <w:t xml:space="preserve"> of relative risks (RR)</w:t>
      </w:r>
      <w:r w:rsidR="00652919">
        <w:rPr>
          <w:rFonts w:eastAsia="Times New Roman"/>
          <w:b/>
          <w:bCs/>
          <w:color w:val="000000"/>
          <w:szCs w:val="22"/>
          <w:lang w:val="en-CA" w:eastAsia="en-CA"/>
        </w:rPr>
        <w:t xml:space="preserve">. </w:t>
      </w:r>
      <w:r w:rsidR="00652919">
        <w:rPr>
          <w:b/>
          <w:bCs/>
          <w:lang w:val="en-CA" w:eastAsia="fr-CA"/>
        </w:rPr>
        <w:t>Canada 2016</w:t>
      </w:r>
    </w:p>
    <w:tbl>
      <w:tblPr>
        <w:tblW w:w="9781" w:type="dxa"/>
        <w:tblInd w:w="108" w:type="dxa"/>
        <w:tblLayout w:type="fixed"/>
        <w:tblLook w:val="04A0" w:firstRow="1" w:lastRow="0" w:firstColumn="1" w:lastColumn="0" w:noHBand="0" w:noVBand="1"/>
      </w:tblPr>
      <w:tblGrid>
        <w:gridCol w:w="284"/>
        <w:gridCol w:w="1417"/>
        <w:gridCol w:w="1843"/>
        <w:gridCol w:w="3119"/>
        <w:gridCol w:w="1559"/>
        <w:gridCol w:w="1559"/>
      </w:tblGrid>
      <w:tr w:rsidR="008A7C9B" w:rsidRPr="008D7D4A" w:rsidTr="00065EEC">
        <w:trPr>
          <w:trHeight w:val="300"/>
        </w:trPr>
        <w:tc>
          <w:tcPr>
            <w:tcW w:w="170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Diseases</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A7C9B" w:rsidRPr="008D7D4A" w:rsidRDefault="008A7C9B" w:rsidP="00065EEC">
            <w:pPr>
              <w:spacing w:after="0"/>
              <w:jc w:val="center"/>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Main risk factors</w:t>
            </w:r>
          </w:p>
        </w:tc>
        <w:tc>
          <w:tcPr>
            <w:tcW w:w="311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A7C9B" w:rsidRPr="008D7D4A" w:rsidRDefault="008A7C9B" w:rsidP="00065EEC">
            <w:pPr>
              <w:spacing w:after="0"/>
              <w:jc w:val="center"/>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Studies selected</w:t>
            </w:r>
          </w:p>
        </w:tc>
        <w:tc>
          <w:tcPr>
            <w:tcW w:w="3118" w:type="dxa"/>
            <w:gridSpan w:val="2"/>
            <w:tcBorders>
              <w:top w:val="single" w:sz="8" w:space="0" w:color="auto"/>
              <w:left w:val="nil"/>
              <w:bottom w:val="single" w:sz="4" w:space="0" w:color="auto"/>
              <w:right w:val="single" w:sz="4" w:space="0" w:color="auto"/>
            </w:tcBorders>
            <w:shd w:val="clear" w:color="auto" w:fill="auto"/>
            <w:noWrap/>
            <w:vAlign w:val="center"/>
            <w:hideMark/>
          </w:tcPr>
          <w:p w:rsidR="008A7C9B" w:rsidRPr="008D7D4A" w:rsidRDefault="008A7C9B" w:rsidP="00065EEC">
            <w:pPr>
              <w:spacing w:after="0"/>
              <w:jc w:val="center"/>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 xml:space="preserve">Relative risks (CI </w:t>
            </w:r>
            <w:r w:rsidRPr="008D7D4A">
              <w:rPr>
                <w:rFonts w:ascii="Calibri" w:eastAsia="Times New Roman" w:hAnsi="Calibri"/>
                <w:b/>
                <w:bCs/>
                <w:color w:val="000000"/>
                <w:sz w:val="18"/>
                <w:szCs w:val="18"/>
                <w:lang w:val="en-CA" w:eastAsia="en-CA"/>
              </w:rPr>
              <w:t>95%)</w:t>
            </w:r>
          </w:p>
        </w:tc>
      </w:tr>
      <w:tr w:rsidR="008A7C9B" w:rsidRPr="008D7D4A" w:rsidTr="00065EEC">
        <w:trPr>
          <w:trHeight w:val="315"/>
        </w:trPr>
        <w:tc>
          <w:tcPr>
            <w:tcW w:w="1701" w:type="dxa"/>
            <w:gridSpan w:val="2"/>
            <w:vMerge/>
            <w:tcBorders>
              <w:top w:val="single" w:sz="8" w:space="0" w:color="auto"/>
              <w:left w:val="single" w:sz="8" w:space="0" w:color="auto"/>
              <w:bottom w:val="single" w:sz="8" w:space="0" w:color="000000"/>
              <w:right w:val="single" w:sz="4" w:space="0" w:color="auto"/>
            </w:tcBorders>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3119" w:type="dxa"/>
            <w:vMerge/>
            <w:tcBorders>
              <w:top w:val="single" w:sz="8" w:space="0" w:color="auto"/>
              <w:left w:val="single" w:sz="4" w:space="0" w:color="auto"/>
              <w:bottom w:val="single" w:sz="8" w:space="0" w:color="000000"/>
              <w:right w:val="single" w:sz="4" w:space="0" w:color="auto"/>
            </w:tcBorders>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559" w:type="dxa"/>
            <w:tcBorders>
              <w:top w:val="nil"/>
              <w:left w:val="nil"/>
              <w:bottom w:val="single" w:sz="8" w:space="0" w:color="auto"/>
              <w:right w:val="single" w:sz="4" w:space="0" w:color="auto"/>
            </w:tcBorders>
            <w:shd w:val="clear" w:color="auto" w:fill="auto"/>
            <w:noWrap/>
            <w:vAlign w:val="bottom"/>
            <w:hideMark/>
          </w:tcPr>
          <w:p w:rsidR="008A7C9B" w:rsidRPr="008D7D4A" w:rsidRDefault="008A7C9B" w:rsidP="00065EEC">
            <w:pPr>
              <w:spacing w:after="0"/>
              <w:jc w:val="center"/>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Men</w:t>
            </w:r>
          </w:p>
        </w:tc>
        <w:tc>
          <w:tcPr>
            <w:tcW w:w="1559" w:type="dxa"/>
            <w:tcBorders>
              <w:top w:val="nil"/>
              <w:left w:val="nil"/>
              <w:bottom w:val="single" w:sz="8" w:space="0" w:color="auto"/>
              <w:right w:val="single" w:sz="4" w:space="0" w:color="auto"/>
            </w:tcBorders>
            <w:shd w:val="clear" w:color="auto" w:fill="auto"/>
            <w:noWrap/>
            <w:vAlign w:val="bottom"/>
            <w:hideMark/>
          </w:tcPr>
          <w:p w:rsidR="008A7C9B" w:rsidRPr="008D7D4A" w:rsidRDefault="008A7C9B" w:rsidP="00065EEC">
            <w:pPr>
              <w:spacing w:after="0"/>
              <w:jc w:val="center"/>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Women</w:t>
            </w:r>
          </w:p>
        </w:tc>
      </w:tr>
      <w:tr w:rsidR="008A7C9B" w:rsidRPr="008D7D4A" w:rsidTr="00065EEC">
        <w:trPr>
          <w:trHeight w:val="102"/>
        </w:trPr>
        <w:tc>
          <w:tcPr>
            <w:tcW w:w="1701" w:type="dxa"/>
            <w:gridSpan w:val="2"/>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i/>
                <w:iCs/>
                <w:color w:val="000000"/>
                <w:sz w:val="18"/>
                <w:szCs w:val="18"/>
                <w:u w:val="single"/>
                <w:lang w:val="en-CA" w:eastAsia="en-CA"/>
              </w:rPr>
            </w:pPr>
            <w:r w:rsidRPr="008D7D4A">
              <w:rPr>
                <w:rFonts w:ascii="Calibri" w:eastAsia="Times New Roman" w:hAnsi="Calibri"/>
                <w:b/>
                <w:bCs/>
                <w:i/>
                <w:iCs/>
                <w:color w:val="000000"/>
                <w:sz w:val="18"/>
                <w:szCs w:val="18"/>
                <w:u w:val="single"/>
                <w:lang w:val="en-CA" w:eastAsia="en-CA"/>
              </w:rPr>
              <w:t xml:space="preserve">1) </w:t>
            </w:r>
            <w:r>
              <w:rPr>
                <w:rFonts w:ascii="Calibri" w:eastAsia="Times New Roman" w:hAnsi="Calibri"/>
                <w:b/>
                <w:bCs/>
                <w:i/>
                <w:iCs/>
                <w:color w:val="000000"/>
                <w:sz w:val="18"/>
                <w:szCs w:val="18"/>
                <w:u w:val="single"/>
                <w:lang w:val="en-CA" w:eastAsia="en-CA"/>
              </w:rPr>
              <w:t>Pulmonary diseases</w:t>
            </w:r>
          </w:p>
        </w:tc>
        <w:tc>
          <w:tcPr>
            <w:tcW w:w="1843"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222"/>
        </w:trPr>
        <w:tc>
          <w:tcPr>
            <w:tcW w:w="284" w:type="dxa"/>
            <w:tcBorders>
              <w:top w:val="nil"/>
              <w:left w:val="single" w:sz="4" w:space="0" w:color="auto"/>
              <w:bottom w:val="nil"/>
              <w:right w:val="nil"/>
            </w:tcBorders>
            <w:shd w:val="clear" w:color="auto" w:fill="auto"/>
            <w:noWrap/>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COPD</w:t>
            </w: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Smoker</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Forey et al. 2011 - BMC Pulm Med</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4.</w:t>
            </w:r>
            <w:r>
              <w:rPr>
                <w:rFonts w:ascii="Calibri" w:eastAsia="Times New Roman" w:hAnsi="Calibri"/>
                <w:b/>
                <w:bCs/>
                <w:color w:val="000000"/>
                <w:sz w:val="18"/>
                <w:szCs w:val="18"/>
                <w:lang w:val="en-CA" w:eastAsia="en-CA"/>
              </w:rPr>
              <w:t>11 (3.28</w:t>
            </w:r>
            <w:r w:rsidRPr="008D7D4A">
              <w:rPr>
                <w:rFonts w:ascii="Calibri" w:eastAsia="Times New Roman" w:hAnsi="Calibri"/>
                <w:b/>
                <w:bCs/>
                <w:color w:val="000000"/>
                <w:sz w:val="18"/>
                <w:szCs w:val="18"/>
                <w:lang w:val="en-CA" w:eastAsia="en-CA"/>
              </w:rPr>
              <w:t>–5.15)</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3.28 (2.35</w:t>
            </w:r>
            <w:r w:rsidRPr="008D7D4A">
              <w:rPr>
                <w:rFonts w:ascii="Calibri" w:eastAsia="Times New Roman" w:hAnsi="Calibri"/>
                <w:b/>
                <w:bCs/>
                <w:color w:val="000000"/>
                <w:sz w:val="18"/>
                <w:szCs w:val="18"/>
                <w:lang w:val="en-CA" w:eastAsia="en-CA"/>
              </w:rPr>
              <w:t>–4.58)</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vAlign w:val="center"/>
            <w:hideMark/>
          </w:tcPr>
          <w:p w:rsidR="008A7C9B" w:rsidRPr="003C1661" w:rsidRDefault="008A7C9B" w:rsidP="00065EEC">
            <w:pPr>
              <w:spacing w:after="0"/>
              <w:rPr>
                <w:rFonts w:ascii="Calibri" w:eastAsia="Times New Roman" w:hAnsi="Calibri"/>
                <w:color w:val="000000"/>
                <w:sz w:val="18"/>
                <w:szCs w:val="18"/>
                <w:lang w:val="fr-CA" w:eastAsia="en-CA"/>
              </w:rPr>
            </w:pPr>
            <w:r w:rsidRPr="003C1661">
              <w:rPr>
                <w:rFonts w:ascii="Calibri" w:eastAsia="Times New Roman" w:hAnsi="Calibri"/>
                <w:color w:val="000000"/>
                <w:sz w:val="18"/>
                <w:szCs w:val="18"/>
                <w:lang w:val="fr-CA" w:eastAsia="en-CA"/>
              </w:rPr>
              <w:t xml:space="preserve">Chen et al. 2000 - Clin Epidemiol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3.22 (1.87, 5.53)</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Bednarek et al. 2005 - Respiration</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2.05 (1.13, 3.73)</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color w:val="000000"/>
                <w:sz w:val="18"/>
                <w:szCs w:val="18"/>
                <w:lang w:val="fr-CA" w:eastAsia="en-CA"/>
              </w:rPr>
            </w:pPr>
            <w:r w:rsidRPr="003C1661">
              <w:rPr>
                <w:rFonts w:ascii="Calibri" w:eastAsia="Times New Roman" w:hAnsi="Calibri"/>
                <w:color w:val="000000"/>
                <w:sz w:val="18"/>
                <w:szCs w:val="18"/>
                <w:lang w:val="fr-CA" w:eastAsia="en-CA"/>
              </w:rPr>
              <w:t>Zielinski et al. 2006 - Eur Respir J 2006</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2.23 (1.99, 2.50)</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Shahab et al. 2006 - Thorax</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2.31 (1.99, 2.68)</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Montnemery et al. 1998 - Respir Med</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2.56 (1.98, 3.31)</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126"/>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vMerge w:val="restart"/>
            <w:tcBorders>
              <w:top w:val="nil"/>
              <w:left w:val="single" w:sz="4" w:space="0" w:color="auto"/>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Occasional smoker </w:t>
            </w:r>
          </w:p>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Shahab et al. 2006 - Thorax</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2.14 (1.87</w:t>
            </w:r>
            <w:r w:rsidRPr="008D7D4A">
              <w:rPr>
                <w:rFonts w:ascii="Calibri" w:eastAsia="Times New Roman" w:hAnsi="Calibri"/>
                <w:b/>
                <w:bCs/>
                <w:color w:val="000000"/>
                <w:sz w:val="18"/>
                <w:szCs w:val="18"/>
                <w:lang w:val="en-CA" w:eastAsia="en-CA"/>
              </w:rPr>
              <w:t>–2.46)</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2.14 (1.87</w:t>
            </w:r>
            <w:r w:rsidRPr="008D7D4A">
              <w:rPr>
                <w:rFonts w:ascii="Calibri" w:eastAsia="Times New Roman" w:hAnsi="Calibri"/>
                <w:b/>
                <w:bCs/>
                <w:color w:val="000000"/>
                <w:sz w:val="18"/>
                <w:szCs w:val="18"/>
                <w:lang w:val="en-CA" w:eastAsia="en-CA"/>
              </w:rPr>
              <w:t>–2.46)</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vMerge/>
            <w:tcBorders>
              <w:left w:val="single" w:sz="4" w:space="0" w:color="auto"/>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Bednarek et al. 2005 - Respiration</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1.58 (0.92, 2.71)</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vMerge/>
            <w:tcBorders>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Sargeant 2000 - Eur Respir J</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1.40 (1.25, 1.58)</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237"/>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iCs/>
                <w:color w:val="000000"/>
                <w:sz w:val="18"/>
                <w:szCs w:val="18"/>
                <w:lang w:val="en-CA" w:eastAsia="en-CA"/>
              </w:rPr>
            </w:pPr>
            <w:r w:rsidRPr="003C1661">
              <w:rPr>
                <w:rFonts w:ascii="Calibri" w:eastAsia="Times New Roman" w:hAnsi="Calibri"/>
                <w:iCs/>
                <w:color w:val="000000"/>
                <w:sz w:val="18"/>
                <w:szCs w:val="18"/>
                <w:lang w:val="en-CA" w:eastAsia="en-CA"/>
              </w:rPr>
              <w:t xml:space="preserve">Former smoker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Forey et al. 2011 - BMC Pulm</w:t>
            </w:r>
            <w:r>
              <w:rPr>
                <w:rFonts w:ascii="Calibri" w:eastAsia="Times New Roman" w:hAnsi="Calibri"/>
                <w:b/>
                <w:bCs/>
                <w:color w:val="000000"/>
                <w:sz w:val="18"/>
                <w:szCs w:val="18"/>
                <w:lang w:val="en-CA" w:eastAsia="en-CA"/>
              </w:rPr>
              <w:t xml:space="preserve"> </w:t>
            </w:r>
            <w:r w:rsidRPr="008D7D4A">
              <w:rPr>
                <w:rFonts w:ascii="Calibri" w:eastAsia="Times New Roman" w:hAnsi="Calibri"/>
                <w:b/>
                <w:bCs/>
                <w:color w:val="000000"/>
                <w:sz w:val="18"/>
                <w:szCs w:val="18"/>
                <w:lang w:val="en-CA" w:eastAsia="en-CA"/>
              </w:rPr>
              <w:t>Med</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2.97 (2.63</w:t>
            </w:r>
            <w:r w:rsidRPr="008D7D4A">
              <w:rPr>
                <w:rFonts w:ascii="Calibri" w:eastAsia="Times New Roman" w:hAnsi="Calibri"/>
                <w:b/>
                <w:bCs/>
                <w:color w:val="000000"/>
                <w:sz w:val="18"/>
                <w:szCs w:val="18"/>
                <w:lang w:val="en-CA" w:eastAsia="en-CA"/>
              </w:rPr>
              <w:t>–3.34)</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1.61 (1.46</w:t>
            </w:r>
            <w:r w:rsidRPr="008D7D4A">
              <w:rPr>
                <w:rFonts w:ascii="Calibri" w:eastAsia="Times New Roman" w:hAnsi="Calibri"/>
                <w:b/>
                <w:bCs/>
                <w:color w:val="000000"/>
                <w:sz w:val="18"/>
                <w:szCs w:val="18"/>
                <w:lang w:val="en-CA" w:eastAsia="en-CA"/>
              </w:rPr>
              <w:t>–1.77)</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iCs/>
                <w:color w:val="000000"/>
                <w:sz w:val="18"/>
                <w:szCs w:val="18"/>
                <w:lang w:val="en-CA" w:eastAsia="en-CA"/>
              </w:rPr>
            </w:pPr>
            <w:r w:rsidRPr="003C1661">
              <w:rPr>
                <w:rFonts w:ascii="Calibri" w:eastAsia="Times New Roman" w:hAnsi="Calibri"/>
                <w:iCs/>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Bednarek et al. 2005 - Respiration</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1.17 (0.62, 2.23)</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iCs/>
                <w:color w:val="000000"/>
                <w:sz w:val="18"/>
                <w:szCs w:val="18"/>
                <w:lang w:val="en-CA" w:eastAsia="en-CA"/>
              </w:rPr>
            </w:pPr>
            <w:r w:rsidRPr="003C1661">
              <w:rPr>
                <w:rFonts w:ascii="Calibri" w:eastAsia="Times New Roman" w:hAnsi="Calibri"/>
                <w:iCs/>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Ho et al. 1999 - J Am Geriatr Soc</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2.31 (1.23, 4.34)</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iCs/>
                <w:color w:val="000000"/>
                <w:sz w:val="18"/>
                <w:szCs w:val="18"/>
                <w:lang w:val="en-CA" w:eastAsia="en-CA"/>
              </w:rPr>
            </w:pPr>
            <w:r w:rsidRPr="003C1661">
              <w:rPr>
                <w:rFonts w:ascii="Calibri" w:eastAsia="Times New Roman" w:hAnsi="Calibri"/>
                <w:iCs/>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Forastiere et al. 1998 - Am J Respir Crit Care Med</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2.00 (1.22, 3.27)</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iCs/>
                <w:color w:val="000000"/>
                <w:sz w:val="18"/>
                <w:szCs w:val="18"/>
                <w:lang w:val="en-CA" w:eastAsia="en-CA"/>
              </w:rPr>
            </w:pPr>
            <w:r w:rsidRPr="003C1661">
              <w:rPr>
                <w:rFonts w:ascii="Calibri" w:eastAsia="Times New Roman" w:hAnsi="Calibri"/>
                <w:iCs/>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Hozawa et al. 2006 - Chest</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1.87 (1.70, 2,07)</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259"/>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vMerge w:val="restart"/>
            <w:tcBorders>
              <w:top w:val="nil"/>
              <w:left w:val="single" w:sz="4" w:space="0" w:color="auto"/>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Insufficient consumption of fruits and vegetables</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b/>
                <w:bCs/>
                <w:color w:val="000000"/>
                <w:sz w:val="18"/>
                <w:szCs w:val="18"/>
                <w:lang w:val="fr-CA" w:eastAsia="en-CA"/>
              </w:rPr>
            </w:pPr>
            <w:r w:rsidRPr="003C1661">
              <w:rPr>
                <w:rFonts w:ascii="Calibri" w:eastAsia="Times New Roman" w:hAnsi="Calibri"/>
                <w:b/>
                <w:bCs/>
                <w:color w:val="000000"/>
                <w:sz w:val="18"/>
                <w:szCs w:val="18"/>
                <w:lang w:val="fr-CA" w:eastAsia="en-CA"/>
              </w:rPr>
              <w:t xml:space="preserve">Walda et al. 2002 - Eur J Clin Nutr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1.32 (1.09</w:t>
            </w:r>
            <w:r w:rsidRPr="008D7D4A">
              <w:rPr>
                <w:rFonts w:ascii="Calibri" w:eastAsia="Times New Roman" w:hAnsi="Calibri"/>
                <w:b/>
                <w:bCs/>
                <w:color w:val="000000"/>
                <w:sz w:val="18"/>
                <w:szCs w:val="18"/>
                <w:lang w:val="en-CA" w:eastAsia="en-CA"/>
              </w:rPr>
              <w:t>–1.67)</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1.32 (1.09</w:t>
            </w:r>
            <w:r w:rsidRPr="008D7D4A">
              <w:rPr>
                <w:rFonts w:ascii="Calibri" w:eastAsia="Times New Roman" w:hAnsi="Calibri"/>
                <w:b/>
                <w:bCs/>
                <w:color w:val="000000"/>
                <w:sz w:val="18"/>
                <w:szCs w:val="18"/>
                <w:lang w:val="en-CA" w:eastAsia="en-CA"/>
              </w:rPr>
              <w:t>–1.67)</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vMerge/>
            <w:tcBorders>
              <w:left w:val="single" w:sz="4" w:space="0" w:color="auto"/>
              <w:right w:val="single" w:sz="4" w:space="0" w:color="auto"/>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p>
        </w:tc>
        <w:tc>
          <w:tcPr>
            <w:tcW w:w="311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Varasso et al. 2007  - Thorax</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2.47 (1.11, 5.52)</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453"/>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vMerge/>
            <w:tcBorders>
              <w:left w:val="single" w:sz="4" w:space="0" w:color="auto"/>
              <w:bottom w:val="nil"/>
              <w:right w:val="single" w:sz="4" w:space="0" w:color="auto"/>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p>
        </w:tc>
        <w:tc>
          <w:tcPr>
            <w:tcW w:w="311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Varasso et al. 2007 - A</w:t>
            </w:r>
            <w:r>
              <w:rPr>
                <w:rFonts w:ascii="Calibri" w:eastAsia="Times New Roman" w:hAnsi="Calibri"/>
                <w:color w:val="000000"/>
                <w:sz w:val="18"/>
                <w:szCs w:val="18"/>
                <w:lang w:val="en-CA" w:eastAsia="en-CA"/>
              </w:rPr>
              <w:t>m</w:t>
            </w:r>
            <w:r w:rsidRPr="008D7D4A">
              <w:rPr>
                <w:rFonts w:ascii="Calibri" w:eastAsia="Times New Roman" w:hAnsi="Calibri"/>
                <w:color w:val="000000"/>
                <w:sz w:val="18"/>
                <w:szCs w:val="18"/>
                <w:lang w:val="en-CA" w:eastAsia="en-CA"/>
              </w:rPr>
              <w:t xml:space="preserve"> J Clin Nut</w:t>
            </w:r>
            <w:r>
              <w:rPr>
                <w:rFonts w:ascii="Calibri" w:eastAsia="Times New Roman" w:hAnsi="Calibri"/>
                <w:color w:val="000000"/>
                <w:sz w:val="18"/>
                <w:szCs w:val="18"/>
                <w:lang w:val="en-CA" w:eastAsia="en-CA"/>
              </w:rPr>
              <w:t>r</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2.19 (1.19, 4.04)</w:t>
            </w:r>
          </w:p>
        </w:tc>
      </w:tr>
      <w:tr w:rsidR="008A7C9B" w:rsidRPr="008D7D4A" w:rsidTr="00065EEC">
        <w:trPr>
          <w:trHeight w:val="147"/>
        </w:trPr>
        <w:tc>
          <w:tcPr>
            <w:tcW w:w="284" w:type="dxa"/>
            <w:tcBorders>
              <w:top w:val="nil"/>
              <w:left w:val="single" w:sz="4" w:space="0" w:color="auto"/>
              <w:bottom w:val="nil"/>
              <w:right w:val="nil"/>
            </w:tcBorders>
            <w:shd w:val="clear" w:color="auto" w:fill="auto"/>
            <w:noWrap/>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Asthma</w:t>
            </w: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Smoker</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b/>
                <w:bCs/>
                <w:color w:val="000000"/>
                <w:sz w:val="18"/>
                <w:szCs w:val="18"/>
                <w:lang w:val="fr-CA" w:eastAsia="en-CA"/>
              </w:rPr>
            </w:pPr>
            <w:r w:rsidRPr="003C1661">
              <w:rPr>
                <w:rFonts w:ascii="Calibri" w:eastAsia="Times New Roman" w:hAnsi="Calibri"/>
                <w:b/>
                <w:bCs/>
                <w:color w:val="000000"/>
                <w:sz w:val="18"/>
                <w:szCs w:val="18"/>
                <w:lang w:val="fr-CA" w:eastAsia="en-CA"/>
              </w:rPr>
              <w:t>Santillan et al. 2003 - Cancer Causes Control</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1.7 (1.3</w:t>
            </w:r>
            <w:r w:rsidRPr="008D7D4A">
              <w:rPr>
                <w:rFonts w:ascii="Calibri" w:eastAsia="Times New Roman" w:hAnsi="Calibri"/>
                <w:b/>
                <w:bCs/>
                <w:color w:val="000000"/>
                <w:sz w:val="18"/>
                <w:szCs w:val="18"/>
                <w:lang w:val="en-CA" w:eastAsia="en-CA"/>
              </w:rPr>
              <w:t>–2.2)</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1.3 (0.8</w:t>
            </w:r>
            <w:r w:rsidRPr="008D7D4A">
              <w:rPr>
                <w:rFonts w:ascii="Calibri" w:eastAsia="Times New Roman" w:hAnsi="Calibri"/>
                <w:b/>
                <w:bCs/>
                <w:color w:val="000000"/>
                <w:sz w:val="18"/>
                <w:szCs w:val="18"/>
                <w:lang w:val="en-CA" w:eastAsia="en-CA"/>
              </w:rPr>
              <w:t>–2.3)</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9A3C6C" w:rsidRDefault="008A7C9B" w:rsidP="00065EEC">
            <w:pPr>
              <w:spacing w:after="0"/>
              <w:rPr>
                <w:rFonts w:ascii="Calibri" w:eastAsia="Times New Roman" w:hAnsi="Calibri"/>
                <w:color w:val="000000"/>
                <w:sz w:val="18"/>
                <w:szCs w:val="18"/>
                <w:lang w:val="es-CL" w:eastAsia="en-CA"/>
              </w:rPr>
            </w:pPr>
            <w:r w:rsidRPr="009A3C6C">
              <w:rPr>
                <w:rFonts w:ascii="Calibri" w:eastAsia="Times New Roman" w:hAnsi="Calibri"/>
                <w:color w:val="000000"/>
                <w:sz w:val="18"/>
                <w:szCs w:val="18"/>
                <w:lang w:val="es-CL" w:eastAsia="en-CA"/>
              </w:rPr>
              <w:t xml:space="preserve">Alanvaja et al. 1992 - Am J Epidemiol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1.3 (0.8</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2.1)</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1.3 (0.8</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2.1)</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Occasional smoker</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b/>
                <w:bCs/>
                <w:color w:val="000000"/>
                <w:sz w:val="18"/>
                <w:szCs w:val="18"/>
                <w:lang w:val="fr-CA" w:eastAsia="en-CA"/>
              </w:rPr>
            </w:pPr>
            <w:r w:rsidRPr="003C1661">
              <w:rPr>
                <w:rFonts w:ascii="Calibri" w:eastAsia="Times New Roman" w:hAnsi="Calibri"/>
                <w:b/>
                <w:bCs/>
                <w:color w:val="000000"/>
                <w:sz w:val="18"/>
                <w:szCs w:val="18"/>
                <w:lang w:val="fr-CA" w:eastAsia="en-CA"/>
              </w:rPr>
              <w:t>Santillan et al. 2003 - Cancer Causes Control</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1.4 (1.2</w:t>
            </w:r>
            <w:r w:rsidRPr="008D7D4A">
              <w:rPr>
                <w:rFonts w:ascii="Calibri" w:eastAsia="Times New Roman" w:hAnsi="Calibri"/>
                <w:b/>
                <w:bCs/>
                <w:color w:val="000000"/>
                <w:sz w:val="18"/>
                <w:szCs w:val="18"/>
                <w:lang w:val="en-CA" w:eastAsia="en-CA"/>
              </w:rPr>
              <w:t>–1.6)</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1.4 (1.2</w:t>
            </w:r>
            <w:r w:rsidRPr="008D7D4A">
              <w:rPr>
                <w:rFonts w:ascii="Calibri" w:eastAsia="Times New Roman" w:hAnsi="Calibri"/>
                <w:b/>
                <w:bCs/>
                <w:color w:val="000000"/>
                <w:sz w:val="18"/>
                <w:szCs w:val="18"/>
                <w:lang w:val="en-CA" w:eastAsia="en-CA"/>
              </w:rPr>
              <w:t>–1.6)</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Obesity</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Flaherman et al. 2006 - Arch Dis Child</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1.22 (1.13</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1.34)</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1.23 (1.13</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1.34)</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vAlign w:val="center"/>
            <w:hideMark/>
          </w:tcPr>
          <w:p w:rsidR="008A7C9B" w:rsidRPr="003C1661" w:rsidRDefault="008A7C9B" w:rsidP="00065EEC">
            <w:pPr>
              <w:spacing w:after="0"/>
              <w:rPr>
                <w:rFonts w:ascii="Calibri" w:eastAsia="Times New Roman" w:hAnsi="Calibri"/>
                <w:color w:val="000000"/>
                <w:sz w:val="18"/>
                <w:szCs w:val="18"/>
                <w:lang w:val="fr-CA" w:eastAsia="en-CA"/>
              </w:rPr>
            </w:pPr>
            <w:r w:rsidRPr="003C1661">
              <w:rPr>
                <w:rFonts w:ascii="Calibri" w:eastAsia="Times New Roman" w:hAnsi="Calibri"/>
                <w:color w:val="000000"/>
                <w:sz w:val="18"/>
                <w:szCs w:val="18"/>
                <w:lang w:val="fr-CA" w:eastAsia="en-CA"/>
              </w:rPr>
              <w:t>Yuan et al. 2002 -  Int J Epidemiol</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1.52 (1.14</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2.03)</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1.52 (1.14</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2.03)</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Guh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1.43 (1.14</w:t>
            </w:r>
            <w:r w:rsidRPr="008D7D4A">
              <w:rPr>
                <w:rFonts w:ascii="Calibri" w:eastAsia="Times New Roman" w:hAnsi="Calibri"/>
                <w:b/>
                <w:bCs/>
                <w:color w:val="000000"/>
                <w:sz w:val="18"/>
                <w:szCs w:val="18"/>
                <w:lang w:val="en-CA" w:eastAsia="en-CA"/>
              </w:rPr>
              <w:t>–1.79)</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1.78 (1.36</w:t>
            </w:r>
            <w:r w:rsidRPr="008D7D4A">
              <w:rPr>
                <w:rFonts w:ascii="Calibri" w:eastAsia="Times New Roman" w:hAnsi="Calibri"/>
                <w:b/>
                <w:bCs/>
                <w:color w:val="000000"/>
                <w:sz w:val="18"/>
                <w:szCs w:val="18"/>
                <w:lang w:val="en-CA" w:eastAsia="en-CA"/>
              </w:rPr>
              <w:t>–2.32)</w:t>
            </w:r>
          </w:p>
        </w:tc>
      </w:tr>
      <w:tr w:rsidR="008A7C9B" w:rsidRPr="008D7D4A" w:rsidTr="00065EEC">
        <w:trPr>
          <w:trHeight w:val="495"/>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Overweight</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Flaherman et al. 2006 - Arch Dis Child</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1.45 (0.91</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2.31)</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1.45 (0.91</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2.31)</w:t>
            </w:r>
          </w:p>
        </w:tc>
      </w:tr>
      <w:tr w:rsidR="008A7C9B" w:rsidRPr="008D7D4A" w:rsidTr="00065EEC">
        <w:trPr>
          <w:trHeight w:val="300"/>
        </w:trPr>
        <w:tc>
          <w:tcPr>
            <w:tcW w:w="284" w:type="dxa"/>
            <w:tcBorders>
              <w:top w:val="nil"/>
              <w:left w:val="single" w:sz="4" w:space="0" w:color="auto"/>
              <w:bottom w:val="single" w:sz="4" w:space="0" w:color="auto"/>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single" w:sz="4" w:space="0" w:color="auto"/>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843" w:type="dxa"/>
            <w:tcBorders>
              <w:top w:val="nil"/>
              <w:left w:val="single" w:sz="4" w:space="0" w:color="auto"/>
              <w:bottom w:val="single" w:sz="4" w:space="0" w:color="auto"/>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Guh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2009 - BMC Public Health</w:t>
            </w:r>
          </w:p>
        </w:tc>
        <w:tc>
          <w:tcPr>
            <w:tcW w:w="1559" w:type="dxa"/>
            <w:tcBorders>
              <w:top w:val="nil"/>
              <w:left w:val="nil"/>
              <w:bottom w:val="single" w:sz="4" w:space="0" w:color="auto"/>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1.20 (1.08</w:t>
            </w:r>
            <w:r w:rsidRPr="008D7D4A">
              <w:rPr>
                <w:rFonts w:ascii="Calibri" w:eastAsia="Times New Roman" w:hAnsi="Calibri"/>
                <w:b/>
                <w:bCs/>
                <w:color w:val="000000"/>
                <w:sz w:val="18"/>
                <w:szCs w:val="18"/>
                <w:lang w:val="en-CA" w:eastAsia="en-CA"/>
              </w:rPr>
              <w:t>–1.33)</w:t>
            </w:r>
          </w:p>
        </w:tc>
        <w:tc>
          <w:tcPr>
            <w:tcW w:w="1559" w:type="dxa"/>
            <w:tcBorders>
              <w:top w:val="nil"/>
              <w:left w:val="nil"/>
              <w:bottom w:val="single" w:sz="4" w:space="0" w:color="auto"/>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1.25 (1.05</w:t>
            </w:r>
            <w:r w:rsidRPr="008D7D4A">
              <w:rPr>
                <w:rFonts w:ascii="Calibri" w:eastAsia="Times New Roman" w:hAnsi="Calibri"/>
                <w:b/>
                <w:bCs/>
                <w:color w:val="000000"/>
                <w:sz w:val="18"/>
                <w:szCs w:val="18"/>
                <w:lang w:val="en-CA" w:eastAsia="en-CA"/>
              </w:rPr>
              <w:t>–1.49)</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300"/>
        </w:trPr>
        <w:tc>
          <w:tcPr>
            <w:tcW w:w="1701" w:type="dxa"/>
            <w:gridSpan w:val="2"/>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i/>
                <w:iCs/>
                <w:color w:val="000000"/>
                <w:sz w:val="18"/>
                <w:szCs w:val="18"/>
                <w:u w:val="single"/>
                <w:lang w:val="en-CA" w:eastAsia="en-CA"/>
              </w:rPr>
            </w:pPr>
            <w:r w:rsidRPr="008D7D4A">
              <w:rPr>
                <w:rFonts w:ascii="Calibri" w:eastAsia="Times New Roman" w:hAnsi="Calibri"/>
                <w:b/>
                <w:bCs/>
                <w:i/>
                <w:iCs/>
                <w:color w:val="000000"/>
                <w:sz w:val="18"/>
                <w:szCs w:val="18"/>
                <w:u w:val="single"/>
                <w:lang w:val="en-CA" w:eastAsia="en-CA"/>
              </w:rPr>
              <w:t>2) Cancers</w:t>
            </w: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146"/>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vMerge w:val="restart"/>
            <w:tcBorders>
              <w:top w:val="nil"/>
              <w:left w:val="nil"/>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Tracheal, bronchial and lung cancers</w:t>
            </w:r>
          </w:p>
        </w:tc>
        <w:tc>
          <w:tcPr>
            <w:tcW w:w="1843" w:type="dxa"/>
            <w:tcBorders>
              <w:top w:val="nil"/>
              <w:left w:val="nil"/>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Smoker</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b/>
                <w:bCs/>
                <w:color w:val="000000"/>
                <w:sz w:val="18"/>
                <w:szCs w:val="18"/>
                <w:lang w:val="fr-CA" w:eastAsia="en-CA"/>
              </w:rPr>
            </w:pPr>
            <w:r w:rsidRPr="003C1661">
              <w:rPr>
                <w:rFonts w:ascii="Calibri" w:eastAsia="Times New Roman" w:hAnsi="Calibri"/>
                <w:b/>
                <w:bCs/>
                <w:color w:val="000000"/>
                <w:sz w:val="18"/>
                <w:szCs w:val="18"/>
                <w:lang w:val="fr-CA" w:eastAsia="en-CA"/>
              </w:rPr>
              <w:t>Gandini et al. 2008 - Int J Cancer</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sz w:val="18"/>
                <w:szCs w:val="18"/>
                <w:lang w:val="en-CA" w:eastAsia="en-CA"/>
              </w:rPr>
            </w:pPr>
            <w:r w:rsidRPr="008D7D4A">
              <w:rPr>
                <w:rFonts w:ascii="Calibri" w:eastAsia="Times New Roman" w:hAnsi="Calibri"/>
                <w:b/>
                <w:bCs/>
                <w:sz w:val="18"/>
                <w:szCs w:val="18"/>
                <w:lang w:val="en-CA" w:eastAsia="en-CA"/>
              </w:rPr>
              <w:t>8.96 (6.63, 12.11)</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7.58 (5.36, 10.73)</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vMerge/>
            <w:tcBorders>
              <w:top w:val="nil"/>
              <w:left w:val="nil"/>
              <w:bottom w:val="nil"/>
              <w:right w:val="single" w:sz="4" w:space="0" w:color="auto"/>
            </w:tcBorders>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tcBorders>
              <w:top w:val="nil"/>
              <w:left w:val="nil"/>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color w:val="000000"/>
                <w:sz w:val="18"/>
                <w:szCs w:val="18"/>
                <w:lang w:val="fr-CA" w:eastAsia="en-CA"/>
              </w:rPr>
            </w:pPr>
            <w:r w:rsidRPr="003C1661">
              <w:rPr>
                <w:rFonts w:ascii="Calibri" w:eastAsia="Times New Roman" w:hAnsi="Calibri"/>
                <w:color w:val="000000"/>
                <w:sz w:val="18"/>
                <w:szCs w:val="18"/>
                <w:lang w:val="fr-CA" w:eastAsia="en-CA"/>
              </w:rPr>
              <w:t>Gandini et al. 2008 - Int J Cancer</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10.10 (6.50, 14.6)</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10.10 (6.50, 14.6)</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843" w:type="dxa"/>
            <w:tcBorders>
              <w:top w:val="nil"/>
              <w:left w:val="nil"/>
              <w:bottom w:val="nil"/>
              <w:right w:val="nil"/>
            </w:tcBorders>
            <w:shd w:val="clear" w:color="auto" w:fill="auto"/>
            <w:noWrap/>
            <w:hideMark/>
          </w:tcPr>
          <w:p w:rsidR="008A7C9B" w:rsidRPr="003C1661" w:rsidRDefault="008A7C9B" w:rsidP="00065EEC">
            <w:pPr>
              <w:spacing w:after="0"/>
              <w:rPr>
                <w:rFonts w:ascii="Calibri" w:eastAsia="Times New Roman" w:hAnsi="Calibri"/>
                <w:iCs/>
                <w:color w:val="000000"/>
                <w:sz w:val="18"/>
                <w:szCs w:val="18"/>
                <w:lang w:val="en-CA" w:eastAsia="en-CA"/>
              </w:rPr>
            </w:pPr>
            <w:r w:rsidRPr="003C1661">
              <w:rPr>
                <w:rFonts w:ascii="Calibri" w:eastAsia="Times New Roman" w:hAnsi="Calibri"/>
                <w:iCs/>
                <w:color w:val="000000"/>
                <w:sz w:val="18"/>
                <w:szCs w:val="18"/>
                <w:lang w:val="en-CA" w:eastAsia="en-CA"/>
              </w:rPr>
              <w:t xml:space="preserve">Former smoker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b/>
                <w:bCs/>
                <w:color w:val="000000"/>
                <w:sz w:val="18"/>
                <w:szCs w:val="18"/>
                <w:lang w:val="fr-CA" w:eastAsia="en-CA"/>
              </w:rPr>
            </w:pPr>
            <w:r w:rsidRPr="003C1661">
              <w:rPr>
                <w:rFonts w:ascii="Calibri" w:eastAsia="Times New Roman" w:hAnsi="Calibri"/>
                <w:b/>
                <w:bCs/>
                <w:color w:val="000000"/>
                <w:sz w:val="18"/>
                <w:szCs w:val="18"/>
                <w:lang w:val="fr-CA" w:eastAsia="en-CA"/>
              </w:rPr>
              <w:t>Gandini et al. 2008 - Int J Cancer</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3.85 (2.77, 5.34)</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3.85 (2.77, 5.34)</w:t>
            </w:r>
          </w:p>
        </w:tc>
      </w:tr>
      <w:tr w:rsidR="008A7C9B" w:rsidRPr="008D7D4A" w:rsidTr="00065EEC">
        <w:trPr>
          <w:trHeight w:val="249"/>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xml:space="preserve">Insufficient consumption of fruits and vegetables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Smith-Warner et al. 2003 - Int J Cancer</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1.21 (1.</w:t>
            </w:r>
            <w:r>
              <w:rPr>
                <w:rFonts w:ascii="Calibri" w:eastAsia="Times New Roman" w:hAnsi="Calibri"/>
                <w:b/>
                <w:bCs/>
                <w:color w:val="000000"/>
                <w:sz w:val="18"/>
                <w:szCs w:val="18"/>
                <w:lang w:val="en-CA" w:eastAsia="en-CA"/>
              </w:rPr>
              <w:t>04</w:t>
            </w:r>
            <w:r w:rsidRPr="008D7D4A">
              <w:rPr>
                <w:rFonts w:ascii="Calibri" w:eastAsia="Times New Roman" w:hAnsi="Calibri"/>
                <w:b/>
                <w:bCs/>
                <w:color w:val="000000"/>
                <w:sz w:val="18"/>
                <w:szCs w:val="18"/>
                <w:lang w:val="en-CA" w:eastAsia="en-CA"/>
              </w:rPr>
              <w:t>–1.45)</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1.21 (1.</w:t>
            </w:r>
            <w:r>
              <w:rPr>
                <w:rFonts w:ascii="Calibri" w:eastAsia="Times New Roman" w:hAnsi="Calibri"/>
                <w:b/>
                <w:bCs/>
                <w:color w:val="000000"/>
                <w:sz w:val="18"/>
                <w:szCs w:val="18"/>
                <w:lang w:val="en-CA" w:eastAsia="en-CA"/>
              </w:rPr>
              <w:t>04</w:t>
            </w:r>
            <w:r w:rsidRPr="008D7D4A">
              <w:rPr>
                <w:rFonts w:ascii="Calibri" w:eastAsia="Times New Roman" w:hAnsi="Calibri"/>
                <w:b/>
                <w:bCs/>
                <w:color w:val="000000"/>
                <w:sz w:val="18"/>
                <w:szCs w:val="18"/>
                <w:lang w:val="en-CA" w:eastAsia="en-CA"/>
              </w:rPr>
              <w:t>–1.43)</w:t>
            </w:r>
          </w:p>
        </w:tc>
      </w:tr>
      <w:tr w:rsidR="008A7C9B" w:rsidRPr="008D7D4A" w:rsidTr="00065EEC">
        <w:trPr>
          <w:trHeight w:val="145"/>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Breast cancer</w:t>
            </w:r>
          </w:p>
        </w:tc>
        <w:tc>
          <w:tcPr>
            <w:tcW w:w="1843" w:type="dxa"/>
            <w:vMerge w:val="restart"/>
            <w:tcBorders>
              <w:top w:val="nil"/>
              <w:left w:val="single" w:sz="4" w:space="0" w:color="auto"/>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Physical inactivity</w:t>
            </w:r>
          </w:p>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Monninkhof et al. 2007 - Epidemiology</w:t>
            </w:r>
          </w:p>
        </w:tc>
        <w:tc>
          <w:tcPr>
            <w:tcW w:w="1559" w:type="dxa"/>
            <w:tcBorders>
              <w:top w:val="nil"/>
              <w:left w:val="nil"/>
              <w:bottom w:val="nil"/>
              <w:right w:val="single" w:sz="4" w:space="0" w:color="auto"/>
            </w:tcBorders>
            <w:shd w:val="clear" w:color="auto" w:fill="F2F2F2"/>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1.18 (0.98, 1.41)</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vMerge/>
            <w:tcBorders>
              <w:left w:val="single" w:sz="4" w:space="0" w:color="auto"/>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Lee et al. 2001 - Cancer Causes Control</w:t>
            </w:r>
          </w:p>
        </w:tc>
        <w:tc>
          <w:tcPr>
            <w:tcW w:w="1559" w:type="dxa"/>
            <w:tcBorders>
              <w:top w:val="nil"/>
              <w:left w:val="nil"/>
              <w:bottom w:val="nil"/>
              <w:right w:val="single" w:sz="4" w:space="0" w:color="auto"/>
            </w:tcBorders>
            <w:shd w:val="clear" w:color="auto" w:fill="F2F2F2"/>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1.49 (1.00, 2.27)</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vMerge/>
            <w:tcBorders>
              <w:left w:val="single" w:sz="4" w:space="0" w:color="auto"/>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Katzmarzyk et al</w:t>
            </w:r>
            <w:r>
              <w:rPr>
                <w:rFonts w:ascii="Calibri" w:eastAsia="Times New Roman" w:hAnsi="Calibri"/>
                <w:color w:val="000000"/>
                <w:sz w:val="18"/>
                <w:szCs w:val="18"/>
                <w:lang w:val="en-CA" w:eastAsia="en-CA"/>
              </w:rPr>
              <w:t>.</w:t>
            </w:r>
            <w:r w:rsidRPr="003C1661">
              <w:rPr>
                <w:rFonts w:ascii="Calibri" w:eastAsia="Times New Roman" w:hAnsi="Calibri"/>
                <w:color w:val="000000"/>
                <w:sz w:val="18"/>
                <w:szCs w:val="18"/>
                <w:lang w:val="en-CA" w:eastAsia="en-CA"/>
              </w:rPr>
              <w:t xml:space="preserve"> 2004 - Can J Appl Physiol</w:t>
            </w:r>
          </w:p>
        </w:tc>
        <w:tc>
          <w:tcPr>
            <w:tcW w:w="1559" w:type="dxa"/>
            <w:tcBorders>
              <w:top w:val="nil"/>
              <w:left w:val="nil"/>
              <w:bottom w:val="nil"/>
              <w:right w:val="single" w:sz="4" w:space="0" w:color="auto"/>
            </w:tcBorders>
            <w:shd w:val="clear" w:color="auto" w:fill="F2F2F2"/>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1.31 (1.23, 1.38)</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vMerge/>
            <w:tcBorders>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Moore et al. 2000 - Epidemiology</w:t>
            </w:r>
          </w:p>
        </w:tc>
        <w:tc>
          <w:tcPr>
            <w:tcW w:w="1559" w:type="dxa"/>
            <w:tcBorders>
              <w:top w:val="nil"/>
              <w:left w:val="nil"/>
              <w:bottom w:val="nil"/>
              <w:right w:val="single" w:sz="4" w:space="0" w:color="auto"/>
            </w:tcBorders>
            <w:shd w:val="clear" w:color="auto" w:fill="F2F2F2"/>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1.02(0.</w:t>
            </w:r>
            <w:r>
              <w:rPr>
                <w:rFonts w:ascii="Calibri" w:eastAsia="Times New Roman" w:hAnsi="Calibri"/>
                <w:color w:val="000000"/>
                <w:sz w:val="18"/>
                <w:szCs w:val="18"/>
                <w:lang w:val="en-CA" w:eastAsia="en-CA"/>
              </w:rPr>
              <w:t>78</w:t>
            </w:r>
            <w:r w:rsidRPr="008D7D4A">
              <w:rPr>
                <w:rFonts w:ascii="Calibri" w:eastAsia="Times New Roman" w:hAnsi="Calibri"/>
                <w:color w:val="000000"/>
                <w:sz w:val="18"/>
                <w:szCs w:val="18"/>
                <w:lang w:val="en-CA" w:eastAsia="en-CA"/>
              </w:rPr>
              <w:t>–1.33)</w:t>
            </w:r>
          </w:p>
        </w:tc>
      </w:tr>
      <w:tr w:rsidR="008A7C9B" w:rsidRPr="008D7D4A" w:rsidTr="00065EEC">
        <w:trPr>
          <w:trHeight w:val="174"/>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xml:space="preserve">Insufficient consumption of fruits and vegetables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Aune et al. 2012 - Breast Cancer Res Treat</w:t>
            </w:r>
          </w:p>
        </w:tc>
        <w:tc>
          <w:tcPr>
            <w:tcW w:w="1559" w:type="dxa"/>
            <w:tcBorders>
              <w:top w:val="nil"/>
              <w:left w:val="nil"/>
              <w:bottom w:val="nil"/>
              <w:right w:val="single" w:sz="4" w:space="0" w:color="auto"/>
            </w:tcBorders>
            <w:shd w:val="clear" w:color="auto" w:fill="F2F2F2"/>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1.12 (1.01</w:t>
            </w:r>
            <w:r w:rsidRPr="008D7D4A">
              <w:rPr>
                <w:rFonts w:ascii="Calibri" w:eastAsia="Times New Roman" w:hAnsi="Calibri"/>
                <w:b/>
                <w:bCs/>
                <w:color w:val="000000"/>
                <w:sz w:val="18"/>
                <w:szCs w:val="18"/>
                <w:lang w:val="en-CA" w:eastAsia="en-CA"/>
              </w:rPr>
              <w:t>–1.25)</w:t>
            </w:r>
          </w:p>
        </w:tc>
      </w:tr>
      <w:tr w:rsidR="008A7C9B" w:rsidRPr="008D7D4A" w:rsidTr="00065EEC">
        <w:trPr>
          <w:trHeight w:val="84"/>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vMerge w:val="restart"/>
            <w:tcBorders>
              <w:top w:val="nil"/>
              <w:left w:val="nil"/>
              <w:right w:val="nil"/>
            </w:tcBorders>
            <w:shd w:val="clear" w:color="auto" w:fill="auto"/>
            <w:hideMark/>
          </w:tcPr>
          <w:p w:rsidR="008A7C9B" w:rsidRPr="008D7D4A" w:rsidRDefault="008A7C9B" w:rsidP="00065EEC">
            <w:pPr>
              <w:spacing w:after="0"/>
              <w:rPr>
                <w:rFonts w:ascii="Calibri" w:eastAsia="Times New Roman" w:hAnsi="Calibri"/>
                <w:b/>
                <w:bCs/>
                <w:i/>
                <w:iCs/>
                <w:color w:val="000000"/>
                <w:sz w:val="18"/>
                <w:szCs w:val="18"/>
                <w:lang w:val="en-CA" w:eastAsia="en-CA"/>
              </w:rPr>
            </w:pPr>
            <w:r>
              <w:rPr>
                <w:rFonts w:ascii="Calibri" w:eastAsia="Times New Roman" w:hAnsi="Calibri"/>
                <w:b/>
                <w:bCs/>
                <w:i/>
                <w:iCs/>
                <w:color w:val="000000"/>
                <w:sz w:val="18"/>
                <w:szCs w:val="18"/>
                <w:lang w:val="en-CA" w:eastAsia="en-CA"/>
              </w:rPr>
              <w:t>Post-menopausal breast cancer</w:t>
            </w: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Obesity</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Renehan et al. 2008 - Lancet</w:t>
            </w:r>
          </w:p>
        </w:tc>
        <w:tc>
          <w:tcPr>
            <w:tcW w:w="1559" w:type="dxa"/>
            <w:tcBorders>
              <w:top w:val="nil"/>
              <w:left w:val="nil"/>
              <w:bottom w:val="nil"/>
              <w:right w:val="single" w:sz="4" w:space="0" w:color="auto"/>
            </w:tcBorders>
            <w:shd w:val="clear" w:color="auto" w:fill="F2F2F2"/>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1.15 (1.08, 1.23)</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vMerge/>
            <w:tcBorders>
              <w:left w:val="nil"/>
              <w:right w:val="nil"/>
            </w:tcBorders>
            <w:shd w:val="clear" w:color="auto" w:fill="auto"/>
            <w:vAlign w:val="center"/>
            <w:hideMark/>
          </w:tcPr>
          <w:p w:rsidR="008A7C9B" w:rsidRPr="008D7D4A" w:rsidRDefault="008A7C9B" w:rsidP="00065EEC">
            <w:pPr>
              <w:spacing w:after="0"/>
              <w:rPr>
                <w:rFonts w:ascii="Calibri" w:eastAsia="Times New Roman" w:hAnsi="Calibri"/>
                <w:b/>
                <w:bCs/>
                <w:i/>
                <w:iCs/>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Guh et al</w:t>
            </w:r>
            <w:r>
              <w:rPr>
                <w:rFonts w:ascii="Calibri" w:eastAsia="Times New Roman" w:hAnsi="Calibri"/>
                <w:color w:val="000000"/>
                <w:sz w:val="18"/>
                <w:szCs w:val="18"/>
                <w:lang w:val="en-CA" w:eastAsia="en-CA"/>
              </w:rPr>
              <w:t>.</w:t>
            </w:r>
            <w:r w:rsidRPr="008D7D4A">
              <w:rPr>
                <w:rFonts w:ascii="Calibri" w:eastAsia="Times New Roman" w:hAnsi="Calibri"/>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F2F2F2"/>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1.13 (1.05–1.22)</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vMerge/>
            <w:tcBorders>
              <w:left w:val="nil"/>
              <w:bottom w:val="nil"/>
              <w:right w:val="nil"/>
            </w:tcBorders>
            <w:shd w:val="clear" w:color="auto" w:fill="auto"/>
            <w:vAlign w:val="center"/>
            <w:hideMark/>
          </w:tcPr>
          <w:p w:rsidR="008A7C9B" w:rsidRPr="008D7D4A" w:rsidRDefault="008A7C9B" w:rsidP="00065EEC">
            <w:pPr>
              <w:spacing w:after="0"/>
              <w:rPr>
                <w:rFonts w:ascii="Calibri" w:eastAsia="Times New Roman" w:hAnsi="Calibri"/>
                <w:b/>
                <w:bCs/>
                <w:i/>
                <w:iCs/>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Overweight</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Guh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F2F2F2"/>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1.08 (1.03–1.14)</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lastRenderedPageBreak/>
              <w:t> </w:t>
            </w:r>
          </w:p>
        </w:tc>
        <w:tc>
          <w:tcPr>
            <w:tcW w:w="1417" w:type="dxa"/>
            <w:tcBorders>
              <w:top w:val="nil"/>
              <w:left w:val="nil"/>
              <w:bottom w:val="nil"/>
              <w:right w:val="nil"/>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Cancer colorectal</w:t>
            </w: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Obesity</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Renehan et al. 2008 - Lancet</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1.35 (1.21,1.50)</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1.13 (1.06, 1.19)</w:t>
            </w:r>
          </w:p>
        </w:tc>
      </w:tr>
      <w:tr w:rsidR="008A7C9B" w:rsidRPr="008D7D4A" w:rsidTr="00065EEC">
        <w:trPr>
          <w:trHeight w:val="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Guh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xml:space="preserve">1.95 (1.59–2.39)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1.66 (1.52–1.81)</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Overweight</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Guh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1.51 (1.37–1.67)</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1.45 (1.30–1.62)</w:t>
            </w:r>
          </w:p>
        </w:tc>
      </w:tr>
      <w:tr w:rsidR="008A7C9B" w:rsidRPr="008D7D4A" w:rsidTr="00065EEC">
        <w:trPr>
          <w:trHeight w:val="4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Physical inactivity</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b/>
                <w:bCs/>
                <w:color w:val="000000"/>
                <w:sz w:val="18"/>
                <w:szCs w:val="18"/>
                <w:lang w:val="fr-CA" w:eastAsia="en-CA"/>
              </w:rPr>
            </w:pPr>
            <w:r w:rsidRPr="003C1661">
              <w:rPr>
                <w:rFonts w:ascii="Calibri" w:eastAsia="Times New Roman" w:hAnsi="Calibri"/>
                <w:b/>
                <w:bCs/>
                <w:color w:val="000000"/>
                <w:sz w:val="18"/>
                <w:szCs w:val="18"/>
                <w:lang w:val="fr-CA" w:eastAsia="en-CA"/>
              </w:rPr>
              <w:t>Samad et al. 2004 - Colorectal Dis</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1.26 (1.</w:t>
            </w:r>
            <w:r>
              <w:rPr>
                <w:rFonts w:ascii="Calibri" w:eastAsia="Times New Roman" w:hAnsi="Calibri"/>
                <w:b/>
                <w:bCs/>
                <w:color w:val="000000"/>
                <w:sz w:val="18"/>
                <w:szCs w:val="18"/>
                <w:lang w:val="en-CA" w:eastAsia="en-CA"/>
              </w:rPr>
              <w:t>10</w:t>
            </w:r>
            <w:r w:rsidRPr="008D7D4A">
              <w:rPr>
                <w:rFonts w:ascii="Calibri" w:eastAsia="Times New Roman" w:hAnsi="Calibri"/>
                <w:b/>
                <w:bCs/>
                <w:color w:val="000000"/>
                <w:sz w:val="18"/>
                <w:szCs w:val="18"/>
                <w:lang w:val="en-CA" w:eastAsia="en-CA"/>
              </w:rPr>
              <w:t>–1.47)</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1.40 (1.</w:t>
            </w:r>
            <w:r>
              <w:rPr>
                <w:rFonts w:ascii="Calibri" w:eastAsia="Times New Roman" w:hAnsi="Calibri"/>
                <w:b/>
                <w:bCs/>
                <w:color w:val="000000"/>
                <w:sz w:val="18"/>
                <w:szCs w:val="18"/>
                <w:lang w:val="en-CA" w:eastAsia="en-CA"/>
              </w:rPr>
              <w:t>13</w:t>
            </w:r>
            <w:r w:rsidRPr="008D7D4A">
              <w:rPr>
                <w:rFonts w:ascii="Calibri" w:eastAsia="Times New Roman" w:hAnsi="Calibri"/>
                <w:b/>
                <w:bCs/>
                <w:color w:val="000000"/>
                <w:sz w:val="18"/>
                <w:szCs w:val="18"/>
                <w:lang w:val="en-CA" w:eastAsia="en-CA"/>
              </w:rPr>
              <w:t>–1.74)</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color w:val="000000"/>
                <w:sz w:val="18"/>
                <w:szCs w:val="18"/>
                <w:lang w:val="fr-CA" w:eastAsia="en-CA"/>
              </w:rPr>
            </w:pPr>
            <w:r w:rsidRPr="003C1661">
              <w:rPr>
                <w:rFonts w:ascii="Calibri" w:eastAsia="Times New Roman" w:hAnsi="Calibri"/>
                <w:color w:val="000000"/>
                <w:sz w:val="18"/>
                <w:szCs w:val="18"/>
                <w:lang w:val="fr-CA" w:eastAsia="en-CA"/>
              </w:rPr>
              <w:t>Boyle et al. 2012 - J Natl Cancer Inst</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1.40 (1.</w:t>
            </w:r>
            <w:r>
              <w:rPr>
                <w:rFonts w:ascii="Calibri" w:eastAsia="Times New Roman" w:hAnsi="Calibri"/>
                <w:color w:val="000000"/>
                <w:sz w:val="18"/>
                <w:szCs w:val="18"/>
                <w:lang w:val="en-CA" w:eastAsia="en-CA"/>
              </w:rPr>
              <w:t>20</w:t>
            </w:r>
            <w:r w:rsidRPr="008D7D4A">
              <w:rPr>
                <w:rFonts w:ascii="Calibri" w:eastAsia="Times New Roman" w:hAnsi="Calibri"/>
                <w:color w:val="000000"/>
                <w:sz w:val="18"/>
                <w:szCs w:val="18"/>
                <w:lang w:val="en-CA" w:eastAsia="en-CA"/>
              </w:rPr>
              <w:t>–1.67)</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Katzmarzyk et al</w:t>
            </w:r>
            <w:r>
              <w:rPr>
                <w:rFonts w:ascii="Calibri" w:eastAsia="Times New Roman" w:hAnsi="Calibri"/>
                <w:color w:val="000000"/>
                <w:sz w:val="18"/>
                <w:szCs w:val="18"/>
                <w:lang w:val="en-CA" w:eastAsia="en-CA"/>
              </w:rPr>
              <w:t>.</w:t>
            </w:r>
            <w:r w:rsidRPr="008D7D4A">
              <w:rPr>
                <w:rFonts w:ascii="Calibri" w:eastAsia="Times New Roman" w:hAnsi="Calibri"/>
                <w:color w:val="000000"/>
                <w:sz w:val="18"/>
                <w:szCs w:val="18"/>
                <w:lang w:val="en-CA" w:eastAsia="en-CA"/>
              </w:rPr>
              <w:t xml:space="preserve"> 2004 - Can J Appl Physiol</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1.31 (1.41</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1.53)</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300"/>
        </w:trPr>
        <w:tc>
          <w:tcPr>
            <w:tcW w:w="284" w:type="dxa"/>
            <w:tcBorders>
              <w:top w:val="nil"/>
              <w:left w:val="single" w:sz="4" w:space="0" w:color="auto"/>
              <w:bottom w:val="single" w:sz="4" w:space="0" w:color="auto"/>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single" w:sz="4" w:space="0" w:color="auto"/>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843" w:type="dxa"/>
            <w:tcBorders>
              <w:top w:val="nil"/>
              <w:left w:val="single" w:sz="4" w:space="0" w:color="auto"/>
              <w:bottom w:val="single" w:sz="4" w:space="0" w:color="auto"/>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Colbert et al. 2001 - Cancer Epidemiol Biomarkers Prev</w:t>
            </w:r>
          </w:p>
        </w:tc>
        <w:tc>
          <w:tcPr>
            <w:tcW w:w="1559" w:type="dxa"/>
            <w:tcBorders>
              <w:top w:val="nil"/>
              <w:left w:val="nil"/>
              <w:bottom w:val="single" w:sz="4" w:space="0" w:color="auto"/>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2.22 (1.</w:t>
            </w:r>
            <w:r>
              <w:rPr>
                <w:rFonts w:ascii="Calibri" w:eastAsia="Times New Roman" w:hAnsi="Calibri"/>
                <w:color w:val="000000"/>
                <w:sz w:val="18"/>
                <w:szCs w:val="18"/>
                <w:lang w:val="en-CA" w:eastAsia="en-CA"/>
              </w:rPr>
              <w:t>28</w:t>
            </w:r>
            <w:r w:rsidRPr="008D7D4A">
              <w:rPr>
                <w:rFonts w:ascii="Calibri" w:eastAsia="Times New Roman" w:hAnsi="Calibri"/>
                <w:color w:val="000000"/>
                <w:sz w:val="18"/>
                <w:szCs w:val="18"/>
                <w:lang w:val="en-CA" w:eastAsia="en-CA"/>
              </w:rPr>
              <w:t>–3.85)</w:t>
            </w:r>
          </w:p>
        </w:tc>
        <w:tc>
          <w:tcPr>
            <w:tcW w:w="1559" w:type="dxa"/>
            <w:tcBorders>
              <w:top w:val="nil"/>
              <w:left w:val="nil"/>
              <w:bottom w:val="single" w:sz="4" w:space="0" w:color="auto"/>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300"/>
        </w:trPr>
        <w:tc>
          <w:tcPr>
            <w:tcW w:w="1701" w:type="dxa"/>
            <w:gridSpan w:val="2"/>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i/>
                <w:iCs/>
                <w:color w:val="000000"/>
                <w:sz w:val="18"/>
                <w:szCs w:val="18"/>
                <w:u w:val="single"/>
                <w:lang w:val="en-CA" w:eastAsia="en-CA"/>
              </w:rPr>
            </w:pPr>
            <w:r w:rsidRPr="008D7D4A">
              <w:rPr>
                <w:rFonts w:ascii="Calibri" w:eastAsia="Times New Roman" w:hAnsi="Calibri"/>
                <w:b/>
                <w:bCs/>
                <w:i/>
                <w:iCs/>
                <w:color w:val="000000"/>
                <w:sz w:val="18"/>
                <w:szCs w:val="18"/>
                <w:u w:val="single"/>
                <w:lang w:val="en-CA" w:eastAsia="en-CA"/>
              </w:rPr>
              <w:t xml:space="preserve">3) </w:t>
            </w:r>
            <w:r>
              <w:rPr>
                <w:rFonts w:ascii="Calibri" w:eastAsia="Times New Roman" w:hAnsi="Calibri"/>
                <w:b/>
                <w:bCs/>
                <w:i/>
                <w:iCs/>
                <w:color w:val="000000"/>
                <w:sz w:val="18"/>
                <w:szCs w:val="18"/>
                <w:u w:val="single"/>
                <w:lang w:val="en-CA" w:eastAsia="en-CA"/>
              </w:rPr>
              <w:t>Cardiovascular diseases</w:t>
            </w: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4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Strokes</w:t>
            </w: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FF0000"/>
                <w:sz w:val="18"/>
                <w:szCs w:val="18"/>
                <w:lang w:val="en-CA" w:eastAsia="en-CA"/>
              </w:rPr>
            </w:pPr>
            <w:r w:rsidRPr="003C1661">
              <w:rPr>
                <w:rFonts w:ascii="Calibri" w:eastAsia="Times New Roman" w:hAnsi="Calibri"/>
                <w:color w:val="FF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510"/>
        </w:trPr>
        <w:tc>
          <w:tcPr>
            <w:tcW w:w="284" w:type="dxa"/>
            <w:tcBorders>
              <w:top w:val="nil"/>
              <w:left w:val="single" w:sz="4" w:space="0" w:color="auto"/>
              <w:bottom w:val="nil"/>
              <w:right w:val="nil"/>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Obesity</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Strazzulo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2010 - Stroke</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1.26 (1.</w:t>
            </w:r>
            <w:r>
              <w:rPr>
                <w:rFonts w:ascii="Calibri" w:eastAsia="Times New Roman" w:hAnsi="Calibri"/>
                <w:b/>
                <w:bCs/>
                <w:color w:val="000000"/>
                <w:sz w:val="18"/>
                <w:szCs w:val="18"/>
                <w:lang w:val="en-CA" w:eastAsia="en-CA"/>
              </w:rPr>
              <w:t>07</w:t>
            </w:r>
            <w:r w:rsidRPr="008D7D4A">
              <w:rPr>
                <w:rFonts w:ascii="Calibri" w:eastAsia="Times New Roman" w:hAnsi="Calibri"/>
                <w:b/>
                <w:bCs/>
                <w:color w:val="000000"/>
                <w:sz w:val="18"/>
                <w:szCs w:val="18"/>
                <w:lang w:val="en-CA" w:eastAsia="en-CA"/>
              </w:rPr>
              <w:t>–1.48)</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1.26 (1.</w:t>
            </w:r>
            <w:r>
              <w:rPr>
                <w:rFonts w:ascii="Calibri" w:eastAsia="Times New Roman" w:hAnsi="Calibri"/>
                <w:b/>
                <w:bCs/>
                <w:color w:val="000000"/>
                <w:sz w:val="18"/>
                <w:szCs w:val="18"/>
                <w:lang w:val="en-CA" w:eastAsia="en-CA"/>
              </w:rPr>
              <w:t>07</w:t>
            </w:r>
            <w:r w:rsidRPr="008D7D4A">
              <w:rPr>
                <w:rFonts w:ascii="Calibri" w:eastAsia="Times New Roman" w:hAnsi="Calibri"/>
                <w:b/>
                <w:bCs/>
                <w:color w:val="000000"/>
                <w:sz w:val="18"/>
                <w:szCs w:val="18"/>
                <w:lang w:val="en-CA" w:eastAsia="en-CA"/>
              </w:rPr>
              <w:t>–1.48)</w:t>
            </w:r>
          </w:p>
        </w:tc>
      </w:tr>
      <w:tr w:rsidR="008A7C9B" w:rsidRPr="008D7D4A" w:rsidTr="00065EEC">
        <w:trPr>
          <w:trHeight w:val="300"/>
        </w:trPr>
        <w:tc>
          <w:tcPr>
            <w:tcW w:w="284" w:type="dxa"/>
            <w:tcBorders>
              <w:top w:val="nil"/>
              <w:left w:val="single" w:sz="4" w:space="0" w:color="auto"/>
              <w:bottom w:val="nil"/>
              <w:right w:val="nil"/>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Guh et al</w:t>
            </w:r>
            <w:r>
              <w:rPr>
                <w:rFonts w:ascii="Calibri" w:eastAsia="Times New Roman" w:hAnsi="Calibri"/>
                <w:color w:val="000000"/>
                <w:sz w:val="18"/>
                <w:szCs w:val="18"/>
                <w:lang w:val="en-CA" w:eastAsia="en-CA"/>
              </w:rPr>
              <w:t>.</w:t>
            </w:r>
            <w:r w:rsidRPr="008D7D4A">
              <w:rPr>
                <w:rFonts w:ascii="Calibri" w:eastAsia="Times New Roman" w:hAnsi="Calibri"/>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1.51 (1.33</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1.72)*</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1.49 (1.27</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1.74)*</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xml:space="preserve">Overweight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Strazzulo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2010 - Stroke</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1.05 (0.93</w:t>
            </w:r>
            <w:r w:rsidRPr="008D7D4A">
              <w:rPr>
                <w:rFonts w:ascii="Calibri" w:eastAsia="Times New Roman" w:hAnsi="Calibri"/>
                <w:b/>
                <w:bCs/>
                <w:color w:val="000000"/>
                <w:sz w:val="18"/>
                <w:szCs w:val="18"/>
                <w:lang w:val="en-CA" w:eastAsia="en-CA"/>
              </w:rPr>
              <w:t>–1.17)</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1.05 (0.93</w:t>
            </w:r>
            <w:r w:rsidRPr="008D7D4A">
              <w:rPr>
                <w:rFonts w:ascii="Calibri" w:eastAsia="Times New Roman" w:hAnsi="Calibri"/>
                <w:b/>
                <w:bCs/>
                <w:color w:val="000000"/>
                <w:sz w:val="18"/>
                <w:szCs w:val="18"/>
                <w:lang w:val="en-CA" w:eastAsia="en-CA"/>
              </w:rPr>
              <w:t>–1.17)</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Guh et al</w:t>
            </w:r>
            <w:r>
              <w:rPr>
                <w:rFonts w:ascii="Calibri" w:eastAsia="Times New Roman" w:hAnsi="Calibri"/>
                <w:color w:val="000000"/>
                <w:sz w:val="18"/>
                <w:szCs w:val="18"/>
                <w:lang w:val="en-CA" w:eastAsia="en-CA"/>
              </w:rPr>
              <w:t>.</w:t>
            </w:r>
            <w:r w:rsidRPr="008D7D4A">
              <w:rPr>
                <w:rFonts w:ascii="Calibri" w:eastAsia="Times New Roman" w:hAnsi="Calibri"/>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1.23 (</w:t>
            </w:r>
            <w:r>
              <w:rPr>
                <w:rFonts w:ascii="Calibri" w:eastAsia="Times New Roman" w:hAnsi="Calibri"/>
                <w:color w:val="000000"/>
                <w:sz w:val="18"/>
                <w:szCs w:val="18"/>
                <w:lang w:val="en-CA" w:eastAsia="en-CA"/>
              </w:rPr>
              <w:t>1.13</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1.34)*</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1.15 (1.00</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1.32)*</w:t>
            </w:r>
          </w:p>
        </w:tc>
      </w:tr>
      <w:tr w:rsidR="008A7C9B" w:rsidRPr="008D7D4A" w:rsidTr="00065EEC">
        <w:trPr>
          <w:trHeight w:val="69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Insufficient consumption</w:t>
            </w:r>
            <w:r>
              <w:rPr>
                <w:rFonts w:ascii="Calibri" w:eastAsia="Times New Roman" w:hAnsi="Calibri"/>
                <w:color w:val="000000"/>
                <w:sz w:val="18"/>
                <w:szCs w:val="18"/>
                <w:lang w:val="en-CA" w:eastAsia="en-CA"/>
              </w:rPr>
              <w:t xml:space="preserve"> of fruits and vegetables</w:t>
            </w:r>
          </w:p>
          <w:p w:rsidR="008A7C9B" w:rsidRPr="003C1661" w:rsidRDefault="008A7C9B" w:rsidP="00065EEC">
            <w:pPr>
              <w:spacing w:after="0"/>
              <w:rPr>
                <w:rFonts w:ascii="Calibri" w:eastAsia="Times New Roman" w:hAnsi="Calibri"/>
                <w:color w:val="000000"/>
                <w:sz w:val="18"/>
                <w:szCs w:val="18"/>
                <w:lang w:val="en-CA" w:eastAsia="en-CA"/>
              </w:rPr>
            </w:pP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b/>
                <w:bCs/>
                <w:sz w:val="18"/>
                <w:szCs w:val="18"/>
                <w:lang w:val="fr-CA" w:eastAsia="en-CA"/>
              </w:rPr>
            </w:pPr>
            <w:r w:rsidRPr="003C1661">
              <w:rPr>
                <w:rFonts w:ascii="Calibri" w:eastAsia="Times New Roman" w:hAnsi="Calibri"/>
                <w:b/>
                <w:bCs/>
                <w:sz w:val="18"/>
                <w:szCs w:val="18"/>
                <w:lang w:val="fr-CA" w:eastAsia="en-CA"/>
              </w:rPr>
              <w:t>He et al. 2006 - Lancet</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1.20 (1.12</w:t>
            </w:r>
            <w:r w:rsidRPr="008D7D4A">
              <w:rPr>
                <w:rFonts w:ascii="Calibri" w:eastAsia="Times New Roman" w:hAnsi="Calibri"/>
                <w:b/>
                <w:bCs/>
                <w:color w:val="000000"/>
                <w:sz w:val="18"/>
                <w:szCs w:val="18"/>
                <w:lang w:val="en-CA" w:eastAsia="en-CA"/>
              </w:rPr>
              <w:t>–1.30)</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1.05 (0.96</w:t>
            </w:r>
            <w:r w:rsidRPr="008D7D4A">
              <w:rPr>
                <w:rFonts w:ascii="Calibri" w:eastAsia="Times New Roman" w:hAnsi="Calibri"/>
                <w:b/>
                <w:bCs/>
                <w:color w:val="000000"/>
                <w:sz w:val="18"/>
                <w:szCs w:val="18"/>
                <w:lang w:val="en-CA" w:eastAsia="en-CA"/>
              </w:rPr>
              <w:t>–1.14)</w:t>
            </w:r>
          </w:p>
        </w:tc>
      </w:tr>
      <w:tr w:rsidR="008A7C9B" w:rsidRPr="008D7D4A" w:rsidTr="00065EEC">
        <w:trPr>
          <w:trHeight w:val="4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xml:space="preserve">Physical inactivity </w:t>
            </w:r>
          </w:p>
        </w:tc>
        <w:tc>
          <w:tcPr>
            <w:tcW w:w="3119" w:type="dxa"/>
            <w:tcBorders>
              <w:top w:val="nil"/>
              <w:left w:val="single" w:sz="4" w:space="0" w:color="auto"/>
              <w:bottom w:val="nil"/>
              <w:right w:val="single" w:sz="4" w:space="0" w:color="auto"/>
            </w:tcBorders>
            <w:shd w:val="clear" w:color="auto" w:fill="auto"/>
            <w:vAlign w:val="center"/>
            <w:hideMark/>
          </w:tcPr>
          <w:p w:rsidR="008A7C9B" w:rsidRPr="003C1661" w:rsidRDefault="008A7C9B" w:rsidP="00065EEC">
            <w:pPr>
              <w:spacing w:after="0"/>
              <w:rPr>
                <w:rFonts w:ascii="Calibri" w:eastAsia="Times New Roman" w:hAnsi="Calibri"/>
                <w:b/>
                <w:bCs/>
                <w:color w:val="000000"/>
                <w:sz w:val="18"/>
                <w:szCs w:val="18"/>
                <w:lang w:val="fr-CA" w:eastAsia="en-CA"/>
              </w:rPr>
            </w:pPr>
            <w:r w:rsidRPr="003C1661">
              <w:rPr>
                <w:rFonts w:ascii="Calibri" w:eastAsia="Times New Roman" w:hAnsi="Calibri"/>
                <w:b/>
                <w:bCs/>
                <w:color w:val="000000"/>
                <w:sz w:val="18"/>
                <w:szCs w:val="18"/>
                <w:lang w:val="fr-CA" w:eastAsia="en-CA"/>
              </w:rPr>
              <w:t>Li et al. 2012 - Int J Environ Res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1.25 (1</w:t>
            </w:r>
            <w:r>
              <w:rPr>
                <w:rFonts w:ascii="Calibri" w:eastAsia="Times New Roman" w:hAnsi="Calibri"/>
                <w:b/>
                <w:bCs/>
                <w:color w:val="000000"/>
                <w:sz w:val="18"/>
                <w:szCs w:val="18"/>
                <w:lang w:val="en-CA" w:eastAsia="en-CA"/>
              </w:rPr>
              <w:t>.15</w:t>
            </w:r>
            <w:r w:rsidRPr="008D7D4A">
              <w:rPr>
                <w:rFonts w:ascii="Calibri" w:eastAsia="Times New Roman" w:hAnsi="Calibri"/>
                <w:b/>
                <w:bCs/>
                <w:color w:val="000000"/>
                <w:sz w:val="18"/>
                <w:szCs w:val="18"/>
                <w:lang w:val="en-CA" w:eastAsia="en-CA"/>
              </w:rPr>
              <w:t>–1.35)</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1.22 (1.14</w:t>
            </w:r>
            <w:r w:rsidRPr="008D7D4A">
              <w:rPr>
                <w:rFonts w:ascii="Calibri" w:eastAsia="Times New Roman" w:hAnsi="Calibri"/>
                <w:b/>
                <w:bCs/>
                <w:color w:val="000000"/>
                <w:sz w:val="18"/>
                <w:szCs w:val="18"/>
                <w:lang w:val="en-CA" w:eastAsia="en-CA"/>
              </w:rPr>
              <w:t>–1.32)</w:t>
            </w:r>
          </w:p>
        </w:tc>
      </w:tr>
      <w:tr w:rsidR="008A7C9B" w:rsidRPr="008D7D4A" w:rsidTr="00065EEC">
        <w:trPr>
          <w:trHeight w:val="495"/>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vAlign w:val="center"/>
            <w:hideMark/>
          </w:tcPr>
          <w:p w:rsidR="008A7C9B" w:rsidRPr="003C1661" w:rsidRDefault="008A7C9B" w:rsidP="00065EEC">
            <w:pPr>
              <w:spacing w:after="0"/>
              <w:rPr>
                <w:rFonts w:ascii="Calibri" w:eastAsia="Times New Roman" w:hAnsi="Calibri"/>
                <w:color w:val="000000"/>
                <w:sz w:val="18"/>
                <w:szCs w:val="18"/>
                <w:lang w:val="fr-CA" w:eastAsia="en-CA"/>
              </w:rPr>
            </w:pPr>
            <w:r w:rsidRPr="003C1661">
              <w:rPr>
                <w:rFonts w:ascii="Calibri" w:eastAsia="Times New Roman" w:hAnsi="Calibri"/>
                <w:color w:val="000000"/>
                <w:sz w:val="18"/>
                <w:szCs w:val="18"/>
                <w:lang w:val="fr-CA" w:eastAsia="en-CA"/>
              </w:rPr>
              <w:t xml:space="preserve">Wendel-Vos et al. 2004 - Int J Epidemiol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1.28 (1.</w:t>
            </w:r>
            <w:r>
              <w:rPr>
                <w:rFonts w:ascii="Calibri" w:eastAsia="Times New Roman" w:hAnsi="Calibri"/>
                <w:color w:val="000000"/>
                <w:sz w:val="18"/>
                <w:szCs w:val="18"/>
                <w:lang w:val="en-CA" w:eastAsia="en-CA"/>
              </w:rPr>
              <w:t>18</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1.41)</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1.28 (1.</w:t>
            </w:r>
            <w:r>
              <w:rPr>
                <w:rFonts w:ascii="Calibri" w:eastAsia="Times New Roman" w:hAnsi="Calibri"/>
                <w:color w:val="000000"/>
                <w:sz w:val="18"/>
                <w:szCs w:val="18"/>
                <w:lang w:val="en-CA" w:eastAsia="en-CA"/>
              </w:rPr>
              <w:t>18</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1.41)</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Do lee et al</w:t>
            </w:r>
            <w:r>
              <w:rPr>
                <w:rFonts w:ascii="Calibri" w:eastAsia="Times New Roman" w:hAnsi="Calibri"/>
                <w:color w:val="000000"/>
                <w:sz w:val="18"/>
                <w:szCs w:val="18"/>
                <w:lang w:val="en-CA" w:eastAsia="en-CA"/>
              </w:rPr>
              <w:t>.</w:t>
            </w:r>
            <w:r w:rsidRPr="008D7D4A">
              <w:rPr>
                <w:rFonts w:ascii="Calibri" w:eastAsia="Times New Roman" w:hAnsi="Calibri"/>
                <w:color w:val="000000"/>
                <w:sz w:val="18"/>
                <w:szCs w:val="18"/>
                <w:lang w:val="en-CA" w:eastAsia="en-CA"/>
              </w:rPr>
              <w:t xml:space="preserve"> 2003  - Stroke</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1.25 (1.</w:t>
            </w:r>
            <w:r>
              <w:rPr>
                <w:rFonts w:ascii="Calibri" w:eastAsia="Times New Roman" w:hAnsi="Calibri"/>
                <w:color w:val="000000"/>
                <w:sz w:val="18"/>
                <w:szCs w:val="18"/>
                <w:lang w:val="en-CA" w:eastAsia="en-CA"/>
              </w:rPr>
              <w:t>16</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1.35)</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1.25 (1</w:t>
            </w:r>
            <w:r>
              <w:rPr>
                <w:rFonts w:ascii="Calibri" w:eastAsia="Times New Roman" w:hAnsi="Calibri"/>
                <w:color w:val="000000"/>
                <w:sz w:val="18"/>
                <w:szCs w:val="18"/>
                <w:lang w:val="en-CA" w:eastAsia="en-CA"/>
              </w:rPr>
              <w:t>.16</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1.35)</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Diep et al</w:t>
            </w:r>
            <w:r>
              <w:rPr>
                <w:rFonts w:ascii="Calibri" w:eastAsia="Times New Roman" w:hAnsi="Calibri"/>
                <w:color w:val="000000"/>
                <w:sz w:val="18"/>
                <w:szCs w:val="18"/>
                <w:lang w:val="en-CA" w:eastAsia="en-CA"/>
              </w:rPr>
              <w:t>.</w:t>
            </w:r>
            <w:r w:rsidRPr="008D7D4A">
              <w:rPr>
                <w:rFonts w:ascii="Calibri" w:eastAsia="Times New Roman" w:hAnsi="Calibri"/>
                <w:color w:val="000000"/>
                <w:sz w:val="18"/>
                <w:szCs w:val="18"/>
                <w:lang w:val="en-CA" w:eastAsia="en-CA"/>
              </w:rPr>
              <w:t xml:space="preserve"> 2010 - J Women </w:t>
            </w:r>
            <w:r>
              <w:rPr>
                <w:rFonts w:ascii="Calibri" w:eastAsia="Times New Roman" w:hAnsi="Calibri"/>
                <w:color w:val="000000"/>
                <w:sz w:val="18"/>
                <w:szCs w:val="18"/>
                <w:lang w:val="en-CA" w:eastAsia="en-CA"/>
              </w:rPr>
              <w:t>H</w:t>
            </w:r>
            <w:r w:rsidRPr="008D7D4A">
              <w:rPr>
                <w:rFonts w:ascii="Calibri" w:eastAsia="Times New Roman" w:hAnsi="Calibri"/>
                <w:color w:val="000000"/>
                <w:sz w:val="18"/>
                <w:szCs w:val="18"/>
                <w:lang w:val="en-CA" w:eastAsia="en-CA"/>
              </w:rPr>
              <w:t>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1.14 (1.</w:t>
            </w:r>
            <w:r>
              <w:rPr>
                <w:rFonts w:ascii="Calibri" w:eastAsia="Times New Roman" w:hAnsi="Calibri"/>
                <w:color w:val="000000"/>
                <w:sz w:val="18"/>
                <w:szCs w:val="18"/>
                <w:lang w:val="en-CA" w:eastAsia="en-CA"/>
              </w:rPr>
              <w:t>06</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1.22)</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1.01 (0</w:t>
            </w:r>
            <w:r>
              <w:rPr>
                <w:rFonts w:ascii="Calibri" w:eastAsia="Times New Roman" w:hAnsi="Calibri"/>
                <w:color w:val="000000"/>
                <w:sz w:val="18"/>
                <w:szCs w:val="18"/>
                <w:lang w:val="en-CA" w:eastAsia="en-CA"/>
              </w:rPr>
              <w:t>.93</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1.14)</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Katzmarzyk et al</w:t>
            </w:r>
            <w:r>
              <w:rPr>
                <w:rFonts w:ascii="Calibri" w:eastAsia="Times New Roman" w:hAnsi="Calibri"/>
                <w:color w:val="000000"/>
                <w:sz w:val="18"/>
                <w:szCs w:val="18"/>
                <w:lang w:val="en-CA" w:eastAsia="en-CA"/>
              </w:rPr>
              <w:t>.</w:t>
            </w:r>
            <w:r w:rsidRPr="008D7D4A">
              <w:rPr>
                <w:rFonts w:ascii="Calibri" w:eastAsia="Times New Roman" w:hAnsi="Calibri"/>
                <w:color w:val="000000"/>
                <w:sz w:val="18"/>
                <w:szCs w:val="18"/>
                <w:lang w:val="en-CA" w:eastAsia="en-CA"/>
              </w:rPr>
              <w:t xml:space="preserve"> 2004 - Can J Appl Physiol</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1.60 (1.</w:t>
            </w:r>
            <w:r>
              <w:rPr>
                <w:rFonts w:ascii="Calibri" w:eastAsia="Times New Roman" w:hAnsi="Calibri"/>
                <w:color w:val="000000"/>
                <w:sz w:val="18"/>
                <w:szCs w:val="18"/>
                <w:lang w:val="en-CA" w:eastAsia="en-CA"/>
              </w:rPr>
              <w:t>42</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1.80)</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1.60 (1</w:t>
            </w:r>
            <w:r>
              <w:rPr>
                <w:rFonts w:ascii="Calibri" w:eastAsia="Times New Roman" w:hAnsi="Calibri"/>
                <w:color w:val="000000"/>
                <w:sz w:val="18"/>
                <w:szCs w:val="18"/>
                <w:lang w:val="en-CA" w:eastAsia="en-CA"/>
              </w:rPr>
              <w:t>.42</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1.80)</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7B7E36" w:rsidRDefault="008A7C9B" w:rsidP="00065EEC">
            <w:pPr>
              <w:spacing w:after="0"/>
              <w:rPr>
                <w:rFonts w:ascii="Calibri" w:eastAsia="Times New Roman" w:hAnsi="Calibri"/>
                <w:color w:val="000000"/>
                <w:sz w:val="18"/>
                <w:szCs w:val="18"/>
                <w:lang w:val="en-CA" w:eastAsia="en-CA"/>
              </w:rPr>
            </w:pPr>
            <w:r w:rsidRPr="007B7E36">
              <w:rPr>
                <w:rFonts w:ascii="Calibri" w:eastAsia="Times New Roman" w:hAnsi="Calibri"/>
                <w:color w:val="000000"/>
                <w:sz w:val="18"/>
                <w:szCs w:val="18"/>
                <w:lang w:val="en-CA" w:eastAsia="en-CA"/>
              </w:rPr>
              <w:t>Smoker</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Shinton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1989 - BMJ</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1.43 (1.35-1.52)</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1.72 (1.59</w:t>
            </w:r>
            <w:r w:rsidRPr="008D7D4A">
              <w:rPr>
                <w:rFonts w:ascii="Calibri" w:eastAsia="Times New Roman" w:hAnsi="Calibri"/>
                <w:b/>
                <w:bCs/>
                <w:color w:val="000000"/>
                <w:sz w:val="18"/>
                <w:szCs w:val="18"/>
                <w:lang w:val="en-CA" w:eastAsia="en-CA"/>
              </w:rPr>
              <w:t>–1.86)</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000000" w:fill="D8D8D8"/>
            <w:hideMark/>
          </w:tcPr>
          <w:p w:rsidR="008A7C9B" w:rsidRPr="007B7E36" w:rsidRDefault="008A7C9B" w:rsidP="00065EEC">
            <w:pPr>
              <w:spacing w:after="0"/>
              <w:rPr>
                <w:rFonts w:ascii="Calibri" w:eastAsia="Times New Roman" w:hAnsi="Calibri"/>
                <w:color w:val="000000"/>
                <w:sz w:val="18"/>
                <w:szCs w:val="18"/>
                <w:lang w:val="en-CA" w:eastAsia="en-CA"/>
              </w:rPr>
            </w:pPr>
            <w:r w:rsidRPr="007B7E36">
              <w:rPr>
                <w:rFonts w:ascii="Calibri" w:eastAsia="Times New Roman" w:hAnsi="Calibri"/>
                <w:color w:val="000000"/>
                <w:sz w:val="18"/>
                <w:szCs w:val="18"/>
                <w:lang w:val="en-CA" w:eastAsia="en-CA"/>
              </w:rPr>
              <w:t>Occasional smoker</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7B7E36" w:rsidRDefault="008A7C9B" w:rsidP="00065EEC">
            <w:pPr>
              <w:spacing w:after="0"/>
              <w:rPr>
                <w:rFonts w:ascii="Calibri" w:eastAsia="Times New Roman" w:hAnsi="Calibri"/>
                <w:bCs/>
                <w:iCs/>
                <w:color w:val="000000"/>
                <w:sz w:val="18"/>
                <w:szCs w:val="18"/>
                <w:lang w:val="en-CA" w:eastAsia="en-CA"/>
              </w:rPr>
            </w:pPr>
            <w:r w:rsidRPr="007B7E36">
              <w:rPr>
                <w:rFonts w:ascii="Calibri" w:eastAsia="Times New Roman" w:hAnsi="Calibri"/>
                <w:bCs/>
                <w:iCs/>
                <w:color w:val="000000"/>
                <w:sz w:val="18"/>
                <w:szCs w:val="18"/>
                <w:lang w:val="en-CA" w:eastAsia="en-CA"/>
              </w:rPr>
              <w:t>No data</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i/>
                <w:iCs/>
                <w:color w:val="000000"/>
                <w:sz w:val="18"/>
                <w:szCs w:val="18"/>
                <w:lang w:val="en-CA" w:eastAsia="en-CA"/>
              </w:rPr>
            </w:pPr>
            <w:r w:rsidRPr="008D7D4A">
              <w:rPr>
                <w:rFonts w:ascii="Calibri" w:eastAsia="Times New Roman" w:hAnsi="Calibri"/>
                <w:b/>
                <w:bCs/>
                <w:i/>
                <w:i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i/>
                <w:iCs/>
                <w:color w:val="000000"/>
                <w:sz w:val="18"/>
                <w:szCs w:val="18"/>
                <w:lang w:val="en-CA" w:eastAsia="en-CA"/>
              </w:rPr>
            </w:pPr>
            <w:r w:rsidRPr="008D7D4A">
              <w:rPr>
                <w:rFonts w:ascii="Calibri" w:eastAsia="Times New Roman" w:hAnsi="Calibri"/>
                <w:b/>
                <w:bCs/>
                <w:i/>
                <w:iCs/>
                <w:color w:val="000000"/>
                <w:sz w:val="18"/>
                <w:szCs w:val="18"/>
                <w:lang w:val="en-CA" w:eastAsia="en-CA"/>
              </w:rPr>
              <w:t> </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7B7E36" w:rsidRDefault="008A7C9B" w:rsidP="00065EEC">
            <w:pPr>
              <w:spacing w:after="0"/>
              <w:rPr>
                <w:rFonts w:ascii="Calibri" w:eastAsia="Times New Roman" w:hAnsi="Calibri"/>
                <w:color w:val="000000"/>
                <w:sz w:val="18"/>
                <w:szCs w:val="18"/>
                <w:lang w:val="en-CA" w:eastAsia="en-CA"/>
              </w:rPr>
            </w:pPr>
            <w:r w:rsidRPr="007B7E36">
              <w:rPr>
                <w:rFonts w:ascii="Calibri" w:eastAsia="Times New Roman" w:hAnsi="Calibri"/>
                <w:color w:val="000000"/>
                <w:sz w:val="18"/>
                <w:szCs w:val="18"/>
                <w:lang w:val="en-CA" w:eastAsia="en-CA"/>
              </w:rPr>
              <w:t xml:space="preserve">Former smoker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Shinton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1989 - BMJ</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1.17 (1.0</w:t>
            </w:r>
            <w:r>
              <w:rPr>
                <w:rFonts w:ascii="Calibri" w:eastAsia="Times New Roman" w:hAnsi="Calibri"/>
                <w:b/>
                <w:bCs/>
                <w:color w:val="000000"/>
                <w:sz w:val="18"/>
                <w:szCs w:val="18"/>
                <w:lang w:val="en-CA" w:eastAsia="en-CA"/>
              </w:rPr>
              <w:t>5</w:t>
            </w:r>
            <w:r w:rsidRPr="008D7D4A">
              <w:rPr>
                <w:rFonts w:ascii="Calibri" w:eastAsia="Times New Roman" w:hAnsi="Calibri"/>
                <w:b/>
                <w:bCs/>
                <w:color w:val="000000"/>
                <w:sz w:val="18"/>
                <w:szCs w:val="18"/>
                <w:lang w:val="en-CA" w:eastAsia="en-CA"/>
              </w:rPr>
              <w:t>–1.88)</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1.17 (1.</w:t>
            </w:r>
            <w:r>
              <w:rPr>
                <w:rFonts w:ascii="Calibri" w:eastAsia="Times New Roman" w:hAnsi="Calibri"/>
                <w:b/>
                <w:bCs/>
                <w:color w:val="000000"/>
                <w:sz w:val="18"/>
                <w:szCs w:val="18"/>
                <w:lang w:val="en-CA" w:eastAsia="en-CA"/>
              </w:rPr>
              <w:t>05</w:t>
            </w:r>
            <w:r w:rsidRPr="008D7D4A">
              <w:rPr>
                <w:rFonts w:ascii="Calibri" w:eastAsia="Times New Roman" w:hAnsi="Calibri"/>
                <w:b/>
                <w:bCs/>
                <w:color w:val="000000"/>
                <w:sz w:val="18"/>
                <w:szCs w:val="18"/>
                <w:lang w:val="en-CA" w:eastAsia="en-CA"/>
              </w:rPr>
              <w:t>–1.88)</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4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Ischemic heart disease</w:t>
            </w: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Obesity</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Guh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1.72 (1.</w:t>
            </w:r>
            <w:r>
              <w:rPr>
                <w:rFonts w:ascii="Calibri" w:eastAsia="Times New Roman" w:hAnsi="Calibri"/>
                <w:b/>
                <w:bCs/>
                <w:color w:val="000000"/>
                <w:sz w:val="18"/>
                <w:szCs w:val="18"/>
                <w:lang w:val="en-CA" w:eastAsia="en-CA"/>
              </w:rPr>
              <w:t>51</w:t>
            </w:r>
            <w:r w:rsidRPr="008D7D4A">
              <w:rPr>
                <w:rFonts w:ascii="Calibri" w:eastAsia="Times New Roman" w:hAnsi="Calibri"/>
                <w:b/>
                <w:bCs/>
                <w:color w:val="000000"/>
                <w:sz w:val="18"/>
                <w:szCs w:val="18"/>
                <w:lang w:val="en-CA" w:eastAsia="en-CA"/>
              </w:rPr>
              <w:t>–2.24)*</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3.10 (2.</w:t>
            </w:r>
            <w:r>
              <w:rPr>
                <w:rFonts w:ascii="Calibri" w:eastAsia="Times New Roman" w:hAnsi="Calibri"/>
                <w:b/>
                <w:bCs/>
                <w:color w:val="000000"/>
                <w:sz w:val="18"/>
                <w:szCs w:val="18"/>
                <w:lang w:val="en-CA" w:eastAsia="en-CA"/>
              </w:rPr>
              <w:t>81</w:t>
            </w:r>
            <w:r w:rsidRPr="008D7D4A">
              <w:rPr>
                <w:rFonts w:ascii="Calibri" w:eastAsia="Times New Roman" w:hAnsi="Calibri"/>
                <w:b/>
                <w:bCs/>
                <w:color w:val="000000"/>
                <w:sz w:val="18"/>
                <w:szCs w:val="18"/>
                <w:lang w:val="en-CA" w:eastAsia="en-CA"/>
              </w:rPr>
              <w:t>–3.43)</w:t>
            </w:r>
          </w:p>
        </w:tc>
      </w:tr>
      <w:tr w:rsidR="008A7C9B" w:rsidRPr="008D7D4A" w:rsidTr="00065EEC">
        <w:trPr>
          <w:trHeight w:val="300"/>
        </w:trPr>
        <w:tc>
          <w:tcPr>
            <w:tcW w:w="284" w:type="dxa"/>
            <w:tcBorders>
              <w:top w:val="nil"/>
              <w:left w:val="single" w:sz="4" w:space="0" w:color="auto"/>
              <w:bottom w:val="nil"/>
              <w:right w:val="nil"/>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Overweight</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Guh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1.29 (1.</w:t>
            </w:r>
            <w:r>
              <w:rPr>
                <w:rFonts w:ascii="Calibri" w:eastAsia="Times New Roman" w:hAnsi="Calibri"/>
                <w:b/>
                <w:bCs/>
                <w:color w:val="000000"/>
                <w:sz w:val="18"/>
                <w:szCs w:val="18"/>
                <w:lang w:val="en-CA" w:eastAsia="en-CA"/>
              </w:rPr>
              <w:t>18</w:t>
            </w:r>
            <w:r w:rsidRPr="008D7D4A">
              <w:rPr>
                <w:rFonts w:ascii="Calibri" w:eastAsia="Times New Roman" w:hAnsi="Calibri"/>
                <w:b/>
                <w:bCs/>
                <w:color w:val="000000"/>
                <w:sz w:val="18"/>
                <w:szCs w:val="18"/>
                <w:lang w:val="en-CA" w:eastAsia="en-CA"/>
              </w:rPr>
              <w:t>–1.41)*</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1.80 (1</w:t>
            </w:r>
            <w:r>
              <w:rPr>
                <w:rFonts w:ascii="Calibri" w:eastAsia="Times New Roman" w:hAnsi="Calibri"/>
                <w:b/>
                <w:bCs/>
                <w:color w:val="000000"/>
                <w:sz w:val="18"/>
                <w:szCs w:val="18"/>
                <w:lang w:val="en-CA" w:eastAsia="en-CA"/>
              </w:rPr>
              <w:t>.64</w:t>
            </w:r>
            <w:r w:rsidRPr="008D7D4A">
              <w:rPr>
                <w:rFonts w:ascii="Calibri" w:eastAsia="Times New Roman" w:hAnsi="Calibri"/>
                <w:b/>
                <w:bCs/>
                <w:color w:val="000000"/>
                <w:sz w:val="18"/>
                <w:szCs w:val="18"/>
                <w:lang w:val="en-CA" w:eastAsia="en-CA"/>
              </w:rPr>
              <w:t>–1.98)</w:t>
            </w:r>
          </w:p>
        </w:tc>
      </w:tr>
      <w:tr w:rsidR="008A7C9B" w:rsidRPr="008D7D4A" w:rsidTr="00065EEC">
        <w:trPr>
          <w:trHeight w:val="300"/>
        </w:trPr>
        <w:tc>
          <w:tcPr>
            <w:tcW w:w="284" w:type="dxa"/>
            <w:tcBorders>
              <w:top w:val="nil"/>
              <w:left w:val="single" w:sz="4" w:space="0" w:color="auto"/>
              <w:bottom w:val="nil"/>
              <w:right w:val="nil"/>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72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Insufficient consumption of fruits and vegetables</w:t>
            </w:r>
          </w:p>
        </w:tc>
        <w:tc>
          <w:tcPr>
            <w:tcW w:w="3119" w:type="dxa"/>
            <w:tcBorders>
              <w:top w:val="nil"/>
              <w:left w:val="single" w:sz="4" w:space="0" w:color="auto"/>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b/>
                <w:bCs/>
                <w:sz w:val="18"/>
                <w:szCs w:val="18"/>
                <w:lang w:val="en-CA" w:eastAsia="en-CA"/>
              </w:rPr>
            </w:pPr>
            <w:r w:rsidRPr="008D7D4A">
              <w:rPr>
                <w:rFonts w:ascii="Calibri" w:eastAsia="Times New Roman" w:hAnsi="Calibri"/>
                <w:b/>
                <w:bCs/>
                <w:sz w:val="18"/>
                <w:szCs w:val="18"/>
                <w:lang w:val="en-CA" w:eastAsia="en-CA"/>
              </w:rPr>
              <w:t>HE et al</w:t>
            </w:r>
            <w:r>
              <w:rPr>
                <w:rFonts w:ascii="Calibri" w:eastAsia="Times New Roman" w:hAnsi="Calibri"/>
                <w:b/>
                <w:bCs/>
                <w:sz w:val="18"/>
                <w:szCs w:val="18"/>
                <w:lang w:val="en-CA" w:eastAsia="en-CA"/>
              </w:rPr>
              <w:t>.</w:t>
            </w:r>
            <w:r w:rsidRPr="008D7D4A">
              <w:rPr>
                <w:rFonts w:ascii="Calibri" w:eastAsia="Times New Roman" w:hAnsi="Calibri"/>
                <w:b/>
                <w:bCs/>
                <w:sz w:val="18"/>
                <w:szCs w:val="18"/>
                <w:lang w:val="en-CA" w:eastAsia="en-CA"/>
              </w:rPr>
              <w:t xml:space="preserve"> 2007 - J Human Hypertension</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1.11 (1.02</w:t>
            </w:r>
            <w:r w:rsidRPr="008D7D4A">
              <w:rPr>
                <w:rFonts w:ascii="Calibri" w:eastAsia="Times New Roman" w:hAnsi="Calibri"/>
                <w:b/>
                <w:bCs/>
                <w:color w:val="000000"/>
                <w:sz w:val="18"/>
                <w:szCs w:val="18"/>
                <w:lang w:val="en-CA" w:eastAsia="en-CA"/>
              </w:rPr>
              <w:t>–1.22)</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1.32 (0.95</w:t>
            </w:r>
            <w:r w:rsidRPr="008D7D4A">
              <w:rPr>
                <w:rFonts w:ascii="Calibri" w:eastAsia="Times New Roman" w:hAnsi="Calibri"/>
                <w:b/>
                <w:bCs/>
                <w:color w:val="000000"/>
                <w:sz w:val="18"/>
                <w:szCs w:val="18"/>
                <w:lang w:val="en-CA" w:eastAsia="en-CA"/>
              </w:rPr>
              <w:t>–1.82)</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4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Physical inactivity</w:t>
            </w:r>
          </w:p>
        </w:tc>
        <w:tc>
          <w:tcPr>
            <w:tcW w:w="3119" w:type="dxa"/>
            <w:tcBorders>
              <w:top w:val="nil"/>
              <w:left w:val="single" w:sz="4" w:space="0" w:color="auto"/>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Sattelmair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2011 - Circulation</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1.10 (0.</w:t>
            </w:r>
            <w:r>
              <w:rPr>
                <w:rFonts w:ascii="Calibri" w:eastAsia="Times New Roman" w:hAnsi="Calibri"/>
                <w:b/>
                <w:bCs/>
                <w:color w:val="000000"/>
                <w:sz w:val="18"/>
                <w:szCs w:val="18"/>
                <w:lang w:val="en-CA" w:eastAsia="en-CA"/>
              </w:rPr>
              <w:t>96</w:t>
            </w:r>
            <w:r w:rsidRPr="008D7D4A">
              <w:rPr>
                <w:rFonts w:ascii="Calibri" w:eastAsia="Times New Roman" w:hAnsi="Calibri"/>
                <w:b/>
                <w:bCs/>
                <w:color w:val="000000"/>
                <w:sz w:val="18"/>
                <w:szCs w:val="18"/>
                <w:lang w:val="en-CA" w:eastAsia="en-CA"/>
              </w:rPr>
              <w:t>–1.30)</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1.25 (1.</w:t>
            </w:r>
            <w:r>
              <w:rPr>
                <w:rFonts w:ascii="Calibri" w:eastAsia="Times New Roman" w:hAnsi="Calibri"/>
                <w:b/>
                <w:bCs/>
                <w:color w:val="000000"/>
                <w:sz w:val="18"/>
                <w:szCs w:val="18"/>
                <w:lang w:val="en-CA" w:eastAsia="en-CA"/>
              </w:rPr>
              <w:t>09</w:t>
            </w:r>
            <w:r w:rsidRPr="008D7D4A">
              <w:rPr>
                <w:rFonts w:ascii="Calibri" w:eastAsia="Times New Roman" w:hAnsi="Calibri"/>
                <w:b/>
                <w:bCs/>
                <w:color w:val="000000"/>
                <w:sz w:val="18"/>
                <w:szCs w:val="18"/>
                <w:lang w:val="en-CA" w:eastAsia="en-CA"/>
              </w:rPr>
              <w:t>–1.45)</w:t>
            </w:r>
          </w:p>
        </w:tc>
      </w:tr>
      <w:tr w:rsidR="008A7C9B" w:rsidRPr="008D7D4A" w:rsidTr="00065EEC">
        <w:trPr>
          <w:trHeight w:val="255"/>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vAlign w:val="center"/>
            <w:hideMark/>
          </w:tcPr>
          <w:p w:rsidR="008A7C9B" w:rsidRPr="003C1661" w:rsidRDefault="008A7C9B" w:rsidP="00065EEC">
            <w:pPr>
              <w:spacing w:after="0"/>
              <w:rPr>
                <w:rFonts w:ascii="Calibri" w:eastAsia="Times New Roman" w:hAnsi="Calibri"/>
                <w:color w:val="000000"/>
                <w:sz w:val="18"/>
                <w:szCs w:val="18"/>
                <w:lang w:val="fr-CA" w:eastAsia="en-CA"/>
              </w:rPr>
            </w:pPr>
            <w:r w:rsidRPr="003C1661">
              <w:rPr>
                <w:rFonts w:ascii="Calibri" w:eastAsia="Times New Roman" w:hAnsi="Calibri"/>
                <w:color w:val="000000"/>
                <w:sz w:val="18"/>
                <w:szCs w:val="18"/>
                <w:lang w:val="fr-CA" w:eastAsia="en-CA"/>
              </w:rPr>
              <w:t>Li et al. 2012 - Int J Environ Res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1.18 (1.</w:t>
            </w:r>
            <w:r>
              <w:rPr>
                <w:rFonts w:ascii="Calibri" w:eastAsia="Times New Roman" w:hAnsi="Calibri"/>
                <w:color w:val="000000"/>
                <w:sz w:val="18"/>
                <w:szCs w:val="18"/>
                <w:lang w:val="en-CA" w:eastAsia="en-CA"/>
              </w:rPr>
              <w:t>08</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1.30)</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1.28 (1</w:t>
            </w:r>
            <w:r>
              <w:rPr>
                <w:rFonts w:ascii="Calibri" w:eastAsia="Times New Roman" w:hAnsi="Calibri"/>
                <w:color w:val="000000"/>
                <w:sz w:val="18"/>
                <w:szCs w:val="18"/>
                <w:lang w:val="en-CA" w:eastAsia="en-CA"/>
              </w:rPr>
              <w:t>.18</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1.39)</w:t>
            </w:r>
          </w:p>
        </w:tc>
      </w:tr>
      <w:tr w:rsidR="008A7C9B" w:rsidRPr="008D7D4A" w:rsidTr="00065EEC">
        <w:trPr>
          <w:trHeight w:val="36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vAlign w:val="center"/>
            <w:hideMark/>
          </w:tcPr>
          <w:p w:rsidR="008A7C9B" w:rsidRPr="003C1661" w:rsidRDefault="008A7C9B" w:rsidP="00065EEC">
            <w:pPr>
              <w:spacing w:after="0"/>
              <w:rPr>
                <w:rFonts w:ascii="Calibri" w:eastAsia="Times New Roman" w:hAnsi="Calibri"/>
                <w:color w:val="000000"/>
                <w:sz w:val="18"/>
                <w:szCs w:val="18"/>
                <w:lang w:val="fr-CA" w:eastAsia="en-CA"/>
              </w:rPr>
            </w:pPr>
            <w:r w:rsidRPr="003C1661">
              <w:rPr>
                <w:rFonts w:ascii="Calibri" w:eastAsia="Times New Roman" w:hAnsi="Calibri"/>
                <w:color w:val="000000"/>
                <w:sz w:val="18"/>
                <w:szCs w:val="18"/>
                <w:lang w:val="fr-CA" w:eastAsia="en-CA"/>
              </w:rPr>
              <w:t>Sofi et al. 2008 - Eur Soc on Cardiol</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1.08 (1</w:t>
            </w:r>
            <w:r>
              <w:rPr>
                <w:rFonts w:ascii="Calibri" w:eastAsia="Times New Roman" w:hAnsi="Calibri"/>
                <w:color w:val="000000"/>
                <w:sz w:val="18"/>
                <w:szCs w:val="18"/>
                <w:lang w:val="en-CA" w:eastAsia="en-CA"/>
              </w:rPr>
              <w:t>.01</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1.14)</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1.11 (1.</w:t>
            </w:r>
            <w:r>
              <w:rPr>
                <w:rFonts w:ascii="Calibri" w:eastAsia="Times New Roman" w:hAnsi="Calibri"/>
                <w:color w:val="000000"/>
                <w:sz w:val="18"/>
                <w:szCs w:val="18"/>
                <w:lang w:val="en-CA" w:eastAsia="en-CA"/>
              </w:rPr>
              <w:t>02</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1.20)</w:t>
            </w:r>
          </w:p>
        </w:tc>
      </w:tr>
      <w:tr w:rsidR="008A7C9B" w:rsidRPr="008D7D4A" w:rsidTr="00065EEC">
        <w:trPr>
          <w:trHeight w:val="36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Katzmarzyk et al</w:t>
            </w:r>
            <w:r>
              <w:rPr>
                <w:rFonts w:ascii="Calibri" w:eastAsia="Times New Roman" w:hAnsi="Calibri"/>
                <w:color w:val="000000"/>
                <w:sz w:val="18"/>
                <w:szCs w:val="18"/>
                <w:lang w:val="en-CA" w:eastAsia="en-CA"/>
              </w:rPr>
              <w:t>.</w:t>
            </w:r>
            <w:r w:rsidRPr="008D7D4A">
              <w:rPr>
                <w:rFonts w:ascii="Calibri" w:eastAsia="Times New Roman" w:hAnsi="Calibri"/>
                <w:color w:val="000000"/>
                <w:sz w:val="18"/>
                <w:szCs w:val="18"/>
                <w:lang w:val="en-CA" w:eastAsia="en-CA"/>
              </w:rPr>
              <w:t xml:space="preserve"> 2004 - Can J Appl Physiol</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1.45 (1</w:t>
            </w:r>
            <w:r>
              <w:rPr>
                <w:rFonts w:ascii="Calibri" w:eastAsia="Times New Roman" w:hAnsi="Calibri"/>
                <w:color w:val="000000"/>
                <w:sz w:val="18"/>
                <w:szCs w:val="18"/>
                <w:lang w:val="en-CA" w:eastAsia="en-CA"/>
              </w:rPr>
              <w:t>.38</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1.54)</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1.45 (1.</w:t>
            </w:r>
            <w:r>
              <w:rPr>
                <w:rFonts w:ascii="Calibri" w:eastAsia="Times New Roman" w:hAnsi="Calibri"/>
                <w:color w:val="000000"/>
                <w:sz w:val="18"/>
                <w:szCs w:val="18"/>
                <w:lang w:val="en-CA" w:eastAsia="en-CA"/>
              </w:rPr>
              <w:t>38</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1.54)</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sz w:val="18"/>
                <w:szCs w:val="18"/>
                <w:lang w:val="en-CA" w:eastAsia="en-CA"/>
              </w:rPr>
            </w:pPr>
            <w:r w:rsidRPr="003C1661">
              <w:rPr>
                <w:rFonts w:ascii="Calibri" w:eastAsia="Times New Roman" w:hAnsi="Calibri"/>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lastRenderedPageBreak/>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Smoker</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b/>
                <w:bCs/>
                <w:color w:val="000000"/>
                <w:sz w:val="18"/>
                <w:szCs w:val="18"/>
                <w:lang w:val="fr-CA" w:eastAsia="en-CA"/>
              </w:rPr>
            </w:pPr>
            <w:r w:rsidRPr="003C1661">
              <w:rPr>
                <w:rFonts w:ascii="Calibri" w:eastAsia="Times New Roman" w:hAnsi="Calibri"/>
                <w:b/>
                <w:bCs/>
                <w:color w:val="000000"/>
                <w:sz w:val="18"/>
                <w:szCs w:val="18"/>
                <w:lang w:val="fr-CA" w:eastAsia="en-CA"/>
              </w:rPr>
              <w:t>Mainous et al. 2006 - Am J Cardiol</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1.6 (1.</w:t>
            </w:r>
            <w:r>
              <w:rPr>
                <w:rFonts w:ascii="Calibri" w:eastAsia="Times New Roman" w:hAnsi="Calibri"/>
                <w:b/>
                <w:bCs/>
                <w:color w:val="000000"/>
                <w:sz w:val="18"/>
                <w:szCs w:val="18"/>
                <w:lang w:val="en-CA" w:eastAsia="en-CA"/>
              </w:rPr>
              <w:t>26</w:t>
            </w:r>
            <w:r w:rsidRPr="008D7D4A">
              <w:rPr>
                <w:rFonts w:ascii="Calibri" w:eastAsia="Times New Roman" w:hAnsi="Calibri"/>
                <w:b/>
                <w:bCs/>
                <w:color w:val="000000"/>
                <w:sz w:val="18"/>
                <w:szCs w:val="18"/>
                <w:lang w:val="en-CA" w:eastAsia="en-CA"/>
              </w:rPr>
              <w:t>–2.02)</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3.22 (2.</w:t>
            </w:r>
            <w:r>
              <w:rPr>
                <w:rFonts w:ascii="Calibri" w:eastAsia="Times New Roman" w:hAnsi="Calibri"/>
                <w:b/>
                <w:bCs/>
                <w:color w:val="000000"/>
                <w:sz w:val="18"/>
                <w:szCs w:val="18"/>
                <w:lang w:val="en-CA" w:eastAsia="en-CA"/>
              </w:rPr>
              <w:t>47</w:t>
            </w:r>
            <w:r w:rsidRPr="008D7D4A">
              <w:rPr>
                <w:rFonts w:ascii="Calibri" w:eastAsia="Times New Roman" w:hAnsi="Calibri"/>
                <w:b/>
                <w:bCs/>
                <w:color w:val="000000"/>
                <w:sz w:val="18"/>
                <w:szCs w:val="18"/>
                <w:lang w:val="en-CA" w:eastAsia="en-CA"/>
              </w:rPr>
              <w:t>–4.22)</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000000" w:fill="D8D8D8"/>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Occasional smoker</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i/>
                <w:iCs/>
                <w:color w:val="000000"/>
                <w:sz w:val="18"/>
                <w:szCs w:val="18"/>
                <w:lang w:val="en-CA" w:eastAsia="en-CA"/>
              </w:rPr>
            </w:pPr>
            <w:r>
              <w:rPr>
                <w:rFonts w:ascii="Calibri" w:eastAsia="Times New Roman" w:hAnsi="Calibri"/>
                <w:b/>
                <w:bCs/>
                <w:i/>
                <w:iCs/>
                <w:color w:val="000000"/>
                <w:sz w:val="18"/>
                <w:szCs w:val="18"/>
                <w:lang w:val="en-CA" w:eastAsia="en-CA"/>
              </w:rPr>
              <w:t>No data</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iCs/>
                <w:color w:val="000000"/>
                <w:sz w:val="18"/>
                <w:szCs w:val="18"/>
                <w:lang w:val="en-CA" w:eastAsia="en-CA"/>
              </w:rPr>
            </w:pPr>
            <w:r w:rsidRPr="003C1661">
              <w:rPr>
                <w:rFonts w:ascii="Calibri" w:eastAsia="Times New Roman" w:hAnsi="Calibri"/>
                <w:iCs/>
                <w:color w:val="000000"/>
                <w:sz w:val="18"/>
                <w:szCs w:val="18"/>
                <w:lang w:val="en-CA" w:eastAsia="en-CA"/>
              </w:rPr>
              <w:t xml:space="preserve">Former smoker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b/>
                <w:bCs/>
                <w:color w:val="000000"/>
                <w:sz w:val="18"/>
                <w:szCs w:val="18"/>
                <w:lang w:val="fr-CA" w:eastAsia="en-CA"/>
              </w:rPr>
            </w:pPr>
            <w:r w:rsidRPr="003C1661">
              <w:rPr>
                <w:rFonts w:ascii="Calibri" w:eastAsia="Times New Roman" w:hAnsi="Calibri"/>
                <w:b/>
                <w:bCs/>
                <w:color w:val="000000"/>
                <w:sz w:val="18"/>
                <w:szCs w:val="18"/>
                <w:lang w:val="fr-CA" w:eastAsia="en-CA"/>
              </w:rPr>
              <w:t>Mainous et al. 2006 - Am J Cardiol</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0.99 (0.</w:t>
            </w:r>
            <w:r>
              <w:rPr>
                <w:rFonts w:ascii="Calibri" w:eastAsia="Times New Roman" w:hAnsi="Calibri"/>
                <w:b/>
                <w:bCs/>
                <w:color w:val="000000"/>
                <w:sz w:val="18"/>
                <w:szCs w:val="18"/>
                <w:lang w:val="en-CA" w:eastAsia="en-CA"/>
              </w:rPr>
              <w:t>69</w:t>
            </w:r>
            <w:r w:rsidRPr="008D7D4A">
              <w:rPr>
                <w:rFonts w:ascii="Calibri" w:eastAsia="Times New Roman" w:hAnsi="Calibri"/>
                <w:b/>
                <w:bCs/>
                <w:color w:val="000000"/>
                <w:sz w:val="18"/>
                <w:szCs w:val="18"/>
                <w:lang w:val="en-CA" w:eastAsia="en-CA"/>
              </w:rPr>
              <w:t>–1.42)</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1.15 (0.</w:t>
            </w:r>
            <w:r>
              <w:rPr>
                <w:rFonts w:ascii="Calibri" w:eastAsia="Times New Roman" w:hAnsi="Calibri"/>
                <w:b/>
                <w:bCs/>
                <w:color w:val="000000"/>
                <w:sz w:val="18"/>
                <w:szCs w:val="18"/>
                <w:lang w:val="en-CA" w:eastAsia="en-CA"/>
              </w:rPr>
              <w:t>92</w:t>
            </w:r>
            <w:r w:rsidRPr="008D7D4A">
              <w:rPr>
                <w:rFonts w:ascii="Calibri" w:eastAsia="Times New Roman" w:hAnsi="Calibri"/>
                <w:b/>
                <w:bCs/>
                <w:color w:val="000000"/>
                <w:sz w:val="18"/>
                <w:szCs w:val="18"/>
                <w:lang w:val="en-CA" w:eastAsia="en-CA"/>
              </w:rPr>
              <w:t>–1.44)</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Hypertension</w:t>
            </w: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Obesity</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Guh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1.84 (1.</w:t>
            </w:r>
            <w:r>
              <w:rPr>
                <w:rFonts w:ascii="Calibri" w:eastAsia="Times New Roman" w:hAnsi="Calibri"/>
                <w:b/>
                <w:bCs/>
                <w:color w:val="000000"/>
                <w:sz w:val="18"/>
                <w:szCs w:val="18"/>
                <w:lang w:val="en-CA" w:eastAsia="en-CA"/>
              </w:rPr>
              <w:t>51</w:t>
            </w:r>
            <w:r w:rsidRPr="008D7D4A">
              <w:rPr>
                <w:rFonts w:ascii="Calibri" w:eastAsia="Times New Roman" w:hAnsi="Calibri"/>
                <w:b/>
                <w:bCs/>
                <w:color w:val="000000"/>
                <w:sz w:val="18"/>
                <w:szCs w:val="18"/>
                <w:lang w:val="en-CA" w:eastAsia="en-CA"/>
              </w:rPr>
              <w:t>–2.24)</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2.42 (1.</w:t>
            </w:r>
            <w:r>
              <w:rPr>
                <w:rFonts w:ascii="Calibri" w:eastAsia="Times New Roman" w:hAnsi="Calibri"/>
                <w:b/>
                <w:bCs/>
                <w:color w:val="000000"/>
                <w:sz w:val="18"/>
                <w:szCs w:val="18"/>
                <w:lang w:val="en-CA" w:eastAsia="en-CA"/>
              </w:rPr>
              <w:t>59</w:t>
            </w:r>
            <w:r w:rsidRPr="008D7D4A">
              <w:rPr>
                <w:rFonts w:ascii="Calibri" w:eastAsia="Times New Roman" w:hAnsi="Calibri"/>
                <w:b/>
                <w:bCs/>
                <w:color w:val="000000"/>
                <w:sz w:val="18"/>
                <w:szCs w:val="18"/>
                <w:lang w:val="en-CA" w:eastAsia="en-CA"/>
              </w:rPr>
              <w:t>–3.67)</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Overweight</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Guh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1.28 (1.</w:t>
            </w:r>
            <w:r>
              <w:rPr>
                <w:rFonts w:ascii="Calibri" w:eastAsia="Times New Roman" w:hAnsi="Calibri"/>
                <w:b/>
                <w:bCs/>
                <w:color w:val="000000"/>
                <w:sz w:val="18"/>
                <w:szCs w:val="18"/>
                <w:lang w:val="en-CA" w:eastAsia="en-CA"/>
              </w:rPr>
              <w:t>10</w:t>
            </w:r>
            <w:r w:rsidRPr="008D7D4A">
              <w:rPr>
                <w:rFonts w:ascii="Calibri" w:eastAsia="Times New Roman" w:hAnsi="Calibri"/>
                <w:b/>
                <w:bCs/>
                <w:color w:val="000000"/>
                <w:sz w:val="18"/>
                <w:szCs w:val="18"/>
                <w:lang w:val="en-CA" w:eastAsia="en-CA"/>
              </w:rPr>
              <w:t>–1.50)</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1.65 (1.</w:t>
            </w:r>
            <w:r>
              <w:rPr>
                <w:rFonts w:ascii="Calibri" w:eastAsia="Times New Roman" w:hAnsi="Calibri"/>
                <w:b/>
                <w:bCs/>
                <w:color w:val="000000"/>
                <w:sz w:val="18"/>
                <w:szCs w:val="18"/>
                <w:lang w:val="en-CA" w:eastAsia="en-CA"/>
              </w:rPr>
              <w:t>24</w:t>
            </w:r>
            <w:r w:rsidRPr="008D7D4A">
              <w:rPr>
                <w:rFonts w:ascii="Calibri" w:eastAsia="Times New Roman" w:hAnsi="Calibri"/>
                <w:b/>
                <w:bCs/>
                <w:color w:val="000000"/>
                <w:sz w:val="18"/>
                <w:szCs w:val="18"/>
                <w:lang w:val="en-CA" w:eastAsia="en-CA"/>
              </w:rPr>
              <w:t>–2.19)</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4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Physical inactivity</w:t>
            </w:r>
          </w:p>
        </w:tc>
        <w:tc>
          <w:tcPr>
            <w:tcW w:w="3119" w:type="dxa"/>
            <w:tcBorders>
              <w:top w:val="nil"/>
              <w:left w:val="single" w:sz="4" w:space="0" w:color="auto"/>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Warburton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2010 - Int J Behav Nutr Phys Act</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1.47 (1.</w:t>
            </w:r>
            <w:r>
              <w:rPr>
                <w:rFonts w:ascii="Calibri" w:eastAsia="Times New Roman" w:hAnsi="Calibri"/>
                <w:b/>
                <w:bCs/>
                <w:color w:val="000000"/>
                <w:sz w:val="18"/>
                <w:szCs w:val="18"/>
                <w:lang w:val="en-CA" w:eastAsia="en-CA"/>
              </w:rPr>
              <w:t>11</w:t>
            </w:r>
            <w:r w:rsidRPr="008D7D4A">
              <w:rPr>
                <w:rFonts w:ascii="Calibri" w:eastAsia="Times New Roman" w:hAnsi="Calibri"/>
                <w:b/>
                <w:bCs/>
                <w:color w:val="000000"/>
                <w:sz w:val="18"/>
                <w:szCs w:val="18"/>
                <w:lang w:val="en-CA" w:eastAsia="en-CA"/>
              </w:rPr>
              <w:t>–2.70)</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1.47 (1.</w:t>
            </w:r>
            <w:r>
              <w:rPr>
                <w:rFonts w:ascii="Calibri" w:eastAsia="Times New Roman" w:hAnsi="Calibri"/>
                <w:b/>
                <w:bCs/>
                <w:color w:val="000000"/>
                <w:sz w:val="18"/>
                <w:szCs w:val="18"/>
                <w:lang w:val="en-CA" w:eastAsia="en-CA"/>
              </w:rPr>
              <w:t>11</w:t>
            </w:r>
            <w:r w:rsidRPr="008D7D4A">
              <w:rPr>
                <w:rFonts w:ascii="Calibri" w:eastAsia="Times New Roman" w:hAnsi="Calibri"/>
                <w:b/>
                <w:bCs/>
                <w:color w:val="000000"/>
                <w:sz w:val="18"/>
                <w:szCs w:val="18"/>
                <w:lang w:val="en-CA" w:eastAsia="en-CA"/>
              </w:rPr>
              <w:t>–2.70)</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Katzmarzyk et al</w:t>
            </w:r>
            <w:r>
              <w:rPr>
                <w:rFonts w:ascii="Calibri" w:eastAsia="Times New Roman" w:hAnsi="Calibri"/>
                <w:color w:val="000000"/>
                <w:sz w:val="18"/>
                <w:szCs w:val="18"/>
                <w:lang w:val="en-CA" w:eastAsia="en-CA"/>
              </w:rPr>
              <w:t>.</w:t>
            </w:r>
            <w:r w:rsidRPr="008D7D4A">
              <w:rPr>
                <w:rFonts w:ascii="Calibri" w:eastAsia="Times New Roman" w:hAnsi="Calibri"/>
                <w:color w:val="000000"/>
                <w:sz w:val="18"/>
                <w:szCs w:val="18"/>
                <w:lang w:val="en-CA" w:eastAsia="en-CA"/>
              </w:rPr>
              <w:t xml:space="preserve"> 2004 - Can J Appl Physiol</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1.30 (1.</w:t>
            </w:r>
            <w:r>
              <w:rPr>
                <w:rFonts w:ascii="Calibri" w:eastAsia="Times New Roman" w:hAnsi="Calibri"/>
                <w:color w:val="000000"/>
                <w:sz w:val="18"/>
                <w:szCs w:val="18"/>
                <w:lang w:val="en-CA" w:eastAsia="en-CA"/>
              </w:rPr>
              <w:t>16</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1.46)</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1.30 (1.</w:t>
            </w:r>
            <w:r>
              <w:rPr>
                <w:rFonts w:ascii="Calibri" w:eastAsia="Times New Roman" w:hAnsi="Calibri"/>
                <w:color w:val="000000"/>
                <w:sz w:val="18"/>
                <w:szCs w:val="18"/>
                <w:lang w:val="en-CA" w:eastAsia="en-CA"/>
              </w:rPr>
              <w:t>16</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1.46)</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000000" w:fill="D8D8D8"/>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xml:space="preserve">Insufficient consumption of fruits and vegetables </w:t>
            </w:r>
          </w:p>
        </w:tc>
        <w:tc>
          <w:tcPr>
            <w:tcW w:w="3119" w:type="dxa"/>
            <w:tcBorders>
              <w:top w:val="nil"/>
              <w:left w:val="single" w:sz="4" w:space="0" w:color="auto"/>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No</w:t>
            </w:r>
            <w:r w:rsidRPr="008D7D4A">
              <w:rPr>
                <w:rFonts w:ascii="Calibri" w:eastAsia="Times New Roman" w:hAnsi="Calibri"/>
                <w:color w:val="000000"/>
                <w:sz w:val="18"/>
                <w:szCs w:val="18"/>
                <w:lang w:val="en-CA" w:eastAsia="en-CA"/>
              </w:rPr>
              <w:t xml:space="preserve"> association</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i/>
                <w:iCs/>
                <w:color w:val="000000"/>
                <w:sz w:val="18"/>
                <w:szCs w:val="18"/>
                <w:lang w:val="en-CA" w:eastAsia="en-CA"/>
              </w:rPr>
            </w:pPr>
            <w:r w:rsidRPr="008D7D4A">
              <w:rPr>
                <w:rFonts w:ascii="Calibri" w:eastAsia="Times New Roman" w:hAnsi="Calibri"/>
                <w:i/>
                <w:i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i/>
                <w:iCs/>
                <w:color w:val="000000"/>
                <w:sz w:val="18"/>
                <w:szCs w:val="18"/>
                <w:lang w:val="en-CA" w:eastAsia="en-CA"/>
              </w:rPr>
            </w:pPr>
            <w:r w:rsidRPr="008D7D4A">
              <w:rPr>
                <w:rFonts w:ascii="Calibri" w:eastAsia="Times New Roman" w:hAnsi="Calibri"/>
                <w:i/>
                <w:iCs/>
                <w:color w:val="000000"/>
                <w:sz w:val="18"/>
                <w:szCs w:val="18"/>
                <w:lang w:val="en-CA" w:eastAsia="en-CA"/>
              </w:rPr>
              <w:t> </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i/>
                <w:iCs/>
                <w:color w:val="000000"/>
                <w:sz w:val="18"/>
                <w:szCs w:val="18"/>
                <w:lang w:val="en-CA" w:eastAsia="en-CA"/>
              </w:rPr>
            </w:pPr>
            <w:r w:rsidRPr="008D7D4A">
              <w:rPr>
                <w:rFonts w:ascii="Calibri" w:eastAsia="Times New Roman" w:hAnsi="Calibri"/>
                <w:i/>
                <w:i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i/>
                <w:iCs/>
                <w:color w:val="000000"/>
                <w:sz w:val="18"/>
                <w:szCs w:val="18"/>
                <w:lang w:val="en-CA" w:eastAsia="en-CA"/>
              </w:rPr>
            </w:pPr>
            <w:r w:rsidRPr="008D7D4A">
              <w:rPr>
                <w:rFonts w:ascii="Calibri" w:eastAsia="Times New Roman" w:hAnsi="Calibri"/>
                <w:i/>
                <w:iCs/>
                <w:color w:val="000000"/>
                <w:sz w:val="18"/>
                <w:szCs w:val="18"/>
                <w:lang w:val="en-CA" w:eastAsia="en-CA"/>
              </w:rPr>
              <w:t> </w:t>
            </w:r>
          </w:p>
        </w:tc>
      </w:tr>
      <w:tr w:rsidR="008A7C9B" w:rsidRPr="008D7D4A" w:rsidTr="00065EEC">
        <w:trPr>
          <w:trHeight w:val="300"/>
        </w:trPr>
        <w:tc>
          <w:tcPr>
            <w:tcW w:w="284" w:type="dxa"/>
            <w:tcBorders>
              <w:top w:val="nil"/>
              <w:left w:val="single" w:sz="4" w:space="0" w:color="auto"/>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Smoker</w:t>
            </w:r>
          </w:p>
        </w:tc>
        <w:tc>
          <w:tcPr>
            <w:tcW w:w="3119" w:type="dxa"/>
            <w:tcBorders>
              <w:top w:val="nil"/>
              <w:left w:val="single" w:sz="4" w:space="0" w:color="auto"/>
              <w:right w:val="single" w:sz="4" w:space="0" w:color="auto"/>
            </w:tcBorders>
            <w:shd w:val="clear" w:color="auto" w:fill="auto"/>
            <w:noWrap/>
            <w:vAlign w:val="center"/>
            <w:hideMark/>
          </w:tcPr>
          <w:p w:rsidR="008A7C9B" w:rsidRPr="00F6504F" w:rsidRDefault="008A7C9B" w:rsidP="00065EEC">
            <w:pPr>
              <w:spacing w:after="0"/>
              <w:rPr>
                <w:rFonts w:ascii="Calibri" w:eastAsia="Times New Roman" w:hAnsi="Calibri"/>
                <w:b/>
                <w:bCs/>
                <w:color w:val="000000"/>
                <w:sz w:val="18"/>
                <w:szCs w:val="18"/>
                <w:lang w:val="de-DE" w:eastAsia="en-CA"/>
              </w:rPr>
            </w:pPr>
            <w:r w:rsidRPr="00F6504F">
              <w:rPr>
                <w:rFonts w:ascii="Calibri" w:eastAsia="Times New Roman" w:hAnsi="Calibri"/>
                <w:b/>
                <w:bCs/>
                <w:color w:val="000000"/>
                <w:sz w:val="18"/>
                <w:szCs w:val="18"/>
                <w:lang w:val="de-DE" w:eastAsia="en-CA"/>
              </w:rPr>
              <w:t>Harlperin et al. 2008 - Am J Hypert</w:t>
            </w:r>
          </w:p>
        </w:tc>
        <w:tc>
          <w:tcPr>
            <w:tcW w:w="1559" w:type="dxa"/>
            <w:tcBorders>
              <w:top w:val="nil"/>
              <w:left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1.15 (1.03, 1.27)</w:t>
            </w:r>
          </w:p>
        </w:tc>
        <w:tc>
          <w:tcPr>
            <w:tcW w:w="1559" w:type="dxa"/>
            <w:tcBorders>
              <w:top w:val="nil"/>
              <w:left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1.15 (1.03, 1.27)</w:t>
            </w:r>
          </w:p>
        </w:tc>
      </w:tr>
      <w:tr w:rsidR="008A7C9B" w:rsidRPr="008D7D4A" w:rsidTr="00065EEC">
        <w:trPr>
          <w:trHeight w:val="300"/>
        </w:trPr>
        <w:tc>
          <w:tcPr>
            <w:tcW w:w="284" w:type="dxa"/>
            <w:tcBorders>
              <w:top w:val="nil"/>
              <w:left w:val="single" w:sz="4" w:space="0" w:color="auto"/>
              <w:bottom w:val="single" w:sz="4" w:space="0" w:color="auto"/>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single" w:sz="4" w:space="0" w:color="auto"/>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single" w:sz="4" w:space="0" w:color="auto"/>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Former smoker</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8A7C9B" w:rsidRPr="00F6504F" w:rsidRDefault="008A7C9B" w:rsidP="00065EEC">
            <w:pPr>
              <w:spacing w:after="0"/>
              <w:rPr>
                <w:rFonts w:ascii="Calibri" w:eastAsia="Times New Roman" w:hAnsi="Calibri"/>
                <w:b/>
                <w:bCs/>
                <w:color w:val="000000"/>
                <w:sz w:val="18"/>
                <w:szCs w:val="18"/>
                <w:lang w:val="de-DE" w:eastAsia="en-CA"/>
              </w:rPr>
            </w:pPr>
            <w:r w:rsidRPr="00F6504F">
              <w:rPr>
                <w:rFonts w:ascii="Calibri" w:eastAsia="Times New Roman" w:hAnsi="Calibri"/>
                <w:b/>
                <w:bCs/>
                <w:color w:val="000000"/>
                <w:sz w:val="18"/>
                <w:szCs w:val="18"/>
                <w:lang w:val="de-DE" w:eastAsia="en-CA"/>
              </w:rPr>
              <w:t>Harlperin et al. 2008 - Am J Hypert</w:t>
            </w:r>
          </w:p>
        </w:tc>
        <w:tc>
          <w:tcPr>
            <w:tcW w:w="1559" w:type="dxa"/>
            <w:tcBorders>
              <w:top w:val="nil"/>
              <w:left w:val="nil"/>
              <w:bottom w:val="single" w:sz="4" w:space="0" w:color="auto"/>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1.08 (1.01, 1.15)</w:t>
            </w:r>
          </w:p>
        </w:tc>
        <w:tc>
          <w:tcPr>
            <w:tcW w:w="1559" w:type="dxa"/>
            <w:tcBorders>
              <w:top w:val="nil"/>
              <w:left w:val="nil"/>
              <w:bottom w:val="single" w:sz="4" w:space="0" w:color="auto"/>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1.08 (1.01, 1.15)</w:t>
            </w:r>
          </w:p>
        </w:tc>
      </w:tr>
      <w:tr w:rsidR="008A7C9B" w:rsidRPr="008D7D4A" w:rsidTr="00065EEC">
        <w:trPr>
          <w:trHeight w:val="300"/>
        </w:trPr>
        <w:tc>
          <w:tcPr>
            <w:tcW w:w="1701" w:type="dxa"/>
            <w:gridSpan w:val="2"/>
            <w:tcBorders>
              <w:top w:val="single" w:sz="4" w:space="0" w:color="auto"/>
              <w:left w:val="single" w:sz="4" w:space="0" w:color="auto"/>
              <w:bottom w:val="nil"/>
              <w:right w:val="nil"/>
            </w:tcBorders>
            <w:shd w:val="clear" w:color="auto" w:fill="auto"/>
            <w:noWrap/>
            <w:vAlign w:val="center"/>
          </w:tcPr>
          <w:p w:rsidR="008A7C9B" w:rsidRPr="008D7D4A" w:rsidRDefault="008A7C9B" w:rsidP="00065EEC">
            <w:pPr>
              <w:spacing w:after="0"/>
              <w:rPr>
                <w:rFonts w:ascii="Calibri" w:eastAsia="Times New Roman" w:hAnsi="Calibri"/>
                <w:b/>
                <w:bCs/>
                <w:i/>
                <w:iCs/>
                <w:color w:val="000000"/>
                <w:sz w:val="18"/>
                <w:szCs w:val="18"/>
                <w:u w:val="single"/>
                <w:lang w:val="en-CA" w:eastAsia="en-CA"/>
              </w:rPr>
            </w:pPr>
          </w:p>
        </w:tc>
        <w:tc>
          <w:tcPr>
            <w:tcW w:w="1843" w:type="dxa"/>
            <w:tcBorders>
              <w:top w:val="single" w:sz="4" w:space="0" w:color="auto"/>
              <w:left w:val="single" w:sz="4" w:space="0" w:color="auto"/>
              <w:bottom w:val="nil"/>
              <w:right w:val="nil"/>
            </w:tcBorders>
            <w:shd w:val="clear" w:color="auto" w:fill="auto"/>
            <w:noWrap/>
          </w:tcPr>
          <w:p w:rsidR="008A7C9B" w:rsidRPr="003C1661" w:rsidRDefault="008A7C9B" w:rsidP="00065EEC">
            <w:pPr>
              <w:spacing w:after="0"/>
              <w:rPr>
                <w:rFonts w:ascii="Calibri" w:eastAsia="Times New Roman" w:hAnsi="Calibri"/>
                <w:iCs/>
                <w:color w:val="000000"/>
                <w:sz w:val="18"/>
                <w:szCs w:val="18"/>
                <w:lang w:val="en-CA" w:eastAsia="en-CA"/>
              </w:rPr>
            </w:pPr>
          </w:p>
        </w:tc>
        <w:tc>
          <w:tcPr>
            <w:tcW w:w="3119" w:type="dxa"/>
            <w:tcBorders>
              <w:top w:val="single" w:sz="4" w:space="0" w:color="auto"/>
              <w:left w:val="single" w:sz="4" w:space="0" w:color="auto"/>
              <w:bottom w:val="nil"/>
              <w:right w:val="single" w:sz="4" w:space="0" w:color="auto"/>
            </w:tcBorders>
            <w:shd w:val="clear" w:color="auto" w:fill="auto"/>
            <w:vAlign w:val="center"/>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559" w:type="dxa"/>
            <w:tcBorders>
              <w:top w:val="single" w:sz="4" w:space="0" w:color="auto"/>
              <w:left w:val="nil"/>
              <w:bottom w:val="nil"/>
              <w:right w:val="single" w:sz="4" w:space="0" w:color="auto"/>
            </w:tcBorders>
            <w:shd w:val="clear" w:color="auto" w:fill="auto"/>
            <w:noWrap/>
            <w:vAlign w:val="center"/>
          </w:tcPr>
          <w:p w:rsidR="008A7C9B" w:rsidRPr="008D7D4A" w:rsidRDefault="008A7C9B" w:rsidP="00065EEC">
            <w:pPr>
              <w:spacing w:after="0"/>
              <w:rPr>
                <w:rFonts w:ascii="Calibri" w:eastAsia="Times New Roman" w:hAnsi="Calibri"/>
                <w:b/>
                <w:bCs/>
                <w:color w:val="000000"/>
                <w:sz w:val="18"/>
                <w:szCs w:val="18"/>
                <w:lang w:val="en-CA" w:eastAsia="en-CA"/>
              </w:rPr>
            </w:pPr>
          </w:p>
        </w:tc>
        <w:tc>
          <w:tcPr>
            <w:tcW w:w="1559" w:type="dxa"/>
            <w:tcBorders>
              <w:top w:val="single" w:sz="4" w:space="0" w:color="auto"/>
              <w:left w:val="nil"/>
              <w:bottom w:val="nil"/>
              <w:right w:val="single" w:sz="4" w:space="0" w:color="auto"/>
            </w:tcBorders>
            <w:shd w:val="clear" w:color="auto" w:fill="auto"/>
            <w:noWrap/>
            <w:vAlign w:val="center"/>
          </w:tcPr>
          <w:p w:rsidR="008A7C9B" w:rsidRPr="008D7D4A" w:rsidRDefault="008A7C9B" w:rsidP="00065EEC">
            <w:pPr>
              <w:spacing w:after="0"/>
              <w:rPr>
                <w:rFonts w:ascii="Calibri" w:eastAsia="Times New Roman" w:hAnsi="Calibri"/>
                <w:b/>
                <w:bCs/>
                <w:color w:val="000000"/>
                <w:sz w:val="18"/>
                <w:szCs w:val="18"/>
                <w:lang w:val="en-CA" w:eastAsia="en-CA"/>
              </w:rPr>
            </w:pPr>
          </w:p>
        </w:tc>
      </w:tr>
      <w:tr w:rsidR="008A7C9B" w:rsidRPr="008D7D4A" w:rsidTr="00065EEC">
        <w:trPr>
          <w:trHeight w:val="300"/>
        </w:trPr>
        <w:tc>
          <w:tcPr>
            <w:tcW w:w="1701" w:type="dxa"/>
            <w:gridSpan w:val="2"/>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i/>
                <w:iCs/>
                <w:color w:val="000000"/>
                <w:sz w:val="18"/>
                <w:szCs w:val="18"/>
                <w:u w:val="single"/>
                <w:lang w:val="en-CA" w:eastAsia="en-CA"/>
              </w:rPr>
            </w:pPr>
            <w:r w:rsidRPr="008D7D4A">
              <w:rPr>
                <w:rFonts w:ascii="Calibri" w:eastAsia="Times New Roman" w:hAnsi="Calibri"/>
                <w:b/>
                <w:bCs/>
                <w:i/>
                <w:iCs/>
                <w:color w:val="000000"/>
                <w:sz w:val="18"/>
                <w:szCs w:val="18"/>
                <w:u w:val="single"/>
                <w:lang w:val="en-CA" w:eastAsia="en-CA"/>
              </w:rPr>
              <w:t>4)</w:t>
            </w:r>
            <w:r>
              <w:rPr>
                <w:rFonts w:ascii="Calibri" w:eastAsia="Times New Roman" w:hAnsi="Calibri"/>
                <w:b/>
                <w:bCs/>
                <w:i/>
                <w:iCs/>
                <w:color w:val="000000"/>
                <w:sz w:val="18"/>
                <w:szCs w:val="18"/>
                <w:u w:val="single"/>
                <w:lang w:val="en-CA" w:eastAsia="en-CA"/>
              </w:rPr>
              <w:t xml:space="preserve"> Metabolic diseases</w:t>
            </w: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iCs/>
                <w:color w:val="000000"/>
                <w:sz w:val="18"/>
                <w:szCs w:val="18"/>
                <w:lang w:val="en-CA" w:eastAsia="en-CA"/>
              </w:rPr>
            </w:pPr>
            <w:r w:rsidRPr="003C1661">
              <w:rPr>
                <w:rFonts w:ascii="Calibri" w:eastAsia="Times New Roman" w:hAnsi="Calibri"/>
                <w:iCs/>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300"/>
        </w:trPr>
        <w:tc>
          <w:tcPr>
            <w:tcW w:w="1701" w:type="dxa"/>
            <w:gridSpan w:val="2"/>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Type 2 diabetes</w:t>
            </w: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xml:space="preserve">Obesity </w:t>
            </w:r>
          </w:p>
        </w:tc>
        <w:tc>
          <w:tcPr>
            <w:tcW w:w="3119" w:type="dxa"/>
            <w:tcBorders>
              <w:top w:val="nil"/>
              <w:left w:val="single" w:sz="4" w:space="0" w:color="auto"/>
              <w:bottom w:val="nil"/>
              <w:right w:val="single" w:sz="4" w:space="0" w:color="auto"/>
            </w:tcBorders>
            <w:shd w:val="clear" w:color="auto" w:fill="auto"/>
            <w:vAlign w:val="center"/>
            <w:hideMark/>
          </w:tcPr>
          <w:p w:rsidR="008A7C9B" w:rsidRPr="003C1661" w:rsidRDefault="008A7C9B" w:rsidP="00065EEC">
            <w:pPr>
              <w:spacing w:after="0"/>
              <w:rPr>
                <w:rFonts w:ascii="Calibri" w:eastAsia="Times New Roman" w:hAnsi="Calibri"/>
                <w:b/>
                <w:bCs/>
                <w:color w:val="000000"/>
                <w:sz w:val="18"/>
                <w:szCs w:val="18"/>
                <w:lang w:val="fr-CA" w:eastAsia="en-CA"/>
              </w:rPr>
            </w:pPr>
            <w:r w:rsidRPr="003C1661">
              <w:rPr>
                <w:rFonts w:ascii="Calibri" w:eastAsia="Times New Roman" w:hAnsi="Calibri"/>
                <w:b/>
                <w:bCs/>
                <w:color w:val="000000"/>
                <w:sz w:val="18"/>
                <w:szCs w:val="18"/>
                <w:lang w:val="fr-CA" w:eastAsia="en-CA"/>
              </w:rPr>
              <w:t>Abdullah et al, 2010 - Diabetes Res Clin Pract</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6.48 (5.</w:t>
            </w:r>
            <w:r>
              <w:rPr>
                <w:rFonts w:ascii="Calibri" w:eastAsia="Times New Roman" w:hAnsi="Calibri"/>
                <w:b/>
                <w:bCs/>
                <w:color w:val="000000"/>
                <w:sz w:val="18"/>
                <w:szCs w:val="18"/>
                <w:lang w:val="en-CA" w:eastAsia="en-CA"/>
              </w:rPr>
              <w:t>17</w:t>
            </w:r>
            <w:r w:rsidRPr="008D7D4A">
              <w:rPr>
                <w:rFonts w:ascii="Calibri" w:eastAsia="Times New Roman" w:hAnsi="Calibri"/>
                <w:b/>
                <w:bCs/>
                <w:color w:val="000000"/>
                <w:sz w:val="18"/>
                <w:szCs w:val="18"/>
                <w:lang w:val="en-CA" w:eastAsia="en-CA"/>
              </w:rPr>
              <w:t>–8.13)</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8.38 (5.</w:t>
            </w:r>
            <w:r>
              <w:rPr>
                <w:rFonts w:ascii="Calibri" w:eastAsia="Times New Roman" w:hAnsi="Calibri"/>
                <w:b/>
                <w:bCs/>
                <w:color w:val="000000"/>
                <w:sz w:val="18"/>
                <w:szCs w:val="18"/>
                <w:lang w:val="en-CA" w:eastAsia="en-CA"/>
              </w:rPr>
              <w:t>46</w:t>
            </w:r>
            <w:r w:rsidRPr="008D7D4A">
              <w:rPr>
                <w:rFonts w:ascii="Calibri" w:eastAsia="Times New Roman" w:hAnsi="Calibri"/>
                <w:b/>
                <w:bCs/>
                <w:color w:val="000000"/>
                <w:sz w:val="18"/>
                <w:szCs w:val="18"/>
                <w:lang w:val="en-CA" w:eastAsia="en-CA"/>
              </w:rPr>
              <w:t>–12.85)</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Guh et al</w:t>
            </w:r>
            <w:r>
              <w:rPr>
                <w:rFonts w:ascii="Calibri" w:eastAsia="Times New Roman" w:hAnsi="Calibri"/>
                <w:color w:val="000000"/>
                <w:sz w:val="18"/>
                <w:szCs w:val="18"/>
                <w:lang w:val="en-CA" w:eastAsia="en-CA"/>
              </w:rPr>
              <w:t>.</w:t>
            </w:r>
            <w:r w:rsidRPr="008D7D4A">
              <w:rPr>
                <w:rFonts w:ascii="Calibri" w:eastAsia="Times New Roman" w:hAnsi="Calibri"/>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6.74 (5.55-8.19)</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12.41 (9.</w:t>
            </w:r>
            <w:r>
              <w:rPr>
                <w:rFonts w:ascii="Calibri" w:eastAsia="Times New Roman" w:hAnsi="Calibri"/>
                <w:color w:val="000000"/>
                <w:sz w:val="18"/>
                <w:szCs w:val="18"/>
                <w:lang w:val="en-CA" w:eastAsia="en-CA"/>
              </w:rPr>
              <w:t>03</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17.06)</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xml:space="preserve">Overweight </w:t>
            </w:r>
          </w:p>
        </w:tc>
        <w:tc>
          <w:tcPr>
            <w:tcW w:w="3119" w:type="dxa"/>
            <w:tcBorders>
              <w:top w:val="nil"/>
              <w:left w:val="single" w:sz="4" w:space="0" w:color="auto"/>
              <w:bottom w:val="nil"/>
              <w:right w:val="single" w:sz="4" w:space="0" w:color="auto"/>
            </w:tcBorders>
            <w:shd w:val="clear" w:color="auto" w:fill="auto"/>
            <w:vAlign w:val="center"/>
            <w:hideMark/>
          </w:tcPr>
          <w:p w:rsidR="008A7C9B" w:rsidRPr="003C1661" w:rsidRDefault="008A7C9B" w:rsidP="00065EEC">
            <w:pPr>
              <w:spacing w:after="0"/>
              <w:rPr>
                <w:rFonts w:ascii="Calibri" w:eastAsia="Times New Roman" w:hAnsi="Calibri"/>
                <w:b/>
                <w:bCs/>
                <w:color w:val="000000"/>
                <w:sz w:val="18"/>
                <w:szCs w:val="18"/>
                <w:lang w:val="fr-CA" w:eastAsia="en-CA"/>
              </w:rPr>
            </w:pPr>
            <w:r w:rsidRPr="003C1661">
              <w:rPr>
                <w:rFonts w:ascii="Calibri" w:eastAsia="Times New Roman" w:hAnsi="Calibri"/>
                <w:b/>
                <w:bCs/>
                <w:color w:val="000000"/>
                <w:sz w:val="18"/>
                <w:szCs w:val="18"/>
                <w:lang w:val="fr-CA" w:eastAsia="en-CA"/>
              </w:rPr>
              <w:t>Abdullah et al. 2010 - Diabetes Res Clin Pract</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2.63 (2</w:t>
            </w:r>
            <w:r>
              <w:rPr>
                <w:rFonts w:ascii="Calibri" w:eastAsia="Times New Roman" w:hAnsi="Calibri"/>
                <w:b/>
                <w:bCs/>
                <w:color w:val="000000"/>
                <w:sz w:val="18"/>
                <w:szCs w:val="18"/>
                <w:lang w:val="en-CA" w:eastAsia="en-CA"/>
              </w:rPr>
              <w:t>.09</w:t>
            </w:r>
            <w:r w:rsidRPr="008D7D4A">
              <w:rPr>
                <w:rFonts w:ascii="Calibri" w:eastAsia="Times New Roman" w:hAnsi="Calibri"/>
                <w:b/>
                <w:bCs/>
                <w:color w:val="000000"/>
                <w:sz w:val="18"/>
                <w:szCs w:val="18"/>
                <w:lang w:val="en-CA" w:eastAsia="en-CA"/>
              </w:rPr>
              <w:t>–3.32)</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3.69 (2.</w:t>
            </w:r>
            <w:r>
              <w:rPr>
                <w:rFonts w:ascii="Calibri" w:eastAsia="Times New Roman" w:hAnsi="Calibri"/>
                <w:b/>
                <w:bCs/>
                <w:color w:val="000000"/>
                <w:sz w:val="18"/>
                <w:szCs w:val="18"/>
                <w:lang w:val="en-CA" w:eastAsia="en-CA"/>
              </w:rPr>
              <w:t>52</w:t>
            </w:r>
            <w:r w:rsidRPr="008D7D4A">
              <w:rPr>
                <w:rFonts w:ascii="Calibri" w:eastAsia="Times New Roman" w:hAnsi="Calibri"/>
                <w:b/>
                <w:bCs/>
                <w:color w:val="000000"/>
                <w:sz w:val="18"/>
                <w:szCs w:val="18"/>
                <w:lang w:val="en-CA" w:eastAsia="en-CA"/>
              </w:rPr>
              <w:t>–5.40)</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Guh et al</w:t>
            </w:r>
            <w:r>
              <w:rPr>
                <w:rFonts w:ascii="Calibri" w:eastAsia="Times New Roman" w:hAnsi="Calibri"/>
                <w:color w:val="000000"/>
                <w:sz w:val="18"/>
                <w:szCs w:val="18"/>
                <w:lang w:val="en-CA" w:eastAsia="en-CA"/>
              </w:rPr>
              <w:t>.</w:t>
            </w:r>
            <w:r w:rsidRPr="008D7D4A">
              <w:rPr>
                <w:rFonts w:ascii="Calibri" w:eastAsia="Times New Roman" w:hAnsi="Calibri"/>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2.40 (2.</w:t>
            </w:r>
            <w:r>
              <w:rPr>
                <w:rFonts w:ascii="Calibri" w:eastAsia="Times New Roman" w:hAnsi="Calibri"/>
                <w:color w:val="000000"/>
                <w:sz w:val="18"/>
                <w:szCs w:val="18"/>
                <w:lang w:val="en-CA" w:eastAsia="en-CA"/>
              </w:rPr>
              <w:t>12</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2.72)</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3.92 (3</w:t>
            </w:r>
            <w:r>
              <w:rPr>
                <w:rFonts w:ascii="Calibri" w:eastAsia="Times New Roman" w:hAnsi="Calibri"/>
                <w:color w:val="000000"/>
                <w:sz w:val="18"/>
                <w:szCs w:val="18"/>
                <w:lang w:val="en-CA" w:eastAsia="en-CA"/>
              </w:rPr>
              <w:t>.10</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4.97)</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Physical inactivity</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3C1661" w:rsidRDefault="008A7C9B" w:rsidP="00065EEC">
            <w:pPr>
              <w:spacing w:after="0"/>
              <w:rPr>
                <w:rFonts w:ascii="Calibri" w:eastAsia="Times New Roman" w:hAnsi="Calibri"/>
                <w:b/>
                <w:bCs/>
                <w:color w:val="000000"/>
                <w:sz w:val="18"/>
                <w:szCs w:val="18"/>
                <w:lang w:val="fr-CA" w:eastAsia="en-CA"/>
              </w:rPr>
            </w:pPr>
            <w:r w:rsidRPr="003C1661">
              <w:rPr>
                <w:rFonts w:ascii="Calibri" w:eastAsia="Times New Roman" w:hAnsi="Calibri"/>
                <w:b/>
                <w:bCs/>
                <w:color w:val="000000"/>
                <w:sz w:val="18"/>
                <w:szCs w:val="18"/>
                <w:lang w:val="fr-CA" w:eastAsia="en-CA"/>
              </w:rPr>
              <w:t>Jeon et al. 2007 - Diabetes Care</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1.20 (1.</w:t>
            </w:r>
            <w:r>
              <w:rPr>
                <w:rFonts w:ascii="Calibri" w:eastAsia="Times New Roman" w:hAnsi="Calibri"/>
                <w:b/>
                <w:bCs/>
                <w:color w:val="000000"/>
                <w:sz w:val="18"/>
                <w:szCs w:val="18"/>
                <w:lang w:val="en-CA" w:eastAsia="en-CA"/>
              </w:rPr>
              <w:t>11</w:t>
            </w:r>
            <w:r w:rsidRPr="008D7D4A">
              <w:rPr>
                <w:rFonts w:ascii="Calibri" w:eastAsia="Times New Roman" w:hAnsi="Calibri"/>
                <w:b/>
                <w:bCs/>
                <w:color w:val="000000"/>
                <w:sz w:val="18"/>
                <w:szCs w:val="18"/>
                <w:lang w:val="en-CA" w:eastAsia="en-CA"/>
              </w:rPr>
              <w:t>–1.32)</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1.20 (1.</w:t>
            </w:r>
            <w:r>
              <w:rPr>
                <w:rFonts w:ascii="Calibri" w:eastAsia="Times New Roman" w:hAnsi="Calibri"/>
                <w:b/>
                <w:bCs/>
                <w:color w:val="000000"/>
                <w:sz w:val="18"/>
                <w:szCs w:val="18"/>
                <w:lang w:val="en-CA" w:eastAsia="en-CA"/>
              </w:rPr>
              <w:t>11</w:t>
            </w:r>
            <w:r w:rsidRPr="008D7D4A">
              <w:rPr>
                <w:rFonts w:ascii="Calibri" w:eastAsia="Times New Roman" w:hAnsi="Calibri"/>
                <w:b/>
                <w:bCs/>
                <w:color w:val="000000"/>
                <w:sz w:val="18"/>
                <w:szCs w:val="18"/>
                <w:lang w:val="en-CA" w:eastAsia="en-CA"/>
              </w:rPr>
              <w:t>–1.32)</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Katzmarzyk et al</w:t>
            </w:r>
            <w:r>
              <w:rPr>
                <w:rFonts w:ascii="Calibri" w:eastAsia="Times New Roman" w:hAnsi="Calibri"/>
                <w:color w:val="000000"/>
                <w:sz w:val="18"/>
                <w:szCs w:val="18"/>
                <w:lang w:val="en-CA" w:eastAsia="en-CA"/>
              </w:rPr>
              <w:t>.</w:t>
            </w:r>
            <w:r w:rsidRPr="008D7D4A">
              <w:rPr>
                <w:rFonts w:ascii="Calibri" w:eastAsia="Times New Roman" w:hAnsi="Calibri"/>
                <w:color w:val="000000"/>
                <w:sz w:val="18"/>
                <w:szCs w:val="18"/>
                <w:lang w:val="en-CA" w:eastAsia="en-CA"/>
              </w:rPr>
              <w:t xml:space="preserve"> 2004 - Can J Appl Physiol</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1.50 (1.</w:t>
            </w:r>
            <w:r>
              <w:rPr>
                <w:rFonts w:ascii="Calibri" w:eastAsia="Times New Roman" w:hAnsi="Calibri"/>
                <w:color w:val="000000"/>
                <w:sz w:val="18"/>
                <w:szCs w:val="18"/>
                <w:lang w:val="en-CA" w:eastAsia="en-CA"/>
              </w:rPr>
              <w:t>37</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1.63)</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1.50 (1.</w:t>
            </w:r>
            <w:r>
              <w:rPr>
                <w:rFonts w:ascii="Calibri" w:eastAsia="Times New Roman" w:hAnsi="Calibri"/>
                <w:color w:val="000000"/>
                <w:sz w:val="18"/>
                <w:szCs w:val="18"/>
                <w:lang w:val="en-CA" w:eastAsia="en-CA"/>
              </w:rPr>
              <w:t>37</w:t>
            </w:r>
            <w:r w:rsidRPr="00D469CC">
              <w:rPr>
                <w:rFonts w:ascii="Calibri" w:eastAsia="Times New Roman" w:hAnsi="Calibri"/>
                <w:bCs/>
                <w:color w:val="000000"/>
                <w:sz w:val="18"/>
                <w:szCs w:val="18"/>
                <w:lang w:val="en-CA" w:eastAsia="en-CA"/>
              </w:rPr>
              <w:t>–</w:t>
            </w:r>
            <w:r w:rsidRPr="008D7D4A">
              <w:rPr>
                <w:rFonts w:ascii="Calibri" w:eastAsia="Times New Roman" w:hAnsi="Calibri"/>
                <w:color w:val="000000"/>
                <w:sz w:val="18"/>
                <w:szCs w:val="18"/>
                <w:lang w:val="en-CA" w:eastAsia="en-CA"/>
              </w:rPr>
              <w:t>1.63)</w:t>
            </w:r>
          </w:p>
        </w:tc>
      </w:tr>
      <w:tr w:rsidR="008A7C9B" w:rsidRPr="008D7D4A" w:rsidTr="00065EEC">
        <w:trPr>
          <w:trHeight w:val="300"/>
        </w:trPr>
        <w:tc>
          <w:tcPr>
            <w:tcW w:w="284" w:type="dxa"/>
            <w:tcBorders>
              <w:top w:val="nil"/>
              <w:left w:val="single" w:sz="4" w:space="0" w:color="auto"/>
              <w:right w:val="nil"/>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 </w:t>
            </w:r>
          </w:p>
        </w:tc>
        <w:tc>
          <w:tcPr>
            <w:tcW w:w="1417" w:type="dxa"/>
            <w:tcBorders>
              <w:top w:val="nil"/>
              <w:left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720"/>
        </w:trPr>
        <w:tc>
          <w:tcPr>
            <w:tcW w:w="284" w:type="dxa"/>
            <w:tcBorders>
              <w:top w:val="nil"/>
              <w:left w:val="single" w:sz="4" w:space="0" w:color="auto"/>
              <w:bottom w:val="single" w:sz="4" w:space="0" w:color="auto"/>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single" w:sz="4" w:space="0" w:color="auto"/>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single" w:sz="4" w:space="0" w:color="auto"/>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Insufficient consumption</w:t>
            </w:r>
            <w:r>
              <w:rPr>
                <w:rFonts w:ascii="Calibri" w:eastAsia="Times New Roman" w:hAnsi="Calibri"/>
                <w:color w:val="000000"/>
                <w:sz w:val="18"/>
                <w:szCs w:val="18"/>
                <w:lang w:val="en-CA" w:eastAsia="en-CA"/>
              </w:rPr>
              <w:t xml:space="preserve"> of fruits and vegetables</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8A7C9B" w:rsidRPr="003C1661" w:rsidRDefault="008A7C9B" w:rsidP="00065EEC">
            <w:pPr>
              <w:spacing w:after="0"/>
              <w:rPr>
                <w:rFonts w:ascii="Calibri" w:eastAsia="Times New Roman" w:hAnsi="Calibri"/>
                <w:b/>
                <w:bCs/>
                <w:color w:val="000000"/>
                <w:sz w:val="18"/>
                <w:szCs w:val="18"/>
                <w:lang w:val="fr-CA" w:eastAsia="en-CA"/>
              </w:rPr>
            </w:pPr>
            <w:r w:rsidRPr="003C1661">
              <w:rPr>
                <w:rFonts w:ascii="Calibri" w:eastAsia="Times New Roman" w:hAnsi="Calibri"/>
                <w:b/>
                <w:bCs/>
                <w:color w:val="000000"/>
                <w:sz w:val="18"/>
                <w:szCs w:val="18"/>
                <w:lang w:val="fr-CA" w:eastAsia="en-CA"/>
              </w:rPr>
              <w:t>Hamer et al. 2007 – J Hypertens</w:t>
            </w:r>
          </w:p>
        </w:tc>
        <w:tc>
          <w:tcPr>
            <w:tcW w:w="1559" w:type="dxa"/>
            <w:tcBorders>
              <w:top w:val="nil"/>
              <w:left w:val="nil"/>
              <w:bottom w:val="single" w:sz="4" w:space="0" w:color="auto"/>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1.04 (0</w:t>
            </w:r>
            <w:r>
              <w:rPr>
                <w:rFonts w:ascii="Calibri" w:eastAsia="Times New Roman" w:hAnsi="Calibri"/>
                <w:b/>
                <w:bCs/>
                <w:color w:val="000000"/>
                <w:sz w:val="18"/>
                <w:szCs w:val="18"/>
                <w:lang w:val="en-CA" w:eastAsia="en-CA"/>
              </w:rPr>
              <w:t>.85</w:t>
            </w:r>
            <w:r w:rsidRPr="008D7D4A">
              <w:rPr>
                <w:rFonts w:ascii="Calibri" w:eastAsia="Times New Roman" w:hAnsi="Calibri"/>
                <w:b/>
                <w:bCs/>
                <w:color w:val="000000"/>
                <w:sz w:val="18"/>
                <w:szCs w:val="18"/>
                <w:lang w:val="en-CA" w:eastAsia="en-CA"/>
              </w:rPr>
              <w:t>–1.27)*</w:t>
            </w:r>
          </w:p>
        </w:tc>
        <w:tc>
          <w:tcPr>
            <w:tcW w:w="1559" w:type="dxa"/>
            <w:tcBorders>
              <w:top w:val="nil"/>
              <w:left w:val="nil"/>
              <w:bottom w:val="single" w:sz="4" w:space="0" w:color="auto"/>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1.04 (0.</w:t>
            </w:r>
            <w:r>
              <w:rPr>
                <w:rFonts w:ascii="Calibri" w:eastAsia="Times New Roman" w:hAnsi="Calibri"/>
                <w:b/>
                <w:bCs/>
                <w:color w:val="000000"/>
                <w:sz w:val="18"/>
                <w:szCs w:val="18"/>
                <w:lang w:val="en-CA" w:eastAsia="en-CA"/>
              </w:rPr>
              <w:t>85</w:t>
            </w:r>
            <w:r w:rsidRPr="008D7D4A">
              <w:rPr>
                <w:rFonts w:ascii="Calibri" w:eastAsia="Times New Roman" w:hAnsi="Calibri"/>
                <w:b/>
                <w:bCs/>
                <w:color w:val="000000"/>
                <w:sz w:val="18"/>
                <w:szCs w:val="18"/>
                <w:lang w:val="en-CA" w:eastAsia="en-CA"/>
              </w:rPr>
              <w:t>–1.27)*</w:t>
            </w:r>
          </w:p>
        </w:tc>
      </w:tr>
      <w:tr w:rsidR="008A7C9B" w:rsidRPr="008D7D4A" w:rsidTr="00065EEC">
        <w:trPr>
          <w:trHeight w:val="375"/>
        </w:trPr>
        <w:tc>
          <w:tcPr>
            <w:tcW w:w="1701" w:type="dxa"/>
            <w:gridSpan w:val="2"/>
            <w:tcBorders>
              <w:top w:val="single" w:sz="4" w:space="0" w:color="auto"/>
              <w:left w:val="single" w:sz="4" w:space="0" w:color="auto"/>
              <w:bottom w:val="nil"/>
              <w:right w:val="single" w:sz="4" w:space="0" w:color="000000"/>
            </w:tcBorders>
            <w:shd w:val="clear" w:color="auto" w:fill="auto"/>
            <w:noWrap/>
            <w:vAlign w:val="center"/>
          </w:tcPr>
          <w:p w:rsidR="008A7C9B" w:rsidRPr="008D7D4A" w:rsidRDefault="008A7C9B" w:rsidP="00065EEC">
            <w:pPr>
              <w:spacing w:after="0"/>
              <w:rPr>
                <w:rFonts w:ascii="Calibri" w:eastAsia="Times New Roman" w:hAnsi="Calibri"/>
                <w:b/>
                <w:bCs/>
                <w:i/>
                <w:iCs/>
                <w:color w:val="000000"/>
                <w:sz w:val="18"/>
                <w:szCs w:val="18"/>
                <w:u w:val="single"/>
                <w:lang w:val="en-CA" w:eastAsia="en-CA"/>
              </w:rPr>
            </w:pPr>
          </w:p>
        </w:tc>
        <w:tc>
          <w:tcPr>
            <w:tcW w:w="1843" w:type="dxa"/>
            <w:tcBorders>
              <w:top w:val="single" w:sz="4" w:space="0" w:color="auto"/>
              <w:left w:val="nil"/>
              <w:bottom w:val="nil"/>
              <w:right w:val="nil"/>
            </w:tcBorders>
            <w:shd w:val="clear" w:color="auto" w:fill="auto"/>
            <w:noWrap/>
          </w:tcPr>
          <w:p w:rsidR="008A7C9B" w:rsidRPr="003C1661" w:rsidRDefault="008A7C9B" w:rsidP="00065EEC">
            <w:pPr>
              <w:spacing w:after="0"/>
              <w:rPr>
                <w:rFonts w:ascii="Calibri" w:eastAsia="Times New Roman" w:hAnsi="Calibri"/>
                <w:color w:val="000000"/>
                <w:sz w:val="18"/>
                <w:szCs w:val="18"/>
                <w:lang w:val="en-CA" w:eastAsia="en-CA"/>
              </w:rPr>
            </w:pPr>
          </w:p>
        </w:tc>
        <w:tc>
          <w:tcPr>
            <w:tcW w:w="3119" w:type="dxa"/>
            <w:tcBorders>
              <w:top w:val="single" w:sz="4" w:space="0" w:color="auto"/>
              <w:left w:val="single" w:sz="4" w:space="0" w:color="auto"/>
              <w:bottom w:val="nil"/>
              <w:right w:val="single" w:sz="4" w:space="0" w:color="auto"/>
            </w:tcBorders>
            <w:shd w:val="clear" w:color="auto" w:fill="auto"/>
            <w:noWrap/>
            <w:vAlign w:val="center"/>
          </w:tcPr>
          <w:p w:rsidR="008A7C9B" w:rsidRPr="008D7D4A" w:rsidRDefault="008A7C9B" w:rsidP="00065EEC">
            <w:pPr>
              <w:spacing w:after="0"/>
              <w:rPr>
                <w:rFonts w:ascii="Calibri" w:eastAsia="Times New Roman" w:hAnsi="Calibri"/>
                <w:color w:val="000000"/>
                <w:sz w:val="18"/>
                <w:szCs w:val="18"/>
                <w:lang w:val="en-CA" w:eastAsia="en-CA"/>
              </w:rPr>
            </w:pPr>
          </w:p>
        </w:tc>
        <w:tc>
          <w:tcPr>
            <w:tcW w:w="1559" w:type="dxa"/>
            <w:tcBorders>
              <w:top w:val="single" w:sz="4" w:space="0" w:color="auto"/>
              <w:left w:val="nil"/>
              <w:bottom w:val="nil"/>
              <w:right w:val="single" w:sz="4" w:space="0" w:color="auto"/>
            </w:tcBorders>
            <w:shd w:val="clear" w:color="auto" w:fill="auto"/>
            <w:noWrap/>
            <w:vAlign w:val="center"/>
          </w:tcPr>
          <w:p w:rsidR="008A7C9B" w:rsidRPr="008D7D4A" w:rsidRDefault="008A7C9B" w:rsidP="00065EEC">
            <w:pPr>
              <w:spacing w:after="0"/>
              <w:rPr>
                <w:rFonts w:ascii="Calibri" w:eastAsia="Times New Roman" w:hAnsi="Calibri"/>
                <w:color w:val="000000"/>
                <w:sz w:val="18"/>
                <w:szCs w:val="18"/>
                <w:lang w:val="en-CA" w:eastAsia="en-CA"/>
              </w:rPr>
            </w:pPr>
          </w:p>
        </w:tc>
        <w:tc>
          <w:tcPr>
            <w:tcW w:w="1559" w:type="dxa"/>
            <w:tcBorders>
              <w:top w:val="single" w:sz="4" w:space="0" w:color="auto"/>
              <w:left w:val="nil"/>
              <w:bottom w:val="nil"/>
              <w:right w:val="single" w:sz="4" w:space="0" w:color="auto"/>
            </w:tcBorders>
            <w:shd w:val="clear" w:color="auto" w:fill="auto"/>
            <w:noWrap/>
            <w:vAlign w:val="center"/>
          </w:tcPr>
          <w:p w:rsidR="008A7C9B" w:rsidRPr="008D7D4A" w:rsidRDefault="008A7C9B" w:rsidP="00065EEC">
            <w:pPr>
              <w:spacing w:after="0"/>
              <w:rPr>
                <w:rFonts w:ascii="Calibri" w:eastAsia="Times New Roman" w:hAnsi="Calibri"/>
                <w:color w:val="000000"/>
                <w:sz w:val="18"/>
                <w:szCs w:val="18"/>
                <w:lang w:val="en-CA" w:eastAsia="en-CA"/>
              </w:rPr>
            </w:pPr>
          </w:p>
        </w:tc>
      </w:tr>
      <w:tr w:rsidR="008A7C9B" w:rsidRPr="008D7D4A" w:rsidTr="00065EEC">
        <w:trPr>
          <w:trHeight w:val="375"/>
        </w:trPr>
        <w:tc>
          <w:tcPr>
            <w:tcW w:w="1701" w:type="dxa"/>
            <w:gridSpan w:val="2"/>
            <w:tcBorders>
              <w:top w:val="nil"/>
              <w:left w:val="single" w:sz="4" w:space="0" w:color="auto"/>
              <w:bottom w:val="nil"/>
              <w:right w:val="single" w:sz="4" w:space="0" w:color="000000"/>
            </w:tcBorders>
            <w:shd w:val="clear" w:color="auto" w:fill="auto"/>
            <w:noWrap/>
            <w:vAlign w:val="center"/>
            <w:hideMark/>
          </w:tcPr>
          <w:p w:rsidR="008A7C9B" w:rsidRPr="008D7D4A" w:rsidRDefault="008A7C9B" w:rsidP="00065EEC">
            <w:pPr>
              <w:spacing w:after="0"/>
              <w:rPr>
                <w:rFonts w:ascii="Calibri" w:eastAsia="Times New Roman" w:hAnsi="Calibri"/>
                <w:b/>
                <w:bCs/>
                <w:i/>
                <w:iCs/>
                <w:color w:val="000000"/>
                <w:sz w:val="18"/>
                <w:szCs w:val="18"/>
                <w:u w:val="single"/>
                <w:lang w:val="en-CA" w:eastAsia="en-CA"/>
              </w:rPr>
            </w:pPr>
            <w:r w:rsidRPr="008D7D4A">
              <w:rPr>
                <w:rFonts w:ascii="Calibri" w:eastAsia="Times New Roman" w:hAnsi="Calibri"/>
                <w:b/>
                <w:bCs/>
                <w:i/>
                <w:iCs/>
                <w:color w:val="000000"/>
                <w:sz w:val="18"/>
                <w:szCs w:val="18"/>
                <w:u w:val="single"/>
                <w:lang w:val="en-CA" w:eastAsia="en-CA"/>
              </w:rPr>
              <w:t xml:space="preserve">5) </w:t>
            </w:r>
            <w:r>
              <w:rPr>
                <w:rFonts w:ascii="Calibri" w:eastAsia="Times New Roman" w:hAnsi="Calibri"/>
                <w:b/>
                <w:bCs/>
                <w:i/>
                <w:iCs/>
                <w:color w:val="000000"/>
                <w:sz w:val="18"/>
                <w:szCs w:val="18"/>
                <w:u w:val="single"/>
                <w:lang w:val="en-CA" w:eastAsia="en-CA"/>
              </w:rPr>
              <w:t>Musculoskeletal diseases</w:t>
            </w:r>
          </w:p>
        </w:tc>
        <w:tc>
          <w:tcPr>
            <w:tcW w:w="1843" w:type="dxa"/>
            <w:tcBorders>
              <w:top w:val="nil"/>
              <w:left w:val="nil"/>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48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Pr>
                <w:rFonts w:ascii="Calibri" w:eastAsia="Times New Roman" w:hAnsi="Calibri"/>
                <w:b/>
                <w:bCs/>
                <w:color w:val="000000"/>
                <w:sz w:val="18"/>
                <w:szCs w:val="18"/>
                <w:lang w:val="en-CA" w:eastAsia="en-CA"/>
              </w:rPr>
              <w:t>Oste</w:t>
            </w:r>
            <w:r w:rsidRPr="008D7D4A">
              <w:rPr>
                <w:rFonts w:ascii="Calibri" w:eastAsia="Times New Roman" w:hAnsi="Calibri"/>
                <w:b/>
                <w:bCs/>
                <w:color w:val="000000"/>
                <w:sz w:val="18"/>
                <w:szCs w:val="18"/>
                <w:lang w:val="en-CA" w:eastAsia="en-CA"/>
              </w:rPr>
              <w:t>oart</w:t>
            </w:r>
            <w:r>
              <w:rPr>
                <w:rFonts w:ascii="Calibri" w:eastAsia="Times New Roman" w:hAnsi="Calibri"/>
                <w:b/>
                <w:bCs/>
                <w:color w:val="000000"/>
                <w:sz w:val="18"/>
                <w:szCs w:val="18"/>
                <w:lang w:val="en-CA" w:eastAsia="en-CA"/>
              </w:rPr>
              <w:t>hritis (Arthrosi</w:t>
            </w:r>
            <w:r w:rsidRPr="008D7D4A">
              <w:rPr>
                <w:rFonts w:ascii="Calibri" w:eastAsia="Times New Roman" w:hAnsi="Calibri"/>
                <w:b/>
                <w:bCs/>
                <w:color w:val="000000"/>
                <w:sz w:val="18"/>
                <w:szCs w:val="18"/>
                <w:lang w:val="en-CA" w:eastAsia="en-CA"/>
              </w:rPr>
              <w:t>s)</w:t>
            </w: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Obesity</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Guh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4.20 (2.</w:t>
            </w:r>
            <w:r>
              <w:rPr>
                <w:rFonts w:ascii="Calibri" w:eastAsia="Times New Roman" w:hAnsi="Calibri"/>
                <w:b/>
                <w:bCs/>
                <w:color w:val="000000"/>
                <w:sz w:val="18"/>
                <w:szCs w:val="18"/>
                <w:lang w:val="en-CA" w:eastAsia="en-CA"/>
              </w:rPr>
              <w:t>75</w:t>
            </w:r>
            <w:r w:rsidRPr="008D7D4A">
              <w:rPr>
                <w:rFonts w:ascii="Calibri" w:eastAsia="Times New Roman" w:hAnsi="Calibri"/>
                <w:b/>
                <w:bCs/>
                <w:color w:val="000000"/>
                <w:sz w:val="18"/>
                <w:szCs w:val="18"/>
                <w:lang w:val="en-CA" w:eastAsia="en-CA"/>
              </w:rPr>
              <w:t>–6.41)</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1.96 (1</w:t>
            </w:r>
            <w:r>
              <w:rPr>
                <w:rFonts w:ascii="Calibri" w:eastAsia="Times New Roman" w:hAnsi="Calibri"/>
                <w:b/>
                <w:bCs/>
                <w:color w:val="000000"/>
                <w:sz w:val="18"/>
                <w:szCs w:val="18"/>
                <w:lang w:val="en-CA" w:eastAsia="en-CA"/>
              </w:rPr>
              <w:t>.88</w:t>
            </w:r>
            <w:r w:rsidRPr="008D7D4A">
              <w:rPr>
                <w:rFonts w:ascii="Calibri" w:eastAsia="Times New Roman" w:hAnsi="Calibri"/>
                <w:b/>
                <w:bCs/>
                <w:color w:val="000000"/>
                <w:sz w:val="18"/>
                <w:szCs w:val="18"/>
                <w:lang w:val="en-CA" w:eastAsia="en-CA"/>
              </w:rPr>
              <w:t>–2.04)*</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xml:space="preserve">Overweight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Guh et al</w:t>
            </w:r>
            <w:r>
              <w:rPr>
                <w:rFonts w:ascii="Calibri" w:eastAsia="Times New Roman" w:hAnsi="Calibri"/>
                <w:b/>
                <w:bCs/>
                <w:color w:val="000000"/>
                <w:sz w:val="18"/>
                <w:szCs w:val="18"/>
                <w:lang w:val="en-CA" w:eastAsia="en-CA"/>
              </w:rPr>
              <w:t>.</w:t>
            </w:r>
            <w:r w:rsidRPr="008D7D4A">
              <w:rPr>
                <w:rFonts w:ascii="Calibri" w:eastAsia="Times New Roman" w:hAnsi="Calibri"/>
                <w:b/>
                <w:bCs/>
                <w:color w:val="000000"/>
                <w:sz w:val="18"/>
                <w:szCs w:val="18"/>
                <w:lang w:val="en-CA" w:eastAsia="en-CA"/>
              </w:rPr>
              <w:t xml:space="preserve"> 2009 - BMC Public Health</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2.76 (2.</w:t>
            </w:r>
            <w:r>
              <w:rPr>
                <w:rFonts w:ascii="Calibri" w:eastAsia="Times New Roman" w:hAnsi="Calibri"/>
                <w:b/>
                <w:bCs/>
                <w:color w:val="000000"/>
                <w:sz w:val="18"/>
                <w:szCs w:val="18"/>
                <w:lang w:val="en-CA" w:eastAsia="en-CA"/>
              </w:rPr>
              <w:t>05</w:t>
            </w:r>
            <w:r w:rsidRPr="008D7D4A">
              <w:rPr>
                <w:rFonts w:ascii="Calibri" w:eastAsia="Times New Roman" w:hAnsi="Calibri"/>
                <w:b/>
                <w:bCs/>
                <w:color w:val="000000"/>
                <w:sz w:val="18"/>
                <w:szCs w:val="18"/>
                <w:lang w:val="en-CA" w:eastAsia="en-CA"/>
              </w:rPr>
              <w:t>–3.70)</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1.80 (1.</w:t>
            </w:r>
            <w:r>
              <w:rPr>
                <w:rFonts w:ascii="Calibri" w:eastAsia="Times New Roman" w:hAnsi="Calibri"/>
                <w:b/>
                <w:bCs/>
                <w:color w:val="000000"/>
                <w:sz w:val="18"/>
                <w:szCs w:val="18"/>
                <w:lang w:val="en-CA" w:eastAsia="en-CA"/>
              </w:rPr>
              <w:t>75</w:t>
            </w:r>
            <w:r w:rsidRPr="008D7D4A">
              <w:rPr>
                <w:rFonts w:ascii="Calibri" w:eastAsia="Times New Roman" w:hAnsi="Calibri"/>
                <w:b/>
                <w:bCs/>
                <w:color w:val="000000"/>
                <w:sz w:val="18"/>
                <w:szCs w:val="18"/>
                <w:lang w:val="en-CA" w:eastAsia="en-CA"/>
              </w:rPr>
              <w:t>–1.85)*</w:t>
            </w:r>
          </w:p>
        </w:tc>
      </w:tr>
      <w:tr w:rsidR="008A7C9B" w:rsidRPr="008D7D4A" w:rsidTr="00065EEC">
        <w:trPr>
          <w:trHeight w:val="300"/>
        </w:trPr>
        <w:tc>
          <w:tcPr>
            <w:tcW w:w="284" w:type="dxa"/>
            <w:tcBorders>
              <w:top w:val="nil"/>
              <w:left w:val="single" w:sz="4" w:space="0" w:color="auto"/>
              <w:bottom w:val="nil"/>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417" w:type="dxa"/>
            <w:tcBorders>
              <w:top w:val="nil"/>
              <w:left w:val="nil"/>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p>
        </w:tc>
        <w:tc>
          <w:tcPr>
            <w:tcW w:w="1843" w:type="dxa"/>
            <w:tcBorders>
              <w:top w:val="nil"/>
              <w:left w:val="single" w:sz="4" w:space="0" w:color="auto"/>
              <w:bottom w:val="nil"/>
              <w:right w:val="nil"/>
            </w:tcBorders>
            <w:shd w:val="clear" w:color="auto" w:fill="auto"/>
            <w:noWrap/>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 </w:t>
            </w:r>
          </w:p>
        </w:tc>
        <w:tc>
          <w:tcPr>
            <w:tcW w:w="3119" w:type="dxa"/>
            <w:tcBorders>
              <w:top w:val="nil"/>
              <w:left w:val="single" w:sz="4" w:space="0" w:color="auto"/>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r w:rsidR="008A7C9B" w:rsidRPr="008D7D4A" w:rsidTr="00065EEC">
        <w:trPr>
          <w:trHeight w:val="480"/>
        </w:trPr>
        <w:tc>
          <w:tcPr>
            <w:tcW w:w="284" w:type="dxa"/>
            <w:tcBorders>
              <w:top w:val="nil"/>
              <w:left w:val="single" w:sz="4" w:space="0" w:color="auto"/>
              <w:bottom w:val="nil"/>
              <w:right w:val="nil"/>
            </w:tcBorders>
            <w:shd w:val="clear" w:color="auto" w:fill="auto"/>
            <w:noWrap/>
            <w:vAlign w:val="center"/>
            <w:hideMark/>
          </w:tcPr>
          <w:p w:rsidR="008A7C9B" w:rsidRPr="008D7D4A" w:rsidRDefault="008A7C9B" w:rsidP="00065EEC">
            <w:pPr>
              <w:spacing w:after="0"/>
              <w:rPr>
                <w:rFonts w:ascii="Calibri" w:eastAsia="Times New Roman" w:hAnsi="Calibri"/>
                <w:b/>
                <w:bCs/>
                <w:i/>
                <w:iCs/>
                <w:color w:val="000000"/>
                <w:sz w:val="18"/>
                <w:szCs w:val="18"/>
                <w:lang w:val="en-CA" w:eastAsia="en-CA"/>
              </w:rPr>
            </w:pPr>
            <w:r w:rsidRPr="008D7D4A">
              <w:rPr>
                <w:rFonts w:ascii="Calibri" w:eastAsia="Times New Roman" w:hAnsi="Calibri"/>
                <w:b/>
                <w:bCs/>
                <w:i/>
                <w:iCs/>
                <w:color w:val="000000"/>
                <w:sz w:val="18"/>
                <w:szCs w:val="18"/>
                <w:lang w:val="en-CA" w:eastAsia="en-CA"/>
              </w:rPr>
              <w:t> </w:t>
            </w:r>
          </w:p>
        </w:tc>
        <w:tc>
          <w:tcPr>
            <w:tcW w:w="1417" w:type="dxa"/>
            <w:tcBorders>
              <w:top w:val="nil"/>
              <w:left w:val="nil"/>
              <w:bottom w:val="nil"/>
              <w:right w:val="nil"/>
            </w:tcBorders>
            <w:shd w:val="clear" w:color="auto" w:fill="auto"/>
            <w:vAlign w:val="center"/>
            <w:hideMark/>
          </w:tcPr>
          <w:p w:rsidR="008A7C9B" w:rsidRPr="008D7D4A" w:rsidRDefault="008A7C9B" w:rsidP="00065EEC">
            <w:pPr>
              <w:spacing w:after="0"/>
              <w:rPr>
                <w:rFonts w:ascii="Calibri" w:eastAsia="Times New Roman" w:hAnsi="Calibri"/>
                <w:b/>
                <w:bCs/>
                <w:i/>
                <w:iCs/>
                <w:color w:val="000000"/>
                <w:sz w:val="18"/>
                <w:szCs w:val="18"/>
                <w:lang w:val="en-CA" w:eastAsia="en-CA"/>
              </w:rPr>
            </w:pPr>
            <w:r>
              <w:rPr>
                <w:rFonts w:ascii="Calibri" w:eastAsia="Times New Roman" w:hAnsi="Calibri"/>
                <w:b/>
                <w:bCs/>
                <w:i/>
                <w:iCs/>
                <w:color w:val="000000"/>
                <w:sz w:val="18"/>
                <w:szCs w:val="18"/>
                <w:lang w:val="en-CA" w:eastAsia="en-CA"/>
              </w:rPr>
              <w:t>Osteoporosi</w:t>
            </w:r>
            <w:r w:rsidRPr="008D7D4A">
              <w:rPr>
                <w:rFonts w:ascii="Calibri" w:eastAsia="Times New Roman" w:hAnsi="Calibri"/>
                <w:b/>
                <w:bCs/>
                <w:i/>
                <w:iCs/>
                <w:color w:val="000000"/>
                <w:sz w:val="18"/>
                <w:szCs w:val="18"/>
                <w:lang w:val="en-CA" w:eastAsia="en-CA"/>
              </w:rPr>
              <w:t>s</w:t>
            </w:r>
          </w:p>
        </w:tc>
        <w:tc>
          <w:tcPr>
            <w:tcW w:w="1843" w:type="dxa"/>
            <w:tcBorders>
              <w:top w:val="nil"/>
              <w:left w:val="single" w:sz="4" w:space="0" w:color="auto"/>
              <w:bottom w:val="nil"/>
              <w:right w:val="nil"/>
            </w:tcBorders>
            <w:shd w:val="clear" w:color="auto" w:fill="auto"/>
            <w:hideMark/>
          </w:tcPr>
          <w:p w:rsidR="008A7C9B" w:rsidRPr="003C1661" w:rsidRDefault="008A7C9B" w:rsidP="00065EEC">
            <w:pPr>
              <w:spacing w:after="0"/>
              <w:rPr>
                <w:rFonts w:ascii="Calibri" w:eastAsia="Times New Roman" w:hAnsi="Calibri"/>
                <w:color w:val="000000"/>
                <w:sz w:val="18"/>
                <w:szCs w:val="18"/>
                <w:lang w:val="en-CA" w:eastAsia="en-CA"/>
              </w:rPr>
            </w:pPr>
            <w:r w:rsidRPr="003C1661">
              <w:rPr>
                <w:rFonts w:ascii="Calibri" w:eastAsia="Times New Roman" w:hAnsi="Calibri"/>
                <w:color w:val="000000"/>
                <w:sz w:val="18"/>
                <w:szCs w:val="18"/>
                <w:lang w:val="en-CA" w:eastAsia="en-CA"/>
              </w:rPr>
              <w:t>Physical inactivity (</w:t>
            </w:r>
          </w:p>
        </w:tc>
        <w:tc>
          <w:tcPr>
            <w:tcW w:w="3119" w:type="dxa"/>
            <w:tcBorders>
              <w:top w:val="nil"/>
              <w:left w:val="single" w:sz="4" w:space="0" w:color="auto"/>
              <w:bottom w:val="nil"/>
              <w:right w:val="single" w:sz="4" w:space="0" w:color="auto"/>
            </w:tcBorders>
            <w:shd w:val="clear" w:color="auto" w:fill="auto"/>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Katzmarzyk 2004</w:t>
            </w:r>
            <w:r>
              <w:rPr>
                <w:rFonts w:ascii="Calibri" w:eastAsia="Times New Roman" w:hAnsi="Calibri"/>
                <w:b/>
                <w:bCs/>
                <w:color w:val="000000"/>
                <w:sz w:val="18"/>
                <w:szCs w:val="18"/>
                <w:lang w:val="en-CA" w:eastAsia="en-CA"/>
              </w:rPr>
              <w:t xml:space="preserve"> -</w:t>
            </w:r>
            <w:r w:rsidRPr="008D7D4A">
              <w:rPr>
                <w:rFonts w:ascii="Calibri" w:eastAsia="Times New Roman" w:hAnsi="Calibri"/>
                <w:b/>
                <w:bCs/>
                <w:color w:val="000000"/>
                <w:sz w:val="18"/>
                <w:szCs w:val="18"/>
                <w:lang w:val="en-CA" w:eastAsia="en-CA"/>
              </w:rPr>
              <w:t xml:space="preserve"> Can J Appl Physio</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1.59 (1</w:t>
            </w:r>
            <w:r>
              <w:rPr>
                <w:rFonts w:ascii="Calibri" w:eastAsia="Times New Roman" w:hAnsi="Calibri"/>
                <w:b/>
                <w:bCs/>
                <w:color w:val="000000"/>
                <w:sz w:val="18"/>
                <w:szCs w:val="18"/>
                <w:lang w:val="en-CA" w:eastAsia="en-CA"/>
              </w:rPr>
              <w:t>.40</w:t>
            </w:r>
            <w:r w:rsidRPr="008D7D4A">
              <w:rPr>
                <w:rFonts w:ascii="Calibri" w:eastAsia="Times New Roman" w:hAnsi="Calibri"/>
                <w:b/>
                <w:bCs/>
                <w:color w:val="000000"/>
                <w:sz w:val="18"/>
                <w:szCs w:val="18"/>
                <w:lang w:val="en-CA" w:eastAsia="en-CA"/>
              </w:rPr>
              <w:t>–1.80)</w:t>
            </w:r>
          </w:p>
        </w:tc>
        <w:tc>
          <w:tcPr>
            <w:tcW w:w="1559" w:type="dxa"/>
            <w:tcBorders>
              <w:top w:val="nil"/>
              <w:left w:val="nil"/>
              <w:bottom w:val="nil"/>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b/>
                <w:bCs/>
                <w:color w:val="000000"/>
                <w:sz w:val="18"/>
                <w:szCs w:val="18"/>
                <w:lang w:val="en-CA" w:eastAsia="en-CA"/>
              </w:rPr>
            </w:pPr>
            <w:r w:rsidRPr="008D7D4A">
              <w:rPr>
                <w:rFonts w:ascii="Calibri" w:eastAsia="Times New Roman" w:hAnsi="Calibri"/>
                <w:b/>
                <w:bCs/>
                <w:color w:val="000000"/>
                <w:sz w:val="18"/>
                <w:szCs w:val="18"/>
                <w:lang w:val="en-CA" w:eastAsia="en-CA"/>
              </w:rPr>
              <w:t>1.59 (1.</w:t>
            </w:r>
            <w:r>
              <w:rPr>
                <w:rFonts w:ascii="Calibri" w:eastAsia="Times New Roman" w:hAnsi="Calibri"/>
                <w:b/>
                <w:bCs/>
                <w:color w:val="000000"/>
                <w:sz w:val="18"/>
                <w:szCs w:val="18"/>
                <w:lang w:val="en-CA" w:eastAsia="en-CA"/>
              </w:rPr>
              <w:t>40</w:t>
            </w:r>
            <w:r w:rsidRPr="008D7D4A">
              <w:rPr>
                <w:rFonts w:ascii="Calibri" w:eastAsia="Times New Roman" w:hAnsi="Calibri"/>
                <w:b/>
                <w:bCs/>
                <w:color w:val="000000"/>
                <w:sz w:val="18"/>
                <w:szCs w:val="18"/>
                <w:lang w:val="en-CA" w:eastAsia="en-CA"/>
              </w:rPr>
              <w:t>–1.80)</w:t>
            </w:r>
          </w:p>
        </w:tc>
      </w:tr>
      <w:tr w:rsidR="008A7C9B" w:rsidRPr="008D7D4A" w:rsidTr="00065EEC">
        <w:trPr>
          <w:trHeight w:val="80"/>
        </w:trPr>
        <w:tc>
          <w:tcPr>
            <w:tcW w:w="284" w:type="dxa"/>
            <w:tcBorders>
              <w:top w:val="nil"/>
              <w:left w:val="single" w:sz="4" w:space="0" w:color="auto"/>
              <w:bottom w:val="single" w:sz="4" w:space="0" w:color="auto"/>
              <w:right w:val="nil"/>
            </w:tcBorders>
            <w:shd w:val="clear" w:color="auto" w:fill="auto"/>
            <w:noWrap/>
            <w:vAlign w:val="center"/>
            <w:hideMark/>
          </w:tcPr>
          <w:p w:rsidR="008A7C9B" w:rsidRPr="008D7D4A" w:rsidRDefault="008A7C9B" w:rsidP="00065EEC">
            <w:pPr>
              <w:spacing w:after="0"/>
              <w:rPr>
                <w:rFonts w:ascii="Calibri" w:eastAsia="Times New Roman" w:hAnsi="Calibri"/>
                <w:b/>
                <w:bCs/>
                <w:i/>
                <w:iCs/>
                <w:color w:val="000000"/>
                <w:sz w:val="18"/>
                <w:szCs w:val="18"/>
                <w:lang w:val="en-CA" w:eastAsia="en-CA"/>
              </w:rPr>
            </w:pPr>
            <w:r w:rsidRPr="008D7D4A">
              <w:rPr>
                <w:rFonts w:ascii="Calibri" w:eastAsia="Times New Roman" w:hAnsi="Calibri"/>
                <w:b/>
                <w:bCs/>
                <w:i/>
                <w:iCs/>
                <w:color w:val="000000"/>
                <w:sz w:val="18"/>
                <w:szCs w:val="18"/>
                <w:lang w:val="en-CA" w:eastAsia="en-CA"/>
              </w:rPr>
              <w:t> </w:t>
            </w:r>
          </w:p>
        </w:tc>
        <w:tc>
          <w:tcPr>
            <w:tcW w:w="1417" w:type="dxa"/>
            <w:tcBorders>
              <w:top w:val="nil"/>
              <w:left w:val="nil"/>
              <w:bottom w:val="single" w:sz="4" w:space="0" w:color="auto"/>
              <w:right w:val="nil"/>
            </w:tcBorders>
            <w:shd w:val="clear" w:color="auto" w:fill="auto"/>
            <w:noWrap/>
            <w:vAlign w:val="bottom"/>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843" w:type="dxa"/>
            <w:tcBorders>
              <w:top w:val="nil"/>
              <w:left w:val="single" w:sz="4" w:space="0" w:color="auto"/>
              <w:bottom w:val="single" w:sz="4" w:space="0" w:color="auto"/>
              <w:right w:val="nil"/>
            </w:tcBorders>
            <w:shd w:val="clear" w:color="auto" w:fill="auto"/>
            <w:noWrap/>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single" w:sz="4" w:space="0" w:color="auto"/>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c>
          <w:tcPr>
            <w:tcW w:w="1559" w:type="dxa"/>
            <w:tcBorders>
              <w:top w:val="nil"/>
              <w:left w:val="nil"/>
              <w:bottom w:val="single" w:sz="4" w:space="0" w:color="auto"/>
              <w:right w:val="single" w:sz="4" w:space="0" w:color="auto"/>
            </w:tcBorders>
            <w:shd w:val="clear" w:color="auto" w:fill="auto"/>
            <w:noWrap/>
            <w:vAlign w:val="center"/>
            <w:hideMark/>
          </w:tcPr>
          <w:p w:rsidR="008A7C9B" w:rsidRPr="008D7D4A" w:rsidRDefault="008A7C9B" w:rsidP="00065EEC">
            <w:pPr>
              <w:spacing w:after="0"/>
              <w:rPr>
                <w:rFonts w:ascii="Calibri" w:eastAsia="Times New Roman" w:hAnsi="Calibri"/>
                <w:color w:val="000000"/>
                <w:sz w:val="18"/>
                <w:szCs w:val="18"/>
                <w:lang w:val="en-CA" w:eastAsia="en-CA"/>
              </w:rPr>
            </w:pPr>
            <w:r w:rsidRPr="008D7D4A">
              <w:rPr>
                <w:rFonts w:ascii="Calibri" w:eastAsia="Times New Roman" w:hAnsi="Calibri"/>
                <w:color w:val="000000"/>
                <w:sz w:val="18"/>
                <w:szCs w:val="18"/>
                <w:lang w:val="en-CA" w:eastAsia="en-CA"/>
              </w:rPr>
              <w:t> </w:t>
            </w:r>
          </w:p>
        </w:tc>
      </w:tr>
    </w:tbl>
    <w:p w:rsidR="008A7C9B" w:rsidRPr="008D7D4A" w:rsidRDefault="008A7C9B" w:rsidP="008A7C9B">
      <w:pPr>
        <w:rPr>
          <w:lang w:val="en-CA"/>
        </w:rPr>
      </w:pPr>
    </w:p>
    <w:p w:rsidR="00F67A99" w:rsidRPr="00BD3D52" w:rsidRDefault="008A7C9B" w:rsidP="00F24C71">
      <w:pPr>
        <w:rPr>
          <w:b/>
          <w:u w:val="single"/>
          <w:lang w:val="en-CA"/>
        </w:rPr>
      </w:pPr>
      <w:r>
        <w:rPr>
          <w:b/>
          <w:lang w:val="en-CA"/>
        </w:rPr>
        <w:br w:type="page"/>
      </w:r>
    </w:p>
    <w:p w:rsidR="00F67A99" w:rsidRDefault="00F67A99" w:rsidP="00F67A99">
      <w:pPr>
        <w:spacing w:after="0"/>
        <w:rPr>
          <w:b/>
          <w:lang w:val="en-CA"/>
        </w:rPr>
      </w:pPr>
      <w:r w:rsidRPr="008D7D4A">
        <w:rPr>
          <w:b/>
          <w:color w:val="000000"/>
          <w:lang w:val="en-CA" w:eastAsia="fr-CA"/>
        </w:rPr>
        <w:lastRenderedPageBreak/>
        <w:t xml:space="preserve">Table </w:t>
      </w:r>
      <w:r w:rsidR="00F518CC">
        <w:rPr>
          <w:b/>
          <w:color w:val="000000"/>
          <w:lang w:val="en-CA" w:eastAsia="fr-CA"/>
        </w:rPr>
        <w:t>S2</w:t>
      </w:r>
      <w:r w:rsidRPr="008D7D4A">
        <w:rPr>
          <w:b/>
          <w:color w:val="000000"/>
          <w:lang w:val="en-CA" w:eastAsia="fr-CA"/>
        </w:rPr>
        <w:t xml:space="preserve">. </w:t>
      </w:r>
      <w:r w:rsidRPr="008D7D4A">
        <w:rPr>
          <w:b/>
          <w:lang w:val="en-CA"/>
        </w:rPr>
        <w:t xml:space="preserve">Activities targeted by the healthy lifestyle habits promotion </w:t>
      </w:r>
      <w:r>
        <w:rPr>
          <w:b/>
          <w:lang w:val="en-CA"/>
        </w:rPr>
        <w:t>strategy</w:t>
      </w:r>
      <w:r w:rsidRPr="008D7D4A">
        <w:rPr>
          <w:b/>
          <w:lang w:val="en-CA"/>
        </w:rPr>
        <w:t xml:space="preserve"> and their sources of funding</w:t>
      </w:r>
      <w:r w:rsidR="003D2654">
        <w:rPr>
          <w:b/>
          <w:lang w:val="en-CA"/>
        </w:rPr>
        <w:t xml:space="preserve">, </w:t>
      </w:r>
      <w:r w:rsidR="00F10509">
        <w:rPr>
          <w:b/>
          <w:lang w:val="en-CA"/>
        </w:rPr>
        <w:t>Quebec</w:t>
      </w:r>
      <w:r w:rsidR="003D2654">
        <w:rPr>
          <w:b/>
          <w:lang w:val="en-CA"/>
        </w:rPr>
        <w:t xml:space="preserve"> 2010-2011</w:t>
      </w:r>
      <w:r w:rsidR="00783904">
        <w:rPr>
          <w:b/>
          <w:lang w:val="en-CA"/>
        </w:rPr>
        <w:t xml:space="preserve">. </w:t>
      </w:r>
      <w:r w:rsidR="00783904">
        <w:rPr>
          <w:b/>
          <w:bCs/>
          <w:lang w:val="en-CA" w:eastAsia="fr-CA"/>
        </w:rPr>
        <w:t>Canada 2016</w:t>
      </w:r>
    </w:p>
    <w:p w:rsidR="00F67A99" w:rsidRPr="008D7D4A" w:rsidRDefault="00F67A99" w:rsidP="00F67A99">
      <w:pPr>
        <w:spacing w:after="0"/>
        <w:rPr>
          <w:b/>
          <w:lang w:val="en-CA"/>
        </w:rPr>
      </w:pPr>
    </w:p>
    <w:tbl>
      <w:tblPr>
        <w:tblW w:w="9560" w:type="dxa"/>
        <w:jc w:val="center"/>
        <w:tblLook w:val="04A0" w:firstRow="1" w:lastRow="0" w:firstColumn="1" w:lastColumn="0" w:noHBand="0" w:noVBand="1"/>
      </w:tblPr>
      <w:tblGrid>
        <w:gridCol w:w="2072"/>
        <w:gridCol w:w="2298"/>
        <w:gridCol w:w="2520"/>
        <w:gridCol w:w="2670"/>
      </w:tblGrid>
      <w:tr w:rsidR="00F67A99" w:rsidRPr="008D7D4A" w:rsidTr="00632D6B">
        <w:trPr>
          <w:trHeight w:val="57"/>
          <w:jc w:val="center"/>
        </w:trPr>
        <w:tc>
          <w:tcPr>
            <w:tcW w:w="2072"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jc w:val="center"/>
              <w:rPr>
                <w:b/>
                <w:sz w:val="20"/>
                <w:lang w:val="en-CA"/>
              </w:rPr>
            </w:pPr>
            <w:r w:rsidRPr="008D7D4A">
              <w:rPr>
                <w:b/>
                <w:sz w:val="20"/>
                <w:lang w:val="en-CA"/>
              </w:rPr>
              <w:t>Activity category</w:t>
            </w:r>
          </w:p>
        </w:tc>
        <w:tc>
          <w:tcPr>
            <w:tcW w:w="2298"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jc w:val="center"/>
              <w:rPr>
                <w:b/>
                <w:sz w:val="20"/>
                <w:lang w:val="en-CA"/>
              </w:rPr>
            </w:pPr>
            <w:r w:rsidRPr="008D7D4A">
              <w:rPr>
                <w:b/>
                <w:sz w:val="20"/>
                <w:lang w:val="en-CA"/>
              </w:rPr>
              <w:t>Activity subcategory and funding source</w:t>
            </w:r>
          </w:p>
        </w:tc>
        <w:tc>
          <w:tcPr>
            <w:tcW w:w="2520"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jc w:val="center"/>
              <w:rPr>
                <w:b/>
                <w:sz w:val="20"/>
                <w:lang w:val="en-CA"/>
              </w:rPr>
            </w:pPr>
            <w:r w:rsidRPr="008D7D4A">
              <w:rPr>
                <w:b/>
                <w:sz w:val="20"/>
                <w:lang w:val="en-CA"/>
              </w:rPr>
              <w:t>Examples of interventions</w:t>
            </w:r>
          </w:p>
        </w:tc>
        <w:tc>
          <w:tcPr>
            <w:tcW w:w="2670"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jc w:val="center"/>
              <w:rPr>
                <w:b/>
                <w:sz w:val="20"/>
                <w:highlight w:val="yellow"/>
                <w:lang w:val="en-CA"/>
              </w:rPr>
            </w:pPr>
            <w:r w:rsidRPr="008D7D4A">
              <w:rPr>
                <w:b/>
                <w:sz w:val="20"/>
                <w:lang w:val="en-CA"/>
              </w:rPr>
              <w:t>Costs (2010–2011 $)</w:t>
            </w:r>
          </w:p>
        </w:tc>
      </w:tr>
      <w:tr w:rsidR="00F67A99" w:rsidRPr="008D7D4A" w:rsidTr="00632D6B">
        <w:trPr>
          <w:trHeight w:val="1720"/>
          <w:jc w:val="center"/>
        </w:trPr>
        <w:tc>
          <w:tcPr>
            <w:tcW w:w="2072"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rPr>
                <w:b/>
                <w:sz w:val="20"/>
                <w:lang w:val="en-CA"/>
              </w:rPr>
            </w:pPr>
            <w:r w:rsidRPr="008D7D4A">
              <w:rPr>
                <w:sz w:val="20"/>
                <w:lang w:val="en-CA"/>
              </w:rPr>
              <w:t xml:space="preserve">1- </w:t>
            </w:r>
            <w:r>
              <w:rPr>
                <w:sz w:val="20"/>
                <w:lang w:val="en-CA"/>
              </w:rPr>
              <w:t xml:space="preserve">Activities related to the implementation and coordination of the PAG </w:t>
            </w:r>
            <w:r w:rsidR="00DE5124">
              <w:rPr>
                <w:sz w:val="20"/>
                <w:lang w:val="en-CA"/>
              </w:rPr>
              <w:t>(</w:t>
            </w:r>
            <w:r w:rsidR="00DE5124" w:rsidRPr="00DE5124">
              <w:rPr>
                <w:sz w:val="20"/>
                <w:lang w:val="en-CA"/>
              </w:rPr>
              <w:t>Plan d'action gouvernemental</w:t>
            </w:r>
            <w:r w:rsidR="00DE5124">
              <w:rPr>
                <w:sz w:val="20"/>
                <w:lang w:val="en-CA"/>
              </w:rPr>
              <w:t>)</w:t>
            </w:r>
            <w:r w:rsidR="00DE5124" w:rsidRPr="00DE5124">
              <w:rPr>
                <w:sz w:val="20"/>
                <w:lang w:val="en-CA"/>
              </w:rPr>
              <w:t xml:space="preserve"> </w:t>
            </w:r>
            <w:r>
              <w:rPr>
                <w:sz w:val="20"/>
                <w:lang w:val="en-CA"/>
              </w:rPr>
              <w:t>for healthy habits promotion and prevention of weight-related problems</w:t>
            </w:r>
          </w:p>
        </w:tc>
        <w:tc>
          <w:tcPr>
            <w:tcW w:w="2298"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rPr>
                <w:sz w:val="20"/>
                <w:lang w:val="en-CA"/>
              </w:rPr>
            </w:pPr>
            <w:r w:rsidRPr="008D7D4A">
              <w:rPr>
                <w:b/>
                <w:sz w:val="20"/>
                <w:lang w:val="en-CA"/>
              </w:rPr>
              <w:t>Standardized costs of the  PNSP</w:t>
            </w:r>
            <w:r w:rsidR="00B176D7">
              <w:rPr>
                <w:b/>
                <w:sz w:val="20"/>
                <w:lang w:val="en-CA"/>
              </w:rPr>
              <w:t xml:space="preserve"> (Plan National de </w:t>
            </w:r>
            <w:r w:rsidR="00EA7D9C">
              <w:rPr>
                <w:b/>
                <w:sz w:val="20"/>
                <w:lang w:val="en-CA"/>
              </w:rPr>
              <w:t>Santé</w:t>
            </w:r>
            <w:r w:rsidR="00B176D7">
              <w:rPr>
                <w:b/>
                <w:sz w:val="20"/>
                <w:lang w:val="en-CA"/>
              </w:rPr>
              <w:t xml:space="preserve"> Publique)</w:t>
            </w:r>
            <w:r>
              <w:rPr>
                <w:sz w:val="20"/>
                <w:lang w:val="en-CA"/>
              </w:rPr>
              <w:t>: Human resources needed to implement the prevention and promotion activities funded by the PNSP budget</w:t>
            </w:r>
          </w:p>
        </w:tc>
        <w:tc>
          <w:tcPr>
            <w:tcW w:w="2520"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rPr>
                <w:sz w:val="20"/>
                <w:lang w:val="en-CA"/>
              </w:rPr>
            </w:pPr>
            <w:r>
              <w:rPr>
                <w:sz w:val="20"/>
                <w:lang w:val="en-CA"/>
              </w:rPr>
              <w:t>Implementation, coordination and support activities related to healthy habits promotion, food security, and smoking cessation</w:t>
            </w:r>
          </w:p>
        </w:tc>
        <w:tc>
          <w:tcPr>
            <w:tcW w:w="2670" w:type="dxa"/>
            <w:tcBorders>
              <w:top w:val="single" w:sz="4" w:space="0" w:color="000000"/>
              <w:left w:val="single" w:sz="4" w:space="0" w:color="000000"/>
              <w:bottom w:val="single" w:sz="4" w:space="0" w:color="000000"/>
              <w:right w:val="single" w:sz="4" w:space="0" w:color="000000"/>
            </w:tcBorders>
          </w:tcPr>
          <w:p w:rsidR="00F67A99" w:rsidRPr="008D7D4A" w:rsidRDefault="00F67A99" w:rsidP="00632D6B">
            <w:pPr>
              <w:spacing w:after="0"/>
              <w:rPr>
                <w:sz w:val="20"/>
                <w:lang w:val="en-CA"/>
              </w:rPr>
            </w:pPr>
            <w:r>
              <w:rPr>
                <w:b/>
                <w:sz w:val="20"/>
                <w:lang w:val="en-CA"/>
              </w:rPr>
              <w:t>$33.02M</w:t>
            </w:r>
            <w:r>
              <w:rPr>
                <w:sz w:val="20"/>
                <w:lang w:val="en-CA"/>
              </w:rPr>
              <w:t xml:space="preserve"> in standardized costs for PAG activities</w:t>
            </w:r>
            <w:r>
              <w:rPr>
                <w:sz w:val="20"/>
                <w:vertAlign w:val="superscript"/>
                <w:lang w:val="en-CA"/>
              </w:rPr>
              <w:t>1</w:t>
            </w:r>
            <w:r w:rsidRPr="008D7D4A">
              <w:rPr>
                <w:sz w:val="20"/>
                <w:lang w:val="en-CA"/>
              </w:rPr>
              <w:t xml:space="preserve"> </w:t>
            </w:r>
          </w:p>
          <w:p w:rsidR="00F67A99" w:rsidRPr="008D7D4A" w:rsidRDefault="00F67A99" w:rsidP="00632D6B">
            <w:pPr>
              <w:spacing w:after="0"/>
              <w:ind w:left="278"/>
              <w:rPr>
                <w:sz w:val="20"/>
                <w:szCs w:val="20"/>
                <w:lang w:val="en-CA"/>
              </w:rPr>
            </w:pPr>
          </w:p>
          <w:p w:rsidR="00F67A99" w:rsidRPr="008D7D4A" w:rsidRDefault="00F67A99" w:rsidP="00632D6B">
            <w:pPr>
              <w:spacing w:after="0"/>
              <w:rPr>
                <w:sz w:val="20"/>
                <w:szCs w:val="20"/>
                <w:lang w:val="en-CA"/>
              </w:rPr>
            </w:pPr>
            <w:r>
              <w:rPr>
                <w:sz w:val="20"/>
                <w:szCs w:val="20"/>
                <w:lang w:val="en-CA"/>
              </w:rPr>
              <w:t>$32.32</w:t>
            </w:r>
            <w:r w:rsidRPr="008D7D4A">
              <w:rPr>
                <w:sz w:val="20"/>
                <w:szCs w:val="20"/>
                <w:lang w:val="en-CA"/>
              </w:rPr>
              <w:t>M</w:t>
            </w:r>
            <w:r>
              <w:rPr>
                <w:sz w:val="20"/>
                <w:szCs w:val="20"/>
                <w:lang w:val="en-CA"/>
              </w:rPr>
              <w:t xml:space="preserve"> after excluding costs of counseling related to fluoride use and adding in food security activities</w:t>
            </w:r>
            <w:r w:rsidRPr="008D7D4A">
              <w:rPr>
                <w:sz w:val="20"/>
                <w:szCs w:val="20"/>
                <w:lang w:val="en-CA"/>
              </w:rPr>
              <w:t xml:space="preserve"> </w:t>
            </w:r>
          </w:p>
        </w:tc>
      </w:tr>
      <w:tr w:rsidR="00F67A99" w:rsidRPr="008D7D4A" w:rsidTr="00632D6B">
        <w:trPr>
          <w:trHeight w:val="2337"/>
          <w:jc w:val="center"/>
        </w:trPr>
        <w:tc>
          <w:tcPr>
            <w:tcW w:w="2072"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rPr>
                <w:sz w:val="20"/>
                <w:lang w:val="en-CA"/>
              </w:rPr>
            </w:pPr>
            <w:r w:rsidRPr="008D7D4A">
              <w:rPr>
                <w:sz w:val="20"/>
                <w:lang w:val="en-CA"/>
              </w:rPr>
              <w:t>2- Activities funded by Québec en forme (QeF)</w:t>
            </w:r>
          </w:p>
        </w:tc>
        <w:tc>
          <w:tcPr>
            <w:tcW w:w="2298"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rPr>
                <w:sz w:val="20"/>
                <w:lang w:val="en-CA"/>
              </w:rPr>
            </w:pPr>
            <w:r>
              <w:rPr>
                <w:sz w:val="20"/>
                <w:lang w:val="en-CA"/>
              </w:rPr>
              <w:t xml:space="preserve">Funding from the Quebec government and the </w:t>
            </w:r>
            <w:r w:rsidRPr="008D7D4A">
              <w:rPr>
                <w:sz w:val="20"/>
                <w:lang w:val="en-CA"/>
              </w:rPr>
              <w:t>Chagnon</w:t>
            </w:r>
            <w:r>
              <w:rPr>
                <w:sz w:val="20"/>
                <w:lang w:val="en-CA"/>
              </w:rPr>
              <w:t xml:space="preserve"> Foundation (50</w:t>
            </w:r>
            <w:r w:rsidRPr="008D7D4A">
              <w:rPr>
                <w:sz w:val="20"/>
                <w:lang w:val="en-CA"/>
              </w:rPr>
              <w:t xml:space="preserve">%) </w:t>
            </w:r>
            <w:r>
              <w:rPr>
                <w:sz w:val="20"/>
                <w:lang w:val="en-CA"/>
              </w:rPr>
              <w:t>for projects dealing with healthy lifestyle habits in children age 17 and under (no funding for the public health network)</w:t>
            </w:r>
          </w:p>
          <w:p w:rsidR="00F67A99" w:rsidRPr="008D7D4A" w:rsidRDefault="00F67A99" w:rsidP="00632D6B">
            <w:pPr>
              <w:spacing w:after="0"/>
              <w:rPr>
                <w:sz w:val="20"/>
                <w:lang w:val="en-CA"/>
              </w:rPr>
            </w:pPr>
          </w:p>
        </w:tc>
        <w:tc>
          <w:tcPr>
            <w:tcW w:w="2520"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rPr>
                <w:sz w:val="20"/>
                <w:lang w:val="en-CA"/>
              </w:rPr>
            </w:pPr>
            <w:r>
              <w:rPr>
                <w:b/>
                <w:sz w:val="20"/>
                <w:lang w:val="en-CA"/>
              </w:rPr>
              <w:t>Program</w:t>
            </w:r>
            <w:r w:rsidRPr="008D7D4A">
              <w:rPr>
                <w:b/>
                <w:sz w:val="20"/>
                <w:lang w:val="en-CA"/>
              </w:rPr>
              <w:t>s:</w:t>
            </w:r>
            <w:r w:rsidRPr="008D7D4A">
              <w:rPr>
                <w:sz w:val="20"/>
                <w:lang w:val="en-CA"/>
              </w:rPr>
              <w:t xml:space="preserve"> À pied, à vélo, ville active</w:t>
            </w:r>
            <w:r>
              <w:rPr>
                <w:sz w:val="20"/>
                <w:lang w:val="en-CA"/>
              </w:rPr>
              <w:t xml:space="preserve"> [Walking and cycling, a city on the move]</w:t>
            </w:r>
            <w:r w:rsidRPr="008D7D4A">
              <w:rPr>
                <w:sz w:val="20"/>
                <w:lang w:val="en-CA"/>
              </w:rPr>
              <w:t>; Réseau du sport étudiant du Québec (RSEQ)</w:t>
            </w:r>
            <w:r>
              <w:rPr>
                <w:sz w:val="20"/>
                <w:lang w:val="en-CA"/>
              </w:rPr>
              <w:t xml:space="preserve"> [Quebec student sport network]</w:t>
            </w:r>
            <w:r w:rsidRPr="008D7D4A">
              <w:rPr>
                <w:sz w:val="20"/>
                <w:lang w:val="en-CA"/>
              </w:rPr>
              <w:t>; Bien dans sa tête, bien dans sa peau</w:t>
            </w:r>
            <w:r>
              <w:rPr>
                <w:sz w:val="20"/>
                <w:lang w:val="en-CA"/>
              </w:rPr>
              <w:t xml:space="preserve"> [Healthy mind, healthy body]</w:t>
            </w:r>
            <w:r w:rsidRPr="008D7D4A">
              <w:rPr>
                <w:sz w:val="20"/>
                <w:lang w:val="en-CA"/>
              </w:rPr>
              <w:t xml:space="preserve">. </w:t>
            </w:r>
          </w:p>
          <w:p w:rsidR="00F67A99" w:rsidRPr="003C1661" w:rsidRDefault="00F67A99" w:rsidP="00632D6B">
            <w:pPr>
              <w:spacing w:after="0"/>
              <w:rPr>
                <w:sz w:val="20"/>
                <w:lang w:val="fr-CA"/>
              </w:rPr>
            </w:pPr>
            <w:r w:rsidRPr="003C1661">
              <w:rPr>
                <w:b/>
                <w:sz w:val="20"/>
                <w:lang w:val="fr-CA"/>
              </w:rPr>
              <w:t>Partners</w:t>
            </w:r>
            <w:r w:rsidRPr="003C1661">
              <w:rPr>
                <w:sz w:val="20"/>
                <w:lang w:val="fr-CA"/>
              </w:rPr>
              <w:t>: RSEQ, Sports-Québec, Le Grand défi Pierre Lavoie</w:t>
            </w:r>
          </w:p>
        </w:tc>
        <w:tc>
          <w:tcPr>
            <w:tcW w:w="2670" w:type="dxa"/>
            <w:tcBorders>
              <w:top w:val="single" w:sz="4" w:space="0" w:color="000000"/>
              <w:left w:val="single" w:sz="4" w:space="0" w:color="000000"/>
              <w:bottom w:val="single" w:sz="4" w:space="0" w:color="000000"/>
              <w:right w:val="single" w:sz="4" w:space="0" w:color="000000"/>
            </w:tcBorders>
          </w:tcPr>
          <w:p w:rsidR="00F67A99" w:rsidRPr="008D7D4A" w:rsidRDefault="00F67A99" w:rsidP="00632D6B">
            <w:pPr>
              <w:spacing w:after="0"/>
              <w:rPr>
                <w:sz w:val="20"/>
                <w:lang w:val="en-CA"/>
              </w:rPr>
            </w:pPr>
            <w:r>
              <w:rPr>
                <w:sz w:val="20"/>
                <w:lang w:val="en-CA"/>
              </w:rPr>
              <w:t xml:space="preserve">A total of </w:t>
            </w:r>
            <w:r w:rsidRPr="008D7D4A">
              <w:rPr>
                <w:b/>
                <w:sz w:val="20"/>
                <w:lang w:val="en-CA"/>
              </w:rPr>
              <w:t xml:space="preserve"> </w:t>
            </w:r>
            <w:r>
              <w:rPr>
                <w:b/>
                <w:sz w:val="20"/>
                <w:lang w:val="en-CA"/>
              </w:rPr>
              <w:t xml:space="preserve">$40M </w:t>
            </w:r>
            <w:r>
              <w:rPr>
                <w:sz w:val="20"/>
                <w:lang w:val="en-CA"/>
              </w:rPr>
              <w:t>annua</w:t>
            </w:r>
            <w:r w:rsidRPr="008D7D4A">
              <w:rPr>
                <w:sz w:val="20"/>
                <w:lang w:val="en-CA"/>
              </w:rPr>
              <w:t>ll</w:t>
            </w:r>
            <w:r>
              <w:rPr>
                <w:sz w:val="20"/>
                <w:lang w:val="en-CA"/>
              </w:rPr>
              <w:t>y</w:t>
            </w:r>
            <w:r w:rsidRPr="008D7D4A">
              <w:rPr>
                <w:sz w:val="20"/>
                <w:lang w:val="en-CA"/>
              </w:rPr>
              <w:t xml:space="preserve"> </w:t>
            </w:r>
            <w:r>
              <w:rPr>
                <w:sz w:val="20"/>
                <w:lang w:val="en-CA"/>
              </w:rPr>
              <w:t>for 10 years</w:t>
            </w:r>
          </w:p>
          <w:p w:rsidR="00F67A99" w:rsidRPr="008D7D4A" w:rsidRDefault="00F67A99" w:rsidP="00632D6B">
            <w:pPr>
              <w:spacing w:after="0"/>
              <w:rPr>
                <w:b/>
                <w:sz w:val="20"/>
                <w:lang w:val="en-CA"/>
              </w:rPr>
            </w:pPr>
            <w:r>
              <w:rPr>
                <w:sz w:val="20"/>
                <w:lang w:val="en-CA"/>
              </w:rPr>
              <w:t>In 2010-2011</w:t>
            </w:r>
            <w:r w:rsidRPr="008D7D4A">
              <w:rPr>
                <w:sz w:val="20"/>
                <w:lang w:val="en-CA"/>
              </w:rPr>
              <w:t xml:space="preserve">: </w:t>
            </w:r>
            <w:r w:rsidRPr="00A21E28">
              <w:rPr>
                <w:b/>
                <w:sz w:val="20"/>
                <w:lang w:val="en-CA"/>
              </w:rPr>
              <w:t>$</w:t>
            </w:r>
            <w:r>
              <w:rPr>
                <w:b/>
                <w:sz w:val="20"/>
                <w:lang w:val="en-CA"/>
              </w:rPr>
              <w:t>39,741</w:t>
            </w:r>
            <w:r w:rsidRPr="008D7D4A">
              <w:rPr>
                <w:b/>
                <w:sz w:val="20"/>
                <w:lang w:val="en-CA"/>
              </w:rPr>
              <w:t>M</w:t>
            </w:r>
            <w:r>
              <w:rPr>
                <w:b/>
                <w:sz w:val="20"/>
                <w:vertAlign w:val="superscript"/>
                <w:lang w:val="en-CA"/>
              </w:rPr>
              <w:t>2</w:t>
            </w:r>
          </w:p>
          <w:p w:rsidR="00F67A99" w:rsidRDefault="00F67A99" w:rsidP="00632D6B">
            <w:pPr>
              <w:numPr>
                <w:ilvl w:val="0"/>
                <w:numId w:val="3"/>
              </w:numPr>
              <w:spacing w:after="0"/>
              <w:ind w:left="198" w:hanging="198"/>
              <w:rPr>
                <w:sz w:val="20"/>
                <w:szCs w:val="20"/>
                <w:lang w:val="en-CA"/>
              </w:rPr>
            </w:pPr>
            <w:r>
              <w:rPr>
                <w:sz w:val="20"/>
                <w:szCs w:val="20"/>
                <w:lang w:val="en-CA"/>
              </w:rPr>
              <w:t>$27.22M</w:t>
            </w:r>
            <w:r w:rsidRPr="008D7D4A">
              <w:rPr>
                <w:sz w:val="20"/>
                <w:szCs w:val="20"/>
                <w:lang w:val="en-CA"/>
              </w:rPr>
              <w:t>: S</w:t>
            </w:r>
            <w:r>
              <w:rPr>
                <w:sz w:val="20"/>
                <w:szCs w:val="20"/>
                <w:lang w:val="en-CA"/>
              </w:rPr>
              <w:t>upport to local communities and regional projects</w:t>
            </w:r>
          </w:p>
          <w:p w:rsidR="00F67A99" w:rsidRPr="008D7D4A" w:rsidRDefault="00F67A99" w:rsidP="00632D6B">
            <w:pPr>
              <w:numPr>
                <w:ilvl w:val="0"/>
                <w:numId w:val="3"/>
              </w:numPr>
              <w:spacing w:after="0"/>
              <w:ind w:left="198" w:hanging="198"/>
              <w:rPr>
                <w:sz w:val="20"/>
                <w:szCs w:val="20"/>
                <w:lang w:val="en-CA"/>
              </w:rPr>
            </w:pPr>
            <w:r>
              <w:rPr>
                <w:sz w:val="20"/>
                <w:szCs w:val="20"/>
                <w:lang w:val="en-CA"/>
              </w:rPr>
              <w:t>$</w:t>
            </w:r>
            <w:r w:rsidRPr="008D7D4A">
              <w:rPr>
                <w:sz w:val="20"/>
                <w:szCs w:val="20"/>
                <w:lang w:val="en-CA"/>
              </w:rPr>
              <w:t>9</w:t>
            </w:r>
            <w:r>
              <w:rPr>
                <w:sz w:val="20"/>
                <w:szCs w:val="20"/>
                <w:lang w:val="en-CA"/>
              </w:rPr>
              <w:t>.92</w:t>
            </w:r>
            <w:r w:rsidRPr="008D7D4A">
              <w:rPr>
                <w:sz w:val="20"/>
                <w:szCs w:val="20"/>
                <w:lang w:val="en-CA"/>
              </w:rPr>
              <w:t>M</w:t>
            </w:r>
            <w:r>
              <w:rPr>
                <w:sz w:val="20"/>
                <w:szCs w:val="20"/>
                <w:lang w:val="en-CA"/>
              </w:rPr>
              <w:t>: Support to provincial projects</w:t>
            </w:r>
          </w:p>
          <w:p w:rsidR="00F67A99" w:rsidRPr="008D7D4A" w:rsidRDefault="00F67A99" w:rsidP="00632D6B">
            <w:pPr>
              <w:numPr>
                <w:ilvl w:val="0"/>
                <w:numId w:val="3"/>
              </w:numPr>
              <w:spacing w:after="0"/>
              <w:ind w:left="198" w:hanging="198"/>
              <w:rPr>
                <w:sz w:val="20"/>
                <w:lang w:val="en-CA"/>
              </w:rPr>
            </w:pPr>
            <w:r>
              <w:rPr>
                <w:sz w:val="20"/>
                <w:szCs w:val="20"/>
                <w:lang w:val="en-CA"/>
              </w:rPr>
              <w:t>$4.60M: Administrative and general costs</w:t>
            </w:r>
          </w:p>
        </w:tc>
      </w:tr>
      <w:tr w:rsidR="00F67A99" w:rsidRPr="008D7D4A" w:rsidTr="00F67A99">
        <w:trPr>
          <w:trHeight w:val="1277"/>
          <w:jc w:val="center"/>
        </w:trPr>
        <w:tc>
          <w:tcPr>
            <w:tcW w:w="2072" w:type="dxa"/>
            <w:vMerge w:val="restart"/>
            <w:tcBorders>
              <w:top w:val="single" w:sz="4" w:space="0" w:color="000000"/>
              <w:left w:val="single" w:sz="4" w:space="0" w:color="000000"/>
              <w:bottom w:val="single" w:sz="4" w:space="0" w:color="000000"/>
              <w:right w:val="single" w:sz="4" w:space="0" w:color="000000"/>
            </w:tcBorders>
            <w:hideMark/>
          </w:tcPr>
          <w:p w:rsidR="00F67A99" w:rsidRDefault="00F67A99" w:rsidP="00632D6B">
            <w:pPr>
              <w:spacing w:after="0"/>
              <w:rPr>
                <w:sz w:val="20"/>
                <w:lang w:val="en-CA"/>
              </w:rPr>
            </w:pPr>
            <w:r w:rsidRPr="008D7D4A">
              <w:rPr>
                <w:sz w:val="20"/>
                <w:lang w:val="en-CA"/>
              </w:rPr>
              <w:t xml:space="preserve">3- </w:t>
            </w:r>
            <w:r>
              <w:rPr>
                <w:sz w:val="20"/>
                <w:lang w:val="en-CA"/>
              </w:rPr>
              <w:t xml:space="preserve">Other prevention activities and programs funded by the government of Quebec to help achieve the objectives of the PNSP and </w:t>
            </w:r>
            <w:r w:rsidRPr="003C1661">
              <w:rPr>
                <w:sz w:val="20"/>
                <w:lang w:val="en-CA"/>
              </w:rPr>
              <w:t>PAG</w:t>
            </w:r>
          </w:p>
          <w:p w:rsidR="00F67A99" w:rsidRPr="008D7D4A" w:rsidRDefault="00F67A99" w:rsidP="00632D6B">
            <w:pPr>
              <w:spacing w:after="0"/>
              <w:rPr>
                <w:b/>
                <w:sz w:val="20"/>
                <w:lang w:val="en-CA"/>
              </w:rPr>
            </w:pPr>
          </w:p>
        </w:tc>
        <w:tc>
          <w:tcPr>
            <w:tcW w:w="2298" w:type="dxa"/>
            <w:tcBorders>
              <w:top w:val="single" w:sz="4" w:space="0" w:color="000000"/>
              <w:left w:val="single" w:sz="4" w:space="0" w:color="000000"/>
              <w:bottom w:val="single" w:sz="4" w:space="0" w:color="000000"/>
              <w:right w:val="single" w:sz="4" w:space="0" w:color="000000"/>
            </w:tcBorders>
          </w:tcPr>
          <w:p w:rsidR="00F67A99" w:rsidRPr="008D7D4A" w:rsidRDefault="00F67A99" w:rsidP="00632D6B">
            <w:pPr>
              <w:spacing w:after="0"/>
              <w:rPr>
                <w:b/>
                <w:sz w:val="20"/>
                <w:lang w:val="en-CA"/>
              </w:rPr>
            </w:pPr>
            <w:r>
              <w:rPr>
                <w:b/>
                <w:sz w:val="20"/>
                <w:lang w:val="en-CA"/>
              </w:rPr>
              <w:t>Ministry of Health and Social S</w:t>
            </w:r>
            <w:r w:rsidRPr="008D7D4A">
              <w:rPr>
                <w:b/>
                <w:sz w:val="20"/>
                <w:lang w:val="en-CA"/>
              </w:rPr>
              <w:t>ervices (MSSS)</w:t>
            </w:r>
          </w:p>
          <w:p w:rsidR="00F67A99" w:rsidRPr="008D7D4A" w:rsidRDefault="00F67A99" w:rsidP="00632D6B">
            <w:pPr>
              <w:spacing w:after="0"/>
              <w:rPr>
                <w:sz w:val="20"/>
                <w:lang w:val="en-CA"/>
              </w:rPr>
            </w:pPr>
            <w:r w:rsidRPr="008D7D4A">
              <w:rPr>
                <w:sz w:val="20"/>
                <w:lang w:val="en-CA"/>
              </w:rPr>
              <w:t xml:space="preserve">a) </w:t>
            </w:r>
            <w:r>
              <w:rPr>
                <w:sz w:val="20"/>
                <w:lang w:val="en-CA"/>
              </w:rPr>
              <w:t>Anti-smoking activities</w:t>
            </w:r>
          </w:p>
          <w:p w:rsidR="00F67A99" w:rsidRPr="008D7D4A" w:rsidRDefault="00F67A99" w:rsidP="00F67A99">
            <w:pPr>
              <w:spacing w:after="0"/>
              <w:rPr>
                <w:b/>
                <w:sz w:val="20"/>
                <w:lang w:val="en-CA"/>
              </w:rPr>
            </w:pPr>
            <w:r w:rsidRPr="008D7D4A">
              <w:rPr>
                <w:sz w:val="20"/>
                <w:lang w:val="en-CA"/>
              </w:rPr>
              <w:t xml:space="preserve">b) </w:t>
            </w:r>
            <w:r>
              <w:rPr>
                <w:sz w:val="20"/>
                <w:lang w:val="en-CA"/>
              </w:rPr>
              <w:t>Publicity campaigns</w:t>
            </w:r>
          </w:p>
        </w:tc>
        <w:tc>
          <w:tcPr>
            <w:tcW w:w="2520"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ind w:left="57"/>
              <w:rPr>
                <w:sz w:val="20"/>
                <w:lang w:val="en-CA"/>
              </w:rPr>
            </w:pPr>
            <w:r w:rsidRPr="008D7D4A">
              <w:rPr>
                <w:sz w:val="20"/>
                <w:szCs w:val="20"/>
                <w:lang w:val="en-CA"/>
              </w:rPr>
              <w:t xml:space="preserve">a) </w:t>
            </w:r>
            <w:r>
              <w:rPr>
                <w:sz w:val="20"/>
                <w:szCs w:val="20"/>
                <w:lang w:val="en-CA"/>
              </w:rPr>
              <w:t>Anti-smoking activities</w:t>
            </w:r>
            <w:r w:rsidRPr="008D7D4A">
              <w:rPr>
                <w:sz w:val="20"/>
                <w:szCs w:val="20"/>
                <w:lang w:val="en-CA"/>
              </w:rPr>
              <w:t xml:space="preserve"> (</w:t>
            </w:r>
            <w:r>
              <w:rPr>
                <w:sz w:val="20"/>
                <w:szCs w:val="20"/>
                <w:lang w:val="en-CA"/>
              </w:rPr>
              <w:t>not including medical acts or the reimbursement of smoking cessation aids)</w:t>
            </w:r>
          </w:p>
        </w:tc>
        <w:tc>
          <w:tcPr>
            <w:tcW w:w="2670" w:type="dxa"/>
            <w:tcBorders>
              <w:top w:val="single" w:sz="4" w:space="0" w:color="000000"/>
              <w:left w:val="single" w:sz="4" w:space="0" w:color="000000"/>
              <w:bottom w:val="single" w:sz="4" w:space="0" w:color="000000"/>
              <w:right w:val="single" w:sz="4" w:space="0" w:color="000000"/>
            </w:tcBorders>
          </w:tcPr>
          <w:p w:rsidR="00F67A99" w:rsidRPr="008D7D4A" w:rsidRDefault="00F67A99" w:rsidP="00632D6B">
            <w:pPr>
              <w:spacing w:after="0"/>
              <w:ind w:left="56"/>
              <w:rPr>
                <w:sz w:val="20"/>
                <w:szCs w:val="20"/>
                <w:lang w:val="en-CA"/>
              </w:rPr>
            </w:pPr>
            <w:r w:rsidRPr="008D7D4A">
              <w:rPr>
                <w:b/>
                <w:sz w:val="20"/>
                <w:szCs w:val="20"/>
                <w:lang w:val="en-CA"/>
              </w:rPr>
              <w:t xml:space="preserve">a) </w:t>
            </w:r>
            <w:r>
              <w:rPr>
                <w:b/>
                <w:sz w:val="20"/>
                <w:szCs w:val="20"/>
                <w:lang w:val="en-CA"/>
              </w:rPr>
              <w:t>Anti-smoking</w:t>
            </w:r>
            <w:r w:rsidRPr="008D7D4A">
              <w:rPr>
                <w:b/>
                <w:sz w:val="20"/>
                <w:szCs w:val="20"/>
                <w:lang w:val="en-CA"/>
              </w:rPr>
              <w:t xml:space="preserve">: </w:t>
            </w:r>
            <w:r>
              <w:rPr>
                <w:b/>
                <w:sz w:val="20"/>
                <w:szCs w:val="20"/>
                <w:lang w:val="en-CA"/>
              </w:rPr>
              <w:t>$</w:t>
            </w:r>
            <w:r w:rsidRPr="008D7D4A">
              <w:rPr>
                <w:b/>
                <w:sz w:val="20"/>
                <w:szCs w:val="20"/>
                <w:lang w:val="en-CA"/>
              </w:rPr>
              <w:t>17M</w:t>
            </w:r>
            <w:r>
              <w:rPr>
                <w:b/>
                <w:sz w:val="20"/>
                <w:szCs w:val="20"/>
                <w:lang w:val="en-CA"/>
              </w:rPr>
              <w:t xml:space="preserve"> in 2011–</w:t>
            </w:r>
            <w:r w:rsidRPr="008D7D4A">
              <w:rPr>
                <w:b/>
                <w:sz w:val="20"/>
                <w:szCs w:val="20"/>
                <w:lang w:val="en-CA"/>
              </w:rPr>
              <w:t>2012</w:t>
            </w:r>
            <w:r>
              <w:rPr>
                <w:b/>
                <w:sz w:val="20"/>
                <w:szCs w:val="20"/>
                <w:vertAlign w:val="superscript"/>
                <w:lang w:val="en-CA"/>
              </w:rPr>
              <w:t>3</w:t>
            </w:r>
            <w:r w:rsidRPr="008D7D4A">
              <w:rPr>
                <w:sz w:val="20"/>
                <w:szCs w:val="20"/>
                <w:vertAlign w:val="superscript"/>
                <w:lang w:val="en-CA"/>
              </w:rPr>
              <w:t xml:space="preserve"> </w:t>
            </w:r>
            <w:r>
              <w:rPr>
                <w:i/>
                <w:sz w:val="20"/>
                <w:szCs w:val="20"/>
                <w:lang w:val="en-CA"/>
              </w:rPr>
              <w:t>We</w:t>
            </w:r>
            <w:r w:rsidRPr="008D7D4A">
              <w:rPr>
                <w:i/>
                <w:sz w:val="20"/>
                <w:szCs w:val="20"/>
                <w:lang w:val="en-CA"/>
              </w:rPr>
              <w:t xml:space="preserve"> assum</w:t>
            </w:r>
            <w:r>
              <w:rPr>
                <w:i/>
                <w:sz w:val="20"/>
                <w:szCs w:val="20"/>
                <w:lang w:val="en-CA"/>
              </w:rPr>
              <w:t xml:space="preserve">e costs were similar in </w:t>
            </w:r>
            <w:r w:rsidRPr="008D7D4A">
              <w:rPr>
                <w:i/>
                <w:sz w:val="20"/>
                <w:szCs w:val="20"/>
                <w:lang w:val="en-CA"/>
              </w:rPr>
              <w:t>2010</w:t>
            </w:r>
            <w:r>
              <w:rPr>
                <w:i/>
                <w:sz w:val="20"/>
                <w:szCs w:val="20"/>
                <w:lang w:val="en-CA"/>
              </w:rPr>
              <w:t>/</w:t>
            </w:r>
            <w:r w:rsidRPr="008D7D4A">
              <w:rPr>
                <w:i/>
                <w:sz w:val="20"/>
                <w:szCs w:val="20"/>
                <w:lang w:val="en-CA"/>
              </w:rPr>
              <w:t>11</w:t>
            </w:r>
          </w:p>
          <w:p w:rsidR="00F67A99" w:rsidRPr="008D7D4A" w:rsidRDefault="00F67A99" w:rsidP="00632D6B">
            <w:pPr>
              <w:spacing w:after="0"/>
              <w:rPr>
                <w:b/>
                <w:sz w:val="20"/>
                <w:lang w:val="en-CA"/>
              </w:rPr>
            </w:pPr>
            <w:r>
              <w:rPr>
                <w:b/>
                <w:sz w:val="20"/>
                <w:lang w:val="en-CA"/>
              </w:rPr>
              <w:t>b) Publicity campaigns</w:t>
            </w:r>
            <w:r w:rsidRPr="008D7D4A">
              <w:rPr>
                <w:sz w:val="20"/>
                <w:lang w:val="en-CA"/>
              </w:rPr>
              <w:t xml:space="preserve">: </w:t>
            </w:r>
            <w:r>
              <w:rPr>
                <w:sz w:val="20"/>
                <w:lang w:val="en-CA"/>
              </w:rPr>
              <w:t>numbers not available</w:t>
            </w:r>
          </w:p>
        </w:tc>
      </w:tr>
      <w:tr w:rsidR="00F67A99" w:rsidRPr="008D7D4A" w:rsidTr="00F67A99">
        <w:trPr>
          <w:trHeight w:val="80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7A99" w:rsidRPr="008D7D4A" w:rsidRDefault="00F67A99" w:rsidP="00632D6B">
            <w:pPr>
              <w:spacing w:after="0"/>
              <w:rPr>
                <w:b/>
                <w:sz w:val="20"/>
                <w:lang w:val="en-CA"/>
              </w:rPr>
            </w:pPr>
          </w:p>
        </w:tc>
        <w:tc>
          <w:tcPr>
            <w:tcW w:w="2298"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rPr>
                <w:b/>
                <w:sz w:val="20"/>
                <w:lang w:val="en-CA"/>
              </w:rPr>
            </w:pPr>
            <w:r>
              <w:rPr>
                <w:b/>
                <w:sz w:val="20"/>
                <w:lang w:val="en-CA"/>
              </w:rPr>
              <w:t>Ministry of E</w:t>
            </w:r>
            <w:r w:rsidRPr="008D7D4A">
              <w:rPr>
                <w:b/>
                <w:sz w:val="20"/>
                <w:lang w:val="en-CA"/>
              </w:rPr>
              <w:t xml:space="preserve">ducation, </w:t>
            </w:r>
            <w:r>
              <w:rPr>
                <w:b/>
                <w:sz w:val="20"/>
                <w:lang w:val="en-CA"/>
              </w:rPr>
              <w:t xml:space="preserve">Leisure and </w:t>
            </w:r>
            <w:r w:rsidRPr="008D7D4A">
              <w:rPr>
                <w:b/>
                <w:sz w:val="20"/>
                <w:lang w:val="en-CA"/>
              </w:rPr>
              <w:t>Sport</w:t>
            </w:r>
            <w:r>
              <w:rPr>
                <w:b/>
                <w:sz w:val="20"/>
                <w:lang w:val="en-CA"/>
              </w:rPr>
              <w:t>s</w:t>
            </w:r>
            <w:r w:rsidRPr="008D7D4A">
              <w:rPr>
                <w:b/>
                <w:sz w:val="20"/>
                <w:lang w:val="en-CA"/>
              </w:rPr>
              <w:t xml:space="preserve"> (MELS)</w:t>
            </w:r>
          </w:p>
        </w:tc>
        <w:tc>
          <w:tcPr>
            <w:tcW w:w="2520"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rPr>
                <w:sz w:val="20"/>
                <w:lang w:val="en-CA"/>
              </w:rPr>
            </w:pPr>
            <w:r w:rsidRPr="008D7D4A">
              <w:rPr>
                <w:b/>
                <w:sz w:val="20"/>
                <w:lang w:val="en-CA"/>
              </w:rPr>
              <w:t>Kino-Québec</w:t>
            </w:r>
            <w:r>
              <w:rPr>
                <w:b/>
                <w:sz w:val="20"/>
                <w:lang w:val="en-CA"/>
              </w:rPr>
              <w:t xml:space="preserve"> prevention activities</w:t>
            </w:r>
            <w:r w:rsidRPr="008D7D4A">
              <w:rPr>
                <w:b/>
                <w:sz w:val="20"/>
                <w:lang w:val="en-CA"/>
              </w:rPr>
              <w:t>:</w:t>
            </w:r>
            <w:r w:rsidRPr="008D7D4A">
              <w:rPr>
                <w:sz w:val="20"/>
                <w:lang w:val="en-CA"/>
              </w:rPr>
              <w:t xml:space="preserve"> </w:t>
            </w:r>
            <w:r>
              <w:rPr>
                <w:sz w:val="20"/>
                <w:lang w:val="en-CA"/>
              </w:rPr>
              <w:t>Funded by the</w:t>
            </w:r>
            <w:r w:rsidRPr="008D7D4A">
              <w:rPr>
                <w:sz w:val="20"/>
                <w:lang w:val="en-CA"/>
              </w:rPr>
              <w:t xml:space="preserve"> MELS </w:t>
            </w:r>
            <w:r>
              <w:rPr>
                <w:sz w:val="20"/>
                <w:lang w:val="en-CA"/>
              </w:rPr>
              <w:t>and the</w:t>
            </w:r>
            <w:r w:rsidRPr="008D7D4A">
              <w:rPr>
                <w:sz w:val="20"/>
                <w:lang w:val="en-CA"/>
              </w:rPr>
              <w:t xml:space="preserve"> MSSS </w:t>
            </w:r>
          </w:p>
        </w:tc>
        <w:tc>
          <w:tcPr>
            <w:tcW w:w="2670"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F67A99">
            <w:pPr>
              <w:spacing w:after="0"/>
              <w:rPr>
                <w:b/>
                <w:sz w:val="20"/>
                <w:lang w:val="en-CA"/>
              </w:rPr>
            </w:pPr>
            <w:r>
              <w:rPr>
                <w:b/>
                <w:sz w:val="20"/>
                <w:lang w:val="en-CA"/>
              </w:rPr>
              <w:t>$1.</w:t>
            </w:r>
            <w:r w:rsidRPr="008D7D4A">
              <w:rPr>
                <w:b/>
                <w:sz w:val="20"/>
                <w:lang w:val="en-CA"/>
              </w:rPr>
              <w:t xml:space="preserve">36 M </w:t>
            </w:r>
            <w:r>
              <w:rPr>
                <w:b/>
                <w:sz w:val="20"/>
                <w:lang w:val="en-CA"/>
              </w:rPr>
              <w:t>given to the regional health agencies</w:t>
            </w:r>
            <w:r>
              <w:rPr>
                <w:b/>
                <w:sz w:val="20"/>
                <w:vertAlign w:val="superscript"/>
                <w:lang w:val="en-CA"/>
              </w:rPr>
              <w:t>4</w:t>
            </w:r>
          </w:p>
        </w:tc>
      </w:tr>
      <w:tr w:rsidR="00F67A99" w:rsidRPr="008D7D4A" w:rsidTr="00632D6B">
        <w:trPr>
          <w:trHeight w:val="10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7A99" w:rsidRPr="008D7D4A" w:rsidRDefault="00F67A99" w:rsidP="00632D6B">
            <w:pPr>
              <w:spacing w:after="0"/>
              <w:rPr>
                <w:b/>
                <w:sz w:val="20"/>
                <w:lang w:val="en-CA"/>
              </w:rPr>
            </w:pPr>
          </w:p>
        </w:tc>
        <w:tc>
          <w:tcPr>
            <w:tcW w:w="2298"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rPr>
                <w:b/>
                <w:sz w:val="20"/>
                <w:lang w:val="en-CA"/>
              </w:rPr>
            </w:pPr>
            <w:r>
              <w:rPr>
                <w:b/>
                <w:sz w:val="20"/>
                <w:lang w:val="en-CA"/>
              </w:rPr>
              <w:t>Quebec Ministry of Transport</w:t>
            </w:r>
            <w:r w:rsidRPr="008D7D4A">
              <w:rPr>
                <w:b/>
                <w:sz w:val="20"/>
                <w:lang w:val="en-CA"/>
              </w:rPr>
              <w:t xml:space="preserve"> (MTQ)</w:t>
            </w:r>
          </w:p>
        </w:tc>
        <w:tc>
          <w:tcPr>
            <w:tcW w:w="2520" w:type="dxa"/>
            <w:tcBorders>
              <w:top w:val="single" w:sz="4" w:space="0" w:color="000000"/>
              <w:left w:val="single" w:sz="4" w:space="0" w:color="000000"/>
              <w:bottom w:val="single" w:sz="4" w:space="0" w:color="000000"/>
              <w:right w:val="single" w:sz="4" w:space="0" w:color="000000"/>
            </w:tcBorders>
            <w:hideMark/>
          </w:tcPr>
          <w:p w:rsidR="00F67A99" w:rsidRPr="007A0901" w:rsidRDefault="00F67A99" w:rsidP="00632D6B">
            <w:pPr>
              <w:spacing w:after="0"/>
              <w:rPr>
                <w:sz w:val="20"/>
              </w:rPr>
            </w:pPr>
            <w:r w:rsidRPr="008D7D4A">
              <w:rPr>
                <w:sz w:val="20"/>
                <w:lang w:val="en-CA"/>
              </w:rPr>
              <w:t>Sub</w:t>
            </w:r>
            <w:r>
              <w:rPr>
                <w:sz w:val="20"/>
                <w:lang w:val="en-CA"/>
              </w:rPr>
              <w:t xml:space="preserve">sidies to promote the use of alternative means of transportation </w:t>
            </w:r>
          </w:p>
        </w:tc>
        <w:tc>
          <w:tcPr>
            <w:tcW w:w="2670"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F67A99">
            <w:pPr>
              <w:spacing w:after="0"/>
              <w:rPr>
                <w:sz w:val="20"/>
                <w:lang w:val="en-CA"/>
              </w:rPr>
            </w:pPr>
            <w:r>
              <w:rPr>
                <w:b/>
                <w:sz w:val="20"/>
                <w:lang w:val="en-CA"/>
              </w:rPr>
              <w:t>$11</w:t>
            </w:r>
            <w:r w:rsidRPr="008D7D4A">
              <w:rPr>
                <w:b/>
                <w:sz w:val="20"/>
                <w:lang w:val="en-CA"/>
              </w:rPr>
              <w:t>M</w:t>
            </w:r>
            <w:r>
              <w:rPr>
                <w:sz w:val="20"/>
                <w:lang w:val="en-CA"/>
              </w:rPr>
              <w:t xml:space="preserve"> invested in the government program for support to non-automobile transportation alternatives</w:t>
            </w:r>
            <w:r>
              <w:rPr>
                <w:sz w:val="20"/>
                <w:vertAlign w:val="superscript"/>
                <w:lang w:val="en-CA"/>
              </w:rPr>
              <w:t>5</w:t>
            </w:r>
          </w:p>
        </w:tc>
      </w:tr>
      <w:tr w:rsidR="00F67A99" w:rsidRPr="008D7D4A" w:rsidTr="00632D6B">
        <w:trPr>
          <w:trHeight w:val="1625"/>
          <w:jc w:val="center"/>
        </w:trPr>
        <w:tc>
          <w:tcPr>
            <w:tcW w:w="2072"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rPr>
                <w:sz w:val="20"/>
                <w:lang w:val="en-CA"/>
              </w:rPr>
            </w:pPr>
            <w:r w:rsidRPr="008D7D4A">
              <w:rPr>
                <w:sz w:val="20"/>
                <w:lang w:val="en-CA"/>
              </w:rPr>
              <w:t xml:space="preserve">4- </w:t>
            </w:r>
            <w:r>
              <w:rPr>
                <w:sz w:val="20"/>
                <w:lang w:val="en-CA"/>
              </w:rPr>
              <w:t>Activities funded by the federal level</w:t>
            </w:r>
          </w:p>
        </w:tc>
        <w:tc>
          <w:tcPr>
            <w:tcW w:w="2298" w:type="dxa"/>
            <w:tcBorders>
              <w:top w:val="single" w:sz="4" w:space="0" w:color="000000"/>
              <w:left w:val="single" w:sz="4" w:space="0" w:color="000000"/>
              <w:bottom w:val="single" w:sz="4" w:space="0" w:color="000000"/>
              <w:right w:val="single" w:sz="4" w:space="0" w:color="000000"/>
            </w:tcBorders>
          </w:tcPr>
          <w:p w:rsidR="00F67A99" w:rsidRPr="008D7D4A" w:rsidRDefault="00F67A99" w:rsidP="00632D6B">
            <w:pPr>
              <w:spacing w:after="0"/>
              <w:rPr>
                <w:b/>
                <w:sz w:val="20"/>
                <w:lang w:val="en-CA"/>
              </w:rPr>
            </w:pPr>
          </w:p>
        </w:tc>
        <w:tc>
          <w:tcPr>
            <w:tcW w:w="2520" w:type="dxa"/>
            <w:tcBorders>
              <w:top w:val="single" w:sz="4" w:space="0" w:color="000000"/>
              <w:left w:val="single" w:sz="4" w:space="0" w:color="000000"/>
              <w:bottom w:val="single" w:sz="4" w:space="0" w:color="000000"/>
              <w:right w:val="single" w:sz="4" w:space="0" w:color="000000"/>
            </w:tcBorders>
            <w:hideMark/>
          </w:tcPr>
          <w:p w:rsidR="00F67A99" w:rsidRPr="003C1661" w:rsidRDefault="00F67A99" w:rsidP="00632D6B">
            <w:pPr>
              <w:spacing w:after="0"/>
              <w:rPr>
                <w:sz w:val="20"/>
                <w:lang w:val="fr-CA"/>
              </w:rPr>
            </w:pPr>
            <w:r w:rsidRPr="003C1661">
              <w:rPr>
                <w:sz w:val="20"/>
                <w:lang w:val="fr-CA"/>
              </w:rPr>
              <w:t xml:space="preserve">Programs:  La gang allumée, Visez santé, </w:t>
            </w:r>
            <w:r w:rsidRPr="003C1661">
              <w:rPr>
                <w:sz w:val="20"/>
                <w:szCs w:val="20"/>
                <w:lang w:val="fr-CA"/>
              </w:rPr>
              <w:t>Diabète Québec, Équilibre</w:t>
            </w:r>
          </w:p>
        </w:tc>
        <w:tc>
          <w:tcPr>
            <w:tcW w:w="2670"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tabs>
                <w:tab w:val="left" w:pos="3794"/>
              </w:tabs>
              <w:spacing w:after="0"/>
              <w:ind w:left="176" w:hanging="176"/>
              <w:rPr>
                <w:sz w:val="20"/>
                <w:szCs w:val="20"/>
                <w:lang w:val="en-CA"/>
              </w:rPr>
            </w:pPr>
            <w:r>
              <w:rPr>
                <w:b/>
                <w:sz w:val="20"/>
                <w:szCs w:val="20"/>
                <w:lang w:val="en-CA"/>
              </w:rPr>
              <w:t>-   Diabetes</w:t>
            </w:r>
            <w:r w:rsidRPr="008D7D4A">
              <w:rPr>
                <w:sz w:val="20"/>
                <w:szCs w:val="20"/>
                <w:lang w:val="en-CA"/>
              </w:rPr>
              <w:t xml:space="preserve">: </w:t>
            </w:r>
            <w:r>
              <w:rPr>
                <w:sz w:val="20"/>
                <w:szCs w:val="20"/>
                <w:lang w:val="en-CA"/>
              </w:rPr>
              <w:t>$418,000 from Public Health Agency of Canada (PHAC</w:t>
            </w:r>
            <w:r w:rsidRPr="008D7D4A">
              <w:rPr>
                <w:sz w:val="20"/>
                <w:szCs w:val="20"/>
                <w:lang w:val="en-CA"/>
              </w:rPr>
              <w:t xml:space="preserve">) </w:t>
            </w:r>
            <w:r>
              <w:rPr>
                <w:sz w:val="20"/>
                <w:szCs w:val="20"/>
                <w:lang w:val="en-CA"/>
              </w:rPr>
              <w:t>for community projects</w:t>
            </w:r>
            <w:r>
              <w:rPr>
                <w:sz w:val="20"/>
                <w:szCs w:val="20"/>
                <w:vertAlign w:val="superscript"/>
                <w:lang w:val="en-CA"/>
              </w:rPr>
              <w:t>6</w:t>
            </w:r>
          </w:p>
          <w:p w:rsidR="00F67A99" w:rsidRPr="008D7D4A" w:rsidRDefault="00F67A99" w:rsidP="00632D6B">
            <w:pPr>
              <w:spacing w:after="0"/>
              <w:ind w:left="176" w:hanging="176"/>
              <w:rPr>
                <w:b/>
                <w:sz w:val="20"/>
                <w:lang w:val="en-CA"/>
              </w:rPr>
            </w:pPr>
            <w:r>
              <w:rPr>
                <w:b/>
                <w:sz w:val="20"/>
                <w:szCs w:val="20"/>
                <w:lang w:val="en-CA"/>
              </w:rPr>
              <w:t xml:space="preserve">-  Other unknown </w:t>
            </w:r>
            <w:r w:rsidRPr="008D7D4A">
              <w:rPr>
                <w:b/>
                <w:sz w:val="20"/>
                <w:szCs w:val="20"/>
                <w:lang w:val="en-CA"/>
              </w:rPr>
              <w:t xml:space="preserve">investments: </w:t>
            </w:r>
            <w:r>
              <w:rPr>
                <w:sz w:val="20"/>
                <w:szCs w:val="20"/>
                <w:lang w:val="en-CA"/>
              </w:rPr>
              <w:t xml:space="preserve">minimal compared to other sources </w:t>
            </w:r>
          </w:p>
        </w:tc>
      </w:tr>
      <w:tr w:rsidR="00F67A99" w:rsidRPr="008D7D4A" w:rsidTr="00632D6B">
        <w:trPr>
          <w:trHeight w:val="1018"/>
          <w:jc w:val="center"/>
        </w:trPr>
        <w:tc>
          <w:tcPr>
            <w:tcW w:w="2072"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rPr>
                <w:sz w:val="20"/>
                <w:lang w:val="en-CA"/>
              </w:rPr>
            </w:pPr>
            <w:r w:rsidRPr="008D7D4A">
              <w:rPr>
                <w:sz w:val="20"/>
                <w:lang w:val="en-CA"/>
              </w:rPr>
              <w:t>5- Activit</w:t>
            </w:r>
            <w:r>
              <w:rPr>
                <w:sz w:val="20"/>
                <w:lang w:val="en-CA"/>
              </w:rPr>
              <w:t>ies or programs funded by other organizations or foundations</w:t>
            </w:r>
          </w:p>
        </w:tc>
        <w:tc>
          <w:tcPr>
            <w:tcW w:w="2298" w:type="dxa"/>
            <w:tcBorders>
              <w:top w:val="single" w:sz="4" w:space="0" w:color="000000"/>
              <w:left w:val="single" w:sz="4" w:space="0" w:color="000000"/>
              <w:bottom w:val="single" w:sz="4" w:space="0" w:color="000000"/>
              <w:right w:val="single" w:sz="4" w:space="0" w:color="000000"/>
            </w:tcBorders>
          </w:tcPr>
          <w:p w:rsidR="00F67A99" w:rsidRPr="00767401" w:rsidRDefault="00F67A99" w:rsidP="00632D6B">
            <w:pPr>
              <w:spacing w:after="0"/>
              <w:rPr>
                <w:sz w:val="20"/>
                <w:szCs w:val="20"/>
                <w:lang w:val="en-CA"/>
              </w:rPr>
            </w:pPr>
            <w:r w:rsidRPr="008D7D4A">
              <w:rPr>
                <w:sz w:val="20"/>
                <w:szCs w:val="20"/>
                <w:lang w:val="en-CA"/>
              </w:rPr>
              <w:t xml:space="preserve">RSEQ: </w:t>
            </w:r>
            <w:r>
              <w:rPr>
                <w:sz w:val="20"/>
                <w:szCs w:val="20"/>
                <w:lang w:val="en-CA"/>
              </w:rPr>
              <w:t>funded by the</w:t>
            </w:r>
            <w:r w:rsidRPr="008D7D4A">
              <w:rPr>
                <w:sz w:val="20"/>
                <w:szCs w:val="20"/>
                <w:lang w:val="en-CA"/>
              </w:rPr>
              <w:t xml:space="preserve"> MELS </w:t>
            </w:r>
            <w:r>
              <w:rPr>
                <w:sz w:val="20"/>
                <w:szCs w:val="20"/>
                <w:lang w:val="en-CA"/>
              </w:rPr>
              <w:t>and several other Canadian and Quebec partners</w:t>
            </w:r>
          </w:p>
        </w:tc>
        <w:tc>
          <w:tcPr>
            <w:tcW w:w="2520" w:type="dxa"/>
            <w:tcBorders>
              <w:top w:val="single" w:sz="4" w:space="0" w:color="000000"/>
              <w:left w:val="single" w:sz="4" w:space="0" w:color="000000"/>
              <w:bottom w:val="single" w:sz="4" w:space="0" w:color="000000"/>
              <w:right w:val="single" w:sz="4" w:space="0" w:color="000000"/>
            </w:tcBorders>
            <w:hideMark/>
          </w:tcPr>
          <w:p w:rsidR="00F67A99" w:rsidRPr="003C1661" w:rsidRDefault="00F67A99" w:rsidP="00632D6B">
            <w:pPr>
              <w:spacing w:after="0"/>
              <w:rPr>
                <w:sz w:val="20"/>
                <w:lang w:val="fr-CA"/>
              </w:rPr>
            </w:pPr>
            <w:r w:rsidRPr="003C1661">
              <w:rPr>
                <w:sz w:val="20"/>
                <w:lang w:val="fr-CA"/>
              </w:rPr>
              <w:t>Programs:  De facto; Iso-Actif; Bien dans sa tête, bien dans sa peau</w:t>
            </w:r>
          </w:p>
        </w:tc>
        <w:tc>
          <w:tcPr>
            <w:tcW w:w="2670"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F67A99">
            <w:pPr>
              <w:spacing w:after="0"/>
              <w:rPr>
                <w:b/>
                <w:sz w:val="20"/>
                <w:lang w:val="en-CA"/>
              </w:rPr>
            </w:pPr>
            <w:r>
              <w:rPr>
                <w:b/>
                <w:sz w:val="20"/>
                <w:lang w:val="en-CA"/>
              </w:rPr>
              <w:t>$6.59M</w:t>
            </w:r>
            <w:r w:rsidRPr="008D7D4A">
              <w:rPr>
                <w:b/>
                <w:sz w:val="20"/>
                <w:lang w:val="en-CA"/>
              </w:rPr>
              <w:t xml:space="preserve"> </w:t>
            </w:r>
            <w:r>
              <w:rPr>
                <w:b/>
                <w:sz w:val="20"/>
                <w:lang w:val="en-CA"/>
              </w:rPr>
              <w:t>in 2010–</w:t>
            </w:r>
            <w:r w:rsidRPr="008D7D4A">
              <w:rPr>
                <w:b/>
                <w:sz w:val="20"/>
                <w:lang w:val="en-CA"/>
              </w:rPr>
              <w:t>20</w:t>
            </w:r>
            <w:r>
              <w:rPr>
                <w:b/>
                <w:sz w:val="20"/>
                <w:lang w:val="en-CA"/>
              </w:rPr>
              <w:t>1</w:t>
            </w:r>
            <w:r w:rsidRPr="008D7D4A">
              <w:rPr>
                <w:b/>
                <w:sz w:val="20"/>
                <w:lang w:val="en-CA"/>
              </w:rPr>
              <w:t>1</w:t>
            </w:r>
            <w:r>
              <w:rPr>
                <w:b/>
                <w:sz w:val="20"/>
                <w:vertAlign w:val="superscript"/>
                <w:lang w:val="en-CA"/>
              </w:rPr>
              <w:t>7</w:t>
            </w:r>
          </w:p>
        </w:tc>
      </w:tr>
      <w:tr w:rsidR="00F67A99" w:rsidRPr="008D7D4A" w:rsidTr="00632D6B">
        <w:trPr>
          <w:trHeight w:val="317"/>
          <w:jc w:val="center"/>
        </w:trPr>
        <w:tc>
          <w:tcPr>
            <w:tcW w:w="2072" w:type="dxa"/>
            <w:tcBorders>
              <w:top w:val="single" w:sz="4" w:space="0" w:color="000000"/>
              <w:left w:val="single" w:sz="4" w:space="0" w:color="000000"/>
              <w:bottom w:val="single" w:sz="4" w:space="0" w:color="000000"/>
              <w:right w:val="single" w:sz="4" w:space="0" w:color="000000"/>
            </w:tcBorders>
            <w:hideMark/>
          </w:tcPr>
          <w:p w:rsidR="00F67A99" w:rsidRPr="008D7D4A" w:rsidRDefault="00BD3D52" w:rsidP="00632D6B">
            <w:pPr>
              <w:spacing w:after="0"/>
              <w:rPr>
                <w:sz w:val="20"/>
                <w:lang w:val="en-CA"/>
              </w:rPr>
            </w:pPr>
            <w:r>
              <w:rPr>
                <w:sz w:val="20"/>
                <w:lang w:val="en-CA"/>
              </w:rPr>
              <w:t>Total Costs</w:t>
            </w:r>
          </w:p>
        </w:tc>
        <w:tc>
          <w:tcPr>
            <w:tcW w:w="2298" w:type="dxa"/>
            <w:tcBorders>
              <w:top w:val="single" w:sz="4" w:space="0" w:color="000000"/>
              <w:left w:val="single" w:sz="4" w:space="0" w:color="000000"/>
              <w:bottom w:val="single" w:sz="4" w:space="0" w:color="000000"/>
              <w:right w:val="single" w:sz="4" w:space="0" w:color="000000"/>
            </w:tcBorders>
          </w:tcPr>
          <w:p w:rsidR="00F67A99" w:rsidRPr="008D7D4A" w:rsidRDefault="00F67A99" w:rsidP="00632D6B">
            <w:pPr>
              <w:spacing w:after="0"/>
              <w:rPr>
                <w:sz w:val="20"/>
                <w:lang w:val="en-CA"/>
              </w:rPr>
            </w:pPr>
          </w:p>
        </w:tc>
        <w:tc>
          <w:tcPr>
            <w:tcW w:w="2520" w:type="dxa"/>
            <w:tcBorders>
              <w:top w:val="single" w:sz="4" w:space="0" w:color="000000"/>
              <w:left w:val="single" w:sz="4" w:space="0" w:color="000000"/>
              <w:bottom w:val="single" w:sz="4" w:space="0" w:color="000000"/>
              <w:right w:val="single" w:sz="4" w:space="0" w:color="000000"/>
            </w:tcBorders>
          </w:tcPr>
          <w:p w:rsidR="00F67A99" w:rsidRPr="008D7D4A" w:rsidRDefault="00F67A99" w:rsidP="00632D6B">
            <w:pPr>
              <w:spacing w:after="0"/>
              <w:rPr>
                <w:sz w:val="20"/>
                <w:lang w:val="en-CA"/>
              </w:rPr>
            </w:pPr>
          </w:p>
        </w:tc>
        <w:tc>
          <w:tcPr>
            <w:tcW w:w="2670" w:type="dxa"/>
            <w:tcBorders>
              <w:top w:val="single" w:sz="4" w:space="0" w:color="000000"/>
              <w:left w:val="single" w:sz="4" w:space="0" w:color="000000"/>
              <w:bottom w:val="single" w:sz="4" w:space="0" w:color="000000"/>
              <w:right w:val="single" w:sz="4" w:space="0" w:color="000000"/>
            </w:tcBorders>
            <w:hideMark/>
          </w:tcPr>
          <w:p w:rsidR="00F67A99" w:rsidRPr="008D7D4A" w:rsidRDefault="00F67A99" w:rsidP="00632D6B">
            <w:pPr>
              <w:spacing w:after="0"/>
              <w:rPr>
                <w:b/>
                <w:sz w:val="20"/>
                <w:lang w:val="en-CA"/>
              </w:rPr>
            </w:pPr>
            <w:r w:rsidRPr="008D7D4A">
              <w:rPr>
                <w:b/>
                <w:sz w:val="20"/>
                <w:szCs w:val="20"/>
                <w:lang w:val="en-CA"/>
              </w:rPr>
              <w:t xml:space="preserve">≈ </w:t>
            </w:r>
            <w:r>
              <w:rPr>
                <w:b/>
                <w:sz w:val="20"/>
                <w:szCs w:val="20"/>
                <w:lang w:val="en-CA"/>
              </w:rPr>
              <w:t>$</w:t>
            </w:r>
            <w:r w:rsidRPr="008D7D4A">
              <w:rPr>
                <w:b/>
                <w:sz w:val="20"/>
                <w:szCs w:val="20"/>
                <w:lang w:val="en-CA"/>
              </w:rPr>
              <w:t>110</w:t>
            </w:r>
            <w:r>
              <w:rPr>
                <w:b/>
                <w:sz w:val="20"/>
                <w:szCs w:val="20"/>
                <w:lang w:val="en-CA"/>
              </w:rPr>
              <w:t>M</w:t>
            </w:r>
          </w:p>
        </w:tc>
      </w:tr>
    </w:tbl>
    <w:p w:rsidR="00F67A99" w:rsidRDefault="00F67A99" w:rsidP="00F67A99">
      <w:pPr>
        <w:spacing w:after="0"/>
        <w:rPr>
          <w:bCs/>
          <w:vanish/>
          <w:sz w:val="18"/>
          <w:vertAlign w:val="superscript"/>
          <w:lang w:val="en-CA" w:eastAsia="fr-CA"/>
        </w:rPr>
      </w:pPr>
      <w:r>
        <w:rPr>
          <w:bCs/>
          <w:sz w:val="18"/>
          <w:lang w:val="en-CA" w:eastAsia="fr-CA"/>
        </w:rPr>
        <w:t>Refe</w:t>
      </w:r>
      <w:r w:rsidRPr="008D7D4A">
        <w:rPr>
          <w:bCs/>
          <w:sz w:val="18"/>
          <w:lang w:val="en-CA" w:eastAsia="fr-CA"/>
        </w:rPr>
        <w:t xml:space="preserve">rences: </w:t>
      </w:r>
    </w:p>
    <w:p w:rsidR="00F67A99" w:rsidRDefault="00F67A99" w:rsidP="00F67A99">
      <w:pPr>
        <w:spacing w:after="0"/>
        <w:rPr>
          <w:bCs/>
          <w:sz w:val="18"/>
          <w:lang w:val="en-CA" w:eastAsia="fr-CA"/>
        </w:rPr>
      </w:pPr>
      <w:r>
        <w:rPr>
          <w:bCs/>
          <w:sz w:val="18"/>
          <w:vertAlign w:val="superscript"/>
          <w:lang w:val="en-CA" w:eastAsia="fr-CA"/>
        </w:rPr>
        <w:t>1</w:t>
      </w:r>
      <w:r w:rsidRPr="008D7D4A">
        <w:rPr>
          <w:bCs/>
          <w:sz w:val="18"/>
          <w:lang w:val="en-CA" w:eastAsia="fr-CA"/>
        </w:rPr>
        <w:t xml:space="preserve">DGSP, 2010; </w:t>
      </w:r>
      <w:r>
        <w:rPr>
          <w:bCs/>
          <w:sz w:val="18"/>
          <w:vertAlign w:val="superscript"/>
          <w:lang w:val="en-CA" w:eastAsia="fr-CA"/>
        </w:rPr>
        <w:t>2</w:t>
      </w:r>
      <w:r w:rsidRPr="008D7D4A">
        <w:rPr>
          <w:bCs/>
          <w:sz w:val="18"/>
          <w:lang w:val="en-CA" w:eastAsia="fr-CA"/>
        </w:rPr>
        <w:t xml:space="preserve">QeF 2011; </w:t>
      </w:r>
      <w:r>
        <w:rPr>
          <w:bCs/>
          <w:sz w:val="18"/>
          <w:vertAlign w:val="superscript"/>
          <w:lang w:val="en-CA" w:eastAsia="fr-CA"/>
        </w:rPr>
        <w:t>3</w:t>
      </w:r>
      <w:r w:rsidRPr="008D7D4A">
        <w:rPr>
          <w:bCs/>
          <w:sz w:val="18"/>
          <w:lang w:val="en-CA" w:eastAsia="fr-CA"/>
        </w:rPr>
        <w:t xml:space="preserve">MSSS,2012; </w:t>
      </w:r>
      <w:r>
        <w:rPr>
          <w:bCs/>
          <w:sz w:val="18"/>
          <w:vertAlign w:val="superscript"/>
          <w:lang w:val="en-CA" w:eastAsia="fr-CA"/>
        </w:rPr>
        <w:t>4</w:t>
      </w:r>
      <w:r w:rsidRPr="008D7D4A">
        <w:rPr>
          <w:bCs/>
          <w:sz w:val="18"/>
          <w:lang w:val="en-CA" w:eastAsia="fr-CA"/>
        </w:rPr>
        <w:t xml:space="preserve">DGSP, 2011; </w:t>
      </w:r>
      <w:r>
        <w:rPr>
          <w:bCs/>
          <w:sz w:val="18"/>
          <w:vertAlign w:val="superscript"/>
          <w:lang w:val="en-CA" w:eastAsia="fr-CA"/>
        </w:rPr>
        <w:t>5</w:t>
      </w:r>
      <w:r w:rsidRPr="008D7D4A">
        <w:rPr>
          <w:bCs/>
          <w:sz w:val="18"/>
          <w:lang w:val="en-CA" w:eastAsia="fr-CA"/>
        </w:rPr>
        <w:t>MTQ,</w:t>
      </w:r>
      <w:r>
        <w:rPr>
          <w:bCs/>
          <w:sz w:val="18"/>
          <w:lang w:val="en-CA" w:eastAsia="fr-CA"/>
        </w:rPr>
        <w:t xml:space="preserve"> </w:t>
      </w:r>
      <w:r w:rsidRPr="008D7D4A">
        <w:rPr>
          <w:bCs/>
          <w:sz w:val="18"/>
          <w:lang w:val="en-CA" w:eastAsia="fr-CA"/>
        </w:rPr>
        <w:t xml:space="preserve">2008; </w:t>
      </w:r>
      <w:r>
        <w:rPr>
          <w:bCs/>
          <w:sz w:val="18"/>
          <w:vertAlign w:val="superscript"/>
          <w:lang w:val="en-CA" w:eastAsia="fr-CA"/>
        </w:rPr>
        <w:t>6</w:t>
      </w:r>
      <w:r>
        <w:rPr>
          <w:bCs/>
          <w:sz w:val="18"/>
          <w:lang w:val="en-CA" w:eastAsia="fr-CA"/>
        </w:rPr>
        <w:t xml:space="preserve">PHAC,2011 </w:t>
      </w:r>
      <w:r>
        <w:rPr>
          <w:bCs/>
          <w:sz w:val="18"/>
          <w:vertAlign w:val="superscript"/>
          <w:lang w:val="en-CA" w:eastAsia="fr-CA"/>
        </w:rPr>
        <w:t>7</w:t>
      </w:r>
      <w:r w:rsidRPr="008D7D4A">
        <w:rPr>
          <w:bCs/>
          <w:sz w:val="18"/>
          <w:lang w:val="en-CA" w:eastAsia="fr-CA"/>
        </w:rPr>
        <w:t>RSEQ, 2011</w:t>
      </w:r>
      <w:r>
        <w:rPr>
          <w:bCs/>
          <w:sz w:val="18"/>
          <w:lang w:val="en-CA" w:eastAsia="fr-CA"/>
        </w:rPr>
        <w:t>.</w:t>
      </w:r>
    </w:p>
    <w:p w:rsidR="00F67A99" w:rsidRDefault="00F67A99" w:rsidP="00F67A99">
      <w:pPr>
        <w:spacing w:after="0"/>
        <w:rPr>
          <w:bCs/>
          <w:sz w:val="18"/>
          <w:lang w:val="fr-CA" w:eastAsia="fr-CA"/>
        </w:rPr>
      </w:pPr>
      <w:r w:rsidRPr="003C1661">
        <w:rPr>
          <w:bCs/>
          <w:sz w:val="18"/>
          <w:lang w:val="fr-CA" w:eastAsia="fr-CA"/>
        </w:rPr>
        <w:t>PAG: Plan d’action gouvernemental [Government Action Plan]; PNSP: Programme nationale de santé publique [</w:t>
      </w:r>
      <w:r>
        <w:rPr>
          <w:bCs/>
          <w:sz w:val="18"/>
          <w:lang w:val="fr-CA" w:eastAsia="fr-CA"/>
        </w:rPr>
        <w:t xml:space="preserve">Quebec </w:t>
      </w:r>
      <w:r w:rsidRPr="003C1661">
        <w:rPr>
          <w:bCs/>
          <w:sz w:val="18"/>
          <w:lang w:val="fr-CA" w:eastAsia="fr-CA"/>
        </w:rPr>
        <w:t xml:space="preserve"> Public Health Program</w:t>
      </w:r>
    </w:p>
    <w:p w:rsidR="00B4761B" w:rsidRDefault="00B4761B">
      <w:pPr>
        <w:spacing w:line="276" w:lineRule="auto"/>
        <w:rPr>
          <w:b/>
          <w:bCs/>
          <w:lang w:val="fr-CA" w:eastAsia="fr-CA"/>
        </w:rPr>
      </w:pPr>
      <w:r>
        <w:rPr>
          <w:b/>
          <w:bCs/>
          <w:lang w:val="fr-CA" w:eastAsia="fr-CA"/>
        </w:rPr>
        <w:br w:type="page"/>
      </w:r>
    </w:p>
    <w:p w:rsidR="00136DA6" w:rsidRPr="008D7D4A" w:rsidRDefault="00136DA6" w:rsidP="00136DA6">
      <w:pPr>
        <w:rPr>
          <w:b/>
          <w:lang w:val="en-CA"/>
        </w:rPr>
      </w:pPr>
      <w:r>
        <w:rPr>
          <w:b/>
          <w:lang w:val="en-CA"/>
        </w:rPr>
        <w:lastRenderedPageBreak/>
        <w:t>Table S3.  I</w:t>
      </w:r>
      <w:r w:rsidRPr="008D7D4A">
        <w:rPr>
          <w:b/>
          <w:lang w:val="en-CA"/>
        </w:rPr>
        <w:t xml:space="preserve">mpact of </w:t>
      </w:r>
      <w:r w:rsidRPr="00F73499">
        <w:rPr>
          <w:b/>
          <w:lang w:val="en-CA"/>
        </w:rPr>
        <w:t>discounting effects and accounting for increase in healthcare expenditures on risk factor costs and break-even point</w:t>
      </w:r>
      <w:r w:rsidR="0033388A">
        <w:rPr>
          <w:b/>
          <w:lang w:val="en-CA"/>
        </w:rPr>
        <w:t xml:space="preserve">. </w:t>
      </w:r>
      <w:r w:rsidR="0033388A">
        <w:rPr>
          <w:b/>
          <w:bCs/>
          <w:lang w:val="en-CA" w:eastAsia="fr-CA"/>
        </w:rPr>
        <w:t>Canada 2016</w:t>
      </w:r>
    </w:p>
    <w:tbl>
      <w:tblPr>
        <w:tblW w:w="9498" w:type="dxa"/>
        <w:jc w:val="center"/>
        <w:tblCellMar>
          <w:left w:w="70" w:type="dxa"/>
          <w:right w:w="70" w:type="dxa"/>
        </w:tblCellMar>
        <w:tblLook w:val="04A0" w:firstRow="1" w:lastRow="0" w:firstColumn="1" w:lastColumn="0" w:noHBand="0" w:noVBand="1"/>
      </w:tblPr>
      <w:tblGrid>
        <w:gridCol w:w="2410"/>
        <w:gridCol w:w="1418"/>
        <w:gridCol w:w="1417"/>
        <w:gridCol w:w="1418"/>
        <w:gridCol w:w="1417"/>
        <w:gridCol w:w="1418"/>
      </w:tblGrid>
      <w:tr w:rsidR="00136DA6" w:rsidRPr="008D7D4A" w:rsidTr="0036135C">
        <w:trPr>
          <w:trHeight w:val="330"/>
          <w:jc w:val="center"/>
        </w:trPr>
        <w:tc>
          <w:tcPr>
            <w:tcW w:w="2410" w:type="dxa"/>
            <w:tcBorders>
              <w:top w:val="single" w:sz="4" w:space="0" w:color="auto"/>
              <w:left w:val="nil"/>
              <w:bottom w:val="single" w:sz="4" w:space="0" w:color="auto"/>
              <w:right w:val="nil"/>
            </w:tcBorders>
            <w:shd w:val="clear" w:color="auto" w:fill="auto"/>
            <w:noWrap/>
            <w:vAlign w:val="center"/>
            <w:hideMark/>
          </w:tcPr>
          <w:p w:rsidR="00136DA6" w:rsidRPr="008D7D4A" w:rsidRDefault="00136DA6" w:rsidP="0036135C">
            <w:pPr>
              <w:spacing w:after="0"/>
              <w:jc w:val="center"/>
              <w:rPr>
                <w:rFonts w:ascii="Calibri" w:eastAsia="Times New Roman" w:hAnsi="Calibri"/>
                <w:color w:val="000000"/>
                <w:sz w:val="20"/>
                <w:szCs w:val="20"/>
                <w:lang w:val="en-CA" w:eastAsia="fr-CA"/>
              </w:rPr>
            </w:pPr>
          </w:p>
        </w:tc>
        <w:tc>
          <w:tcPr>
            <w:tcW w:w="7088" w:type="dxa"/>
            <w:gridSpan w:val="5"/>
            <w:tcBorders>
              <w:top w:val="single" w:sz="8" w:space="0" w:color="auto"/>
              <w:left w:val="nil"/>
              <w:bottom w:val="single" w:sz="4" w:space="0" w:color="auto"/>
              <w:right w:val="nil"/>
            </w:tcBorders>
            <w:shd w:val="clear" w:color="auto" w:fill="auto"/>
            <w:noWrap/>
            <w:vAlign w:val="center"/>
            <w:hideMark/>
          </w:tcPr>
          <w:p w:rsidR="00136DA6" w:rsidRPr="008D7D4A" w:rsidRDefault="00136DA6" w:rsidP="0036135C">
            <w:pPr>
              <w:spacing w:after="0"/>
              <w:jc w:val="center"/>
              <w:rPr>
                <w:rFonts w:ascii="Calibri" w:eastAsia="Times New Roman" w:hAnsi="Calibri"/>
                <w:color w:val="000000"/>
                <w:sz w:val="20"/>
                <w:szCs w:val="20"/>
                <w:lang w:val="en-CA" w:eastAsia="fr-CA"/>
              </w:rPr>
            </w:pPr>
            <w:r w:rsidRPr="008D7D4A">
              <w:rPr>
                <w:rFonts w:ascii="Calibri" w:eastAsia="Times New Roman" w:hAnsi="Calibri"/>
                <w:color w:val="000000"/>
                <w:sz w:val="20"/>
                <w:szCs w:val="20"/>
                <w:lang w:val="en-CA" w:eastAsia="fr-CA"/>
              </w:rPr>
              <w:t>Delay between the effects occurs ($ attributable to the disease)</w:t>
            </w:r>
          </w:p>
        </w:tc>
      </w:tr>
      <w:tr w:rsidR="00136DA6" w:rsidRPr="008D7D4A" w:rsidTr="0036135C">
        <w:trPr>
          <w:trHeight w:val="315"/>
          <w:jc w:val="center"/>
        </w:trPr>
        <w:tc>
          <w:tcPr>
            <w:tcW w:w="2410" w:type="dxa"/>
            <w:tcBorders>
              <w:top w:val="nil"/>
              <w:left w:val="nil"/>
              <w:bottom w:val="single" w:sz="8" w:space="0" w:color="auto"/>
              <w:right w:val="nil"/>
            </w:tcBorders>
            <w:shd w:val="clear" w:color="auto" w:fill="auto"/>
            <w:noWrap/>
            <w:vAlign w:val="center"/>
            <w:hideMark/>
          </w:tcPr>
          <w:p w:rsidR="00136DA6" w:rsidRPr="008D7D4A" w:rsidRDefault="00136DA6" w:rsidP="0036135C">
            <w:pPr>
              <w:spacing w:after="0"/>
              <w:jc w:val="center"/>
              <w:rPr>
                <w:rFonts w:ascii="Calibri" w:eastAsia="Times New Roman" w:hAnsi="Calibri"/>
                <w:color w:val="000000"/>
                <w:sz w:val="20"/>
                <w:szCs w:val="20"/>
                <w:lang w:val="en-CA" w:eastAsia="fr-CA"/>
              </w:rPr>
            </w:pPr>
          </w:p>
        </w:tc>
        <w:tc>
          <w:tcPr>
            <w:tcW w:w="1418" w:type="dxa"/>
            <w:tcBorders>
              <w:top w:val="nil"/>
              <w:left w:val="nil"/>
              <w:bottom w:val="single" w:sz="8" w:space="0" w:color="auto"/>
              <w:right w:val="nil"/>
            </w:tcBorders>
            <w:shd w:val="clear" w:color="auto" w:fill="auto"/>
            <w:noWrap/>
            <w:vAlign w:val="center"/>
            <w:hideMark/>
          </w:tcPr>
          <w:p w:rsidR="00136DA6" w:rsidRPr="008D7D4A" w:rsidRDefault="00136DA6" w:rsidP="0036135C">
            <w:pPr>
              <w:spacing w:after="0"/>
              <w:jc w:val="center"/>
              <w:rPr>
                <w:rFonts w:ascii="Calibri" w:eastAsia="Times New Roman" w:hAnsi="Calibri"/>
                <w:color w:val="000000"/>
                <w:sz w:val="20"/>
                <w:szCs w:val="20"/>
                <w:lang w:val="en-CA" w:eastAsia="fr-CA"/>
              </w:rPr>
            </w:pPr>
            <w:r w:rsidRPr="008D7D4A">
              <w:rPr>
                <w:rFonts w:ascii="Calibri" w:eastAsia="Times New Roman" w:hAnsi="Calibri"/>
                <w:color w:val="000000"/>
                <w:sz w:val="20"/>
                <w:szCs w:val="20"/>
                <w:lang w:val="en-CA" w:eastAsia="fr-CA"/>
              </w:rPr>
              <w:t>No discounting</w:t>
            </w:r>
          </w:p>
        </w:tc>
        <w:tc>
          <w:tcPr>
            <w:tcW w:w="1417" w:type="dxa"/>
            <w:tcBorders>
              <w:top w:val="nil"/>
              <w:left w:val="nil"/>
              <w:bottom w:val="single" w:sz="8" w:space="0" w:color="auto"/>
              <w:right w:val="nil"/>
            </w:tcBorders>
            <w:shd w:val="clear" w:color="auto" w:fill="auto"/>
            <w:noWrap/>
            <w:vAlign w:val="center"/>
            <w:hideMark/>
          </w:tcPr>
          <w:p w:rsidR="00136DA6" w:rsidRPr="008D7D4A" w:rsidRDefault="00136DA6" w:rsidP="0036135C">
            <w:pPr>
              <w:spacing w:after="0"/>
              <w:jc w:val="center"/>
              <w:rPr>
                <w:rFonts w:ascii="Calibri" w:eastAsia="Times New Roman" w:hAnsi="Calibri"/>
                <w:color w:val="000000"/>
                <w:sz w:val="20"/>
                <w:szCs w:val="20"/>
                <w:lang w:val="en-CA" w:eastAsia="fr-CA"/>
              </w:rPr>
            </w:pPr>
            <w:r w:rsidRPr="008D7D4A">
              <w:rPr>
                <w:rFonts w:ascii="Calibri" w:eastAsia="Times New Roman" w:hAnsi="Calibri"/>
                <w:color w:val="000000"/>
                <w:sz w:val="20"/>
                <w:szCs w:val="20"/>
                <w:lang w:val="en-CA" w:eastAsia="fr-CA"/>
              </w:rPr>
              <w:t>5 years</w:t>
            </w:r>
          </w:p>
        </w:tc>
        <w:tc>
          <w:tcPr>
            <w:tcW w:w="1418" w:type="dxa"/>
            <w:tcBorders>
              <w:top w:val="nil"/>
              <w:left w:val="nil"/>
              <w:bottom w:val="single" w:sz="8" w:space="0" w:color="auto"/>
              <w:right w:val="nil"/>
            </w:tcBorders>
            <w:shd w:val="clear" w:color="auto" w:fill="auto"/>
            <w:noWrap/>
            <w:vAlign w:val="center"/>
            <w:hideMark/>
          </w:tcPr>
          <w:p w:rsidR="00136DA6" w:rsidRPr="008D7D4A" w:rsidRDefault="00136DA6" w:rsidP="0036135C">
            <w:pPr>
              <w:spacing w:after="0"/>
              <w:jc w:val="center"/>
              <w:rPr>
                <w:rFonts w:ascii="Calibri" w:eastAsia="Times New Roman" w:hAnsi="Calibri"/>
                <w:color w:val="000000"/>
                <w:sz w:val="20"/>
                <w:szCs w:val="20"/>
                <w:lang w:val="en-CA" w:eastAsia="fr-CA"/>
              </w:rPr>
            </w:pPr>
            <w:r w:rsidRPr="008D7D4A">
              <w:rPr>
                <w:rFonts w:ascii="Calibri" w:eastAsia="Times New Roman" w:hAnsi="Calibri"/>
                <w:color w:val="000000"/>
                <w:sz w:val="20"/>
                <w:szCs w:val="20"/>
                <w:lang w:val="en-CA" w:eastAsia="fr-CA"/>
              </w:rPr>
              <w:t>10 years</w:t>
            </w:r>
          </w:p>
        </w:tc>
        <w:tc>
          <w:tcPr>
            <w:tcW w:w="1417" w:type="dxa"/>
            <w:tcBorders>
              <w:top w:val="nil"/>
              <w:left w:val="nil"/>
              <w:bottom w:val="single" w:sz="8" w:space="0" w:color="auto"/>
              <w:right w:val="nil"/>
            </w:tcBorders>
            <w:shd w:val="clear" w:color="auto" w:fill="auto"/>
            <w:noWrap/>
            <w:vAlign w:val="center"/>
            <w:hideMark/>
          </w:tcPr>
          <w:p w:rsidR="00136DA6" w:rsidRPr="008D7D4A" w:rsidRDefault="00136DA6" w:rsidP="0036135C">
            <w:pPr>
              <w:spacing w:after="0"/>
              <w:jc w:val="center"/>
              <w:rPr>
                <w:rFonts w:ascii="Calibri" w:eastAsia="Times New Roman" w:hAnsi="Calibri"/>
                <w:color w:val="000000"/>
                <w:sz w:val="20"/>
                <w:szCs w:val="20"/>
                <w:lang w:val="en-CA" w:eastAsia="fr-CA"/>
              </w:rPr>
            </w:pPr>
            <w:r w:rsidRPr="008D7D4A">
              <w:rPr>
                <w:rFonts w:ascii="Calibri" w:eastAsia="Times New Roman" w:hAnsi="Calibri"/>
                <w:color w:val="000000"/>
                <w:sz w:val="20"/>
                <w:szCs w:val="20"/>
                <w:lang w:val="en-CA" w:eastAsia="fr-CA"/>
              </w:rPr>
              <w:t>15 years</w:t>
            </w:r>
          </w:p>
        </w:tc>
        <w:tc>
          <w:tcPr>
            <w:tcW w:w="1418" w:type="dxa"/>
            <w:tcBorders>
              <w:top w:val="nil"/>
              <w:left w:val="nil"/>
              <w:bottom w:val="single" w:sz="8" w:space="0" w:color="auto"/>
              <w:right w:val="nil"/>
            </w:tcBorders>
            <w:shd w:val="clear" w:color="auto" w:fill="auto"/>
            <w:noWrap/>
            <w:vAlign w:val="center"/>
            <w:hideMark/>
          </w:tcPr>
          <w:p w:rsidR="00136DA6" w:rsidRPr="008D7D4A" w:rsidRDefault="00136DA6" w:rsidP="0036135C">
            <w:pPr>
              <w:spacing w:after="0"/>
              <w:jc w:val="center"/>
              <w:rPr>
                <w:rFonts w:ascii="Calibri" w:eastAsia="Times New Roman" w:hAnsi="Calibri"/>
                <w:color w:val="000000"/>
                <w:sz w:val="20"/>
                <w:szCs w:val="20"/>
                <w:lang w:val="en-CA" w:eastAsia="fr-CA"/>
              </w:rPr>
            </w:pPr>
            <w:r w:rsidRPr="008D7D4A">
              <w:rPr>
                <w:rFonts w:ascii="Calibri" w:eastAsia="Times New Roman" w:hAnsi="Calibri"/>
                <w:color w:val="000000"/>
                <w:sz w:val="20"/>
                <w:szCs w:val="20"/>
                <w:lang w:val="en-CA" w:eastAsia="fr-CA"/>
              </w:rPr>
              <w:t>20 years</w:t>
            </w:r>
          </w:p>
        </w:tc>
      </w:tr>
      <w:tr w:rsidR="00136DA6" w:rsidRPr="008D7D4A" w:rsidTr="0036135C">
        <w:trPr>
          <w:trHeight w:val="430"/>
          <w:jc w:val="center"/>
        </w:trPr>
        <w:tc>
          <w:tcPr>
            <w:tcW w:w="2410" w:type="dxa"/>
            <w:tcBorders>
              <w:top w:val="nil"/>
              <w:left w:val="nil"/>
              <w:bottom w:val="single" w:sz="4" w:space="0" w:color="auto"/>
              <w:right w:val="nil"/>
            </w:tcBorders>
            <w:shd w:val="clear" w:color="auto" w:fill="auto"/>
            <w:noWrap/>
            <w:vAlign w:val="center"/>
            <w:hideMark/>
          </w:tcPr>
          <w:p w:rsidR="00136DA6" w:rsidRPr="008D7D4A" w:rsidRDefault="00136DA6" w:rsidP="0036135C">
            <w:pPr>
              <w:spacing w:after="0"/>
              <w:rPr>
                <w:rFonts w:ascii="Calibri" w:eastAsia="Times New Roman" w:hAnsi="Calibri"/>
                <w:color w:val="000000"/>
                <w:sz w:val="20"/>
                <w:szCs w:val="20"/>
                <w:lang w:val="en-CA" w:eastAsia="fr-CA"/>
              </w:rPr>
            </w:pPr>
            <w:r w:rsidRPr="008D7D4A">
              <w:rPr>
                <w:rFonts w:ascii="Calibri" w:eastAsia="Times New Roman" w:hAnsi="Calibri"/>
                <w:color w:val="000000"/>
                <w:sz w:val="20"/>
                <w:szCs w:val="20"/>
                <w:lang w:val="en-CA" w:eastAsia="fr-CA"/>
              </w:rPr>
              <w:t>Discounting effects (savings</w:t>
            </w:r>
            <w:r>
              <w:rPr>
                <w:rFonts w:ascii="Calibri" w:eastAsia="Times New Roman" w:hAnsi="Calibri"/>
                <w:color w:val="000000"/>
                <w:sz w:val="20"/>
                <w:szCs w:val="20"/>
                <w:lang w:val="en-CA" w:eastAsia="fr-CA"/>
              </w:rPr>
              <w:t xml:space="preserve"> from</w:t>
            </w:r>
            <w:r w:rsidRPr="008D7D4A">
              <w:rPr>
                <w:rFonts w:ascii="Calibri" w:eastAsia="Times New Roman" w:hAnsi="Calibri"/>
                <w:color w:val="000000"/>
                <w:sz w:val="20"/>
                <w:szCs w:val="20"/>
                <w:lang w:val="en-CA" w:eastAsia="fr-CA"/>
              </w:rPr>
              <w:t xml:space="preserve"> disease</w:t>
            </w:r>
            <w:r>
              <w:rPr>
                <w:rFonts w:ascii="Calibri" w:eastAsia="Times New Roman" w:hAnsi="Calibri"/>
                <w:color w:val="000000"/>
                <w:sz w:val="20"/>
                <w:szCs w:val="20"/>
                <w:lang w:val="en-CA" w:eastAsia="fr-CA"/>
              </w:rPr>
              <w:t xml:space="preserve"> avoidance</w:t>
            </w:r>
            <w:r w:rsidRPr="008D7D4A">
              <w:rPr>
                <w:rFonts w:ascii="Calibri" w:eastAsia="Times New Roman" w:hAnsi="Calibri"/>
                <w:color w:val="000000"/>
                <w:sz w:val="20"/>
                <w:szCs w:val="20"/>
                <w:lang w:val="en-CA" w:eastAsia="fr-CA"/>
              </w:rPr>
              <w:t>) at 3.5%</w:t>
            </w:r>
          </w:p>
        </w:tc>
        <w:tc>
          <w:tcPr>
            <w:tcW w:w="1418" w:type="dxa"/>
            <w:tcBorders>
              <w:top w:val="nil"/>
              <w:left w:val="nil"/>
              <w:bottom w:val="single" w:sz="4" w:space="0" w:color="000000"/>
              <w:right w:val="nil"/>
            </w:tcBorders>
            <w:shd w:val="clear" w:color="auto" w:fill="auto"/>
            <w:noWrap/>
            <w:vAlign w:val="center"/>
            <w:hideMark/>
          </w:tcPr>
          <w:p w:rsidR="00136DA6" w:rsidRPr="008D7D4A" w:rsidRDefault="00136DA6" w:rsidP="0036135C">
            <w:pPr>
              <w:spacing w:after="0"/>
              <w:jc w:val="center"/>
              <w:rPr>
                <w:rFonts w:ascii="Calibri" w:eastAsia="Times New Roman" w:hAnsi="Calibri"/>
                <w:color w:val="000000"/>
                <w:sz w:val="20"/>
                <w:szCs w:val="20"/>
                <w:lang w:val="en-CA" w:eastAsia="fr-CA"/>
              </w:rPr>
            </w:pPr>
            <w:r w:rsidRPr="008D7D4A">
              <w:rPr>
                <w:rFonts w:ascii="Calibri" w:eastAsia="Times New Roman" w:hAnsi="Calibri"/>
                <w:color w:val="000000"/>
                <w:sz w:val="20"/>
                <w:szCs w:val="20"/>
                <w:lang w:val="en-CA" w:eastAsia="fr-CA"/>
              </w:rPr>
              <w:t>$1</w:t>
            </w:r>
            <w:r>
              <w:rPr>
                <w:rFonts w:ascii="Calibri" w:eastAsia="Times New Roman" w:hAnsi="Calibri"/>
                <w:color w:val="000000"/>
                <w:sz w:val="20"/>
                <w:szCs w:val="20"/>
                <w:lang w:val="en-CA" w:eastAsia="fr-CA"/>
              </w:rPr>
              <w:t>,</w:t>
            </w:r>
            <w:r w:rsidRPr="008D7D4A">
              <w:rPr>
                <w:rFonts w:ascii="Calibri" w:eastAsia="Times New Roman" w:hAnsi="Calibri"/>
                <w:color w:val="000000"/>
                <w:sz w:val="20"/>
                <w:szCs w:val="20"/>
                <w:lang w:val="en-CA" w:eastAsia="fr-CA"/>
              </w:rPr>
              <w:t>958</w:t>
            </w:r>
            <w:r>
              <w:rPr>
                <w:rFonts w:ascii="Calibri" w:eastAsia="Times New Roman" w:hAnsi="Calibri"/>
                <w:color w:val="000000"/>
                <w:sz w:val="20"/>
                <w:szCs w:val="20"/>
                <w:lang w:val="en-CA" w:eastAsia="fr-CA"/>
              </w:rPr>
              <w:t>,</w:t>
            </w:r>
            <w:r w:rsidRPr="008D7D4A">
              <w:rPr>
                <w:rFonts w:ascii="Calibri" w:eastAsia="Times New Roman" w:hAnsi="Calibri"/>
                <w:color w:val="000000"/>
                <w:sz w:val="20"/>
                <w:szCs w:val="20"/>
                <w:lang w:val="en-CA" w:eastAsia="fr-CA"/>
              </w:rPr>
              <w:t>216</w:t>
            </w:r>
            <w:r>
              <w:rPr>
                <w:rFonts w:ascii="Calibri" w:eastAsia="Times New Roman" w:hAnsi="Calibri"/>
                <w:color w:val="000000"/>
                <w:sz w:val="20"/>
                <w:szCs w:val="20"/>
                <w:lang w:val="en-CA" w:eastAsia="fr-CA"/>
              </w:rPr>
              <w:t>,</w:t>
            </w:r>
            <w:r w:rsidRPr="008D7D4A">
              <w:rPr>
                <w:rFonts w:ascii="Calibri" w:eastAsia="Times New Roman" w:hAnsi="Calibri"/>
                <w:color w:val="000000"/>
                <w:sz w:val="20"/>
                <w:szCs w:val="20"/>
                <w:lang w:val="en-CA" w:eastAsia="fr-CA"/>
              </w:rPr>
              <w:t>550</w:t>
            </w:r>
          </w:p>
        </w:tc>
        <w:tc>
          <w:tcPr>
            <w:tcW w:w="1417" w:type="dxa"/>
            <w:tcBorders>
              <w:top w:val="nil"/>
              <w:left w:val="nil"/>
              <w:bottom w:val="single" w:sz="4" w:space="0" w:color="auto"/>
              <w:right w:val="nil"/>
            </w:tcBorders>
            <w:shd w:val="clear" w:color="auto" w:fill="auto"/>
            <w:noWrap/>
            <w:vAlign w:val="center"/>
            <w:hideMark/>
          </w:tcPr>
          <w:p w:rsidR="00136DA6" w:rsidRPr="008D7D4A" w:rsidRDefault="00136DA6" w:rsidP="0036135C">
            <w:pPr>
              <w:spacing w:after="0"/>
              <w:jc w:val="center"/>
              <w:rPr>
                <w:rFonts w:ascii="Calibri" w:hAnsi="Calibri"/>
                <w:color w:val="000000"/>
                <w:sz w:val="20"/>
                <w:szCs w:val="20"/>
                <w:lang w:val="en-CA"/>
              </w:rPr>
            </w:pPr>
            <w:r w:rsidRPr="008D7D4A">
              <w:rPr>
                <w:rFonts w:ascii="Calibri" w:hAnsi="Calibri"/>
                <w:color w:val="000000"/>
                <w:sz w:val="20"/>
                <w:szCs w:val="20"/>
                <w:lang w:val="en-CA"/>
              </w:rPr>
              <w:t>$1,648,765,790</w:t>
            </w:r>
          </w:p>
        </w:tc>
        <w:tc>
          <w:tcPr>
            <w:tcW w:w="1418" w:type="dxa"/>
            <w:tcBorders>
              <w:top w:val="nil"/>
              <w:left w:val="nil"/>
              <w:bottom w:val="single" w:sz="4" w:space="0" w:color="auto"/>
              <w:right w:val="nil"/>
            </w:tcBorders>
            <w:shd w:val="clear" w:color="auto" w:fill="auto"/>
            <w:noWrap/>
            <w:vAlign w:val="center"/>
            <w:hideMark/>
          </w:tcPr>
          <w:p w:rsidR="00136DA6" w:rsidRPr="008D7D4A" w:rsidRDefault="00136DA6" w:rsidP="0036135C">
            <w:pPr>
              <w:spacing w:after="0"/>
              <w:jc w:val="center"/>
              <w:rPr>
                <w:rFonts w:ascii="Calibri" w:hAnsi="Calibri"/>
                <w:color w:val="000000"/>
                <w:sz w:val="20"/>
                <w:szCs w:val="20"/>
                <w:lang w:val="en-CA"/>
              </w:rPr>
            </w:pPr>
            <w:r w:rsidRPr="008D7D4A">
              <w:rPr>
                <w:rFonts w:ascii="Calibri" w:hAnsi="Calibri"/>
                <w:color w:val="000000"/>
                <w:sz w:val="20"/>
                <w:szCs w:val="20"/>
                <w:lang w:val="en-CA"/>
              </w:rPr>
              <w:t>$1,388,216,554</w:t>
            </w:r>
          </w:p>
        </w:tc>
        <w:tc>
          <w:tcPr>
            <w:tcW w:w="1417" w:type="dxa"/>
            <w:tcBorders>
              <w:top w:val="nil"/>
              <w:left w:val="nil"/>
              <w:bottom w:val="single" w:sz="4" w:space="0" w:color="auto"/>
              <w:right w:val="nil"/>
            </w:tcBorders>
            <w:shd w:val="clear" w:color="auto" w:fill="auto"/>
            <w:noWrap/>
            <w:vAlign w:val="center"/>
            <w:hideMark/>
          </w:tcPr>
          <w:p w:rsidR="00136DA6" w:rsidRPr="008D7D4A" w:rsidRDefault="00136DA6" w:rsidP="0036135C">
            <w:pPr>
              <w:spacing w:after="0"/>
              <w:jc w:val="center"/>
              <w:rPr>
                <w:rFonts w:ascii="Calibri" w:hAnsi="Calibri"/>
                <w:color w:val="000000"/>
                <w:sz w:val="20"/>
                <w:szCs w:val="20"/>
                <w:lang w:val="en-CA"/>
              </w:rPr>
            </w:pPr>
            <w:r w:rsidRPr="008D7D4A">
              <w:rPr>
                <w:rFonts w:ascii="Calibri" w:hAnsi="Calibri"/>
                <w:color w:val="000000"/>
                <w:sz w:val="20"/>
                <w:szCs w:val="20"/>
                <w:lang w:val="en-CA"/>
              </w:rPr>
              <w:t>$1,168,841,088</w:t>
            </w:r>
          </w:p>
        </w:tc>
        <w:tc>
          <w:tcPr>
            <w:tcW w:w="1418" w:type="dxa"/>
            <w:tcBorders>
              <w:top w:val="nil"/>
              <w:left w:val="nil"/>
              <w:bottom w:val="single" w:sz="4" w:space="0" w:color="auto"/>
              <w:right w:val="nil"/>
            </w:tcBorders>
            <w:shd w:val="clear" w:color="auto" w:fill="auto"/>
            <w:noWrap/>
            <w:vAlign w:val="center"/>
            <w:hideMark/>
          </w:tcPr>
          <w:p w:rsidR="00136DA6" w:rsidRPr="008D7D4A" w:rsidRDefault="00136DA6" w:rsidP="0036135C">
            <w:pPr>
              <w:spacing w:after="0"/>
              <w:jc w:val="center"/>
              <w:rPr>
                <w:rFonts w:ascii="Calibri" w:hAnsi="Calibri"/>
                <w:color w:val="000000"/>
                <w:sz w:val="20"/>
                <w:szCs w:val="20"/>
                <w:lang w:val="en-CA"/>
              </w:rPr>
            </w:pPr>
            <w:r w:rsidRPr="008D7D4A">
              <w:rPr>
                <w:rFonts w:ascii="Calibri" w:hAnsi="Calibri"/>
                <w:color w:val="000000"/>
                <w:sz w:val="20"/>
                <w:szCs w:val="20"/>
                <w:lang w:val="en-CA"/>
              </w:rPr>
              <w:t>$984,132,832</w:t>
            </w:r>
          </w:p>
        </w:tc>
      </w:tr>
      <w:tr w:rsidR="00136DA6" w:rsidRPr="008D7D4A" w:rsidTr="0036135C">
        <w:trPr>
          <w:trHeight w:val="261"/>
          <w:jc w:val="center"/>
        </w:trPr>
        <w:tc>
          <w:tcPr>
            <w:tcW w:w="2410" w:type="dxa"/>
            <w:tcBorders>
              <w:top w:val="single" w:sz="4" w:space="0" w:color="auto"/>
              <w:left w:val="nil"/>
              <w:bottom w:val="single" w:sz="4" w:space="0" w:color="auto"/>
              <w:right w:val="nil"/>
            </w:tcBorders>
            <w:shd w:val="clear" w:color="auto" w:fill="auto"/>
            <w:vAlign w:val="center"/>
            <w:hideMark/>
          </w:tcPr>
          <w:p w:rsidR="00136DA6" w:rsidRPr="008D7D4A" w:rsidRDefault="00136DA6" w:rsidP="0036135C">
            <w:pPr>
              <w:spacing w:after="0"/>
              <w:rPr>
                <w:rFonts w:ascii="Calibri" w:eastAsia="Times New Roman" w:hAnsi="Calibri"/>
                <w:color w:val="000000"/>
                <w:sz w:val="20"/>
                <w:szCs w:val="20"/>
                <w:lang w:val="en-CA" w:eastAsia="fr-CA"/>
              </w:rPr>
            </w:pPr>
            <w:r w:rsidRPr="008D7D4A">
              <w:rPr>
                <w:rFonts w:ascii="Calibri" w:eastAsia="Times New Roman" w:hAnsi="Calibri"/>
                <w:color w:val="000000"/>
                <w:sz w:val="20"/>
                <w:szCs w:val="20"/>
                <w:lang w:val="en-CA" w:eastAsia="fr-CA"/>
              </w:rPr>
              <w:t xml:space="preserve">Discounting </w:t>
            </w:r>
            <w:r>
              <w:rPr>
                <w:rFonts w:ascii="Calibri" w:eastAsia="Times New Roman" w:hAnsi="Calibri"/>
                <w:color w:val="000000"/>
                <w:sz w:val="20"/>
                <w:szCs w:val="20"/>
                <w:lang w:val="en-CA" w:eastAsia="fr-CA"/>
              </w:rPr>
              <w:t>and</w:t>
            </w:r>
            <w:r w:rsidRPr="008D7D4A">
              <w:rPr>
                <w:rFonts w:ascii="Calibri" w:eastAsia="Times New Roman" w:hAnsi="Calibri"/>
                <w:color w:val="000000"/>
                <w:sz w:val="20"/>
                <w:szCs w:val="20"/>
                <w:lang w:val="en-CA" w:eastAsia="fr-CA"/>
              </w:rPr>
              <w:t xml:space="preserve"> accounting for increase in health expenditures ($)</w:t>
            </w:r>
          </w:p>
        </w:tc>
        <w:tc>
          <w:tcPr>
            <w:tcW w:w="1418" w:type="dxa"/>
            <w:tcBorders>
              <w:top w:val="nil"/>
              <w:left w:val="nil"/>
              <w:bottom w:val="single" w:sz="4" w:space="0" w:color="000000"/>
              <w:right w:val="nil"/>
            </w:tcBorders>
            <w:shd w:val="clear" w:color="auto" w:fill="auto"/>
            <w:vAlign w:val="center"/>
            <w:hideMark/>
          </w:tcPr>
          <w:p w:rsidR="00136DA6" w:rsidRPr="008D7D4A" w:rsidRDefault="00136DA6" w:rsidP="0036135C">
            <w:pPr>
              <w:spacing w:after="0"/>
              <w:jc w:val="center"/>
              <w:rPr>
                <w:rFonts w:ascii="Calibri" w:eastAsia="Times New Roman" w:hAnsi="Calibri"/>
                <w:color w:val="000000"/>
                <w:sz w:val="20"/>
                <w:szCs w:val="20"/>
                <w:lang w:val="en-CA" w:eastAsia="fr-CA"/>
              </w:rPr>
            </w:pPr>
            <w:r w:rsidRPr="008D7D4A">
              <w:rPr>
                <w:rFonts w:ascii="Calibri" w:eastAsia="Times New Roman" w:hAnsi="Calibri"/>
                <w:color w:val="000000"/>
                <w:sz w:val="20"/>
                <w:szCs w:val="20"/>
                <w:lang w:val="en-CA" w:eastAsia="fr-CA"/>
              </w:rPr>
              <w:t>$1</w:t>
            </w:r>
            <w:r>
              <w:rPr>
                <w:rFonts w:ascii="Calibri" w:eastAsia="Times New Roman" w:hAnsi="Calibri"/>
                <w:color w:val="000000"/>
                <w:sz w:val="20"/>
                <w:szCs w:val="20"/>
                <w:lang w:val="en-CA" w:eastAsia="fr-CA"/>
              </w:rPr>
              <w:t>,</w:t>
            </w:r>
            <w:r w:rsidRPr="008D7D4A">
              <w:rPr>
                <w:rFonts w:ascii="Calibri" w:eastAsia="Times New Roman" w:hAnsi="Calibri"/>
                <w:color w:val="000000"/>
                <w:sz w:val="20"/>
                <w:szCs w:val="20"/>
                <w:lang w:val="en-CA" w:eastAsia="fr-CA"/>
              </w:rPr>
              <w:t>958</w:t>
            </w:r>
            <w:r>
              <w:rPr>
                <w:rFonts w:ascii="Calibri" w:eastAsia="Times New Roman" w:hAnsi="Calibri"/>
                <w:color w:val="000000"/>
                <w:sz w:val="20"/>
                <w:szCs w:val="20"/>
                <w:lang w:val="en-CA" w:eastAsia="fr-CA"/>
              </w:rPr>
              <w:t>,</w:t>
            </w:r>
            <w:r w:rsidRPr="008D7D4A">
              <w:rPr>
                <w:rFonts w:ascii="Calibri" w:eastAsia="Times New Roman" w:hAnsi="Calibri"/>
                <w:color w:val="000000"/>
                <w:sz w:val="20"/>
                <w:szCs w:val="20"/>
                <w:lang w:val="en-CA" w:eastAsia="fr-CA"/>
              </w:rPr>
              <w:t>216</w:t>
            </w:r>
            <w:r>
              <w:rPr>
                <w:rFonts w:ascii="Calibri" w:eastAsia="Times New Roman" w:hAnsi="Calibri"/>
                <w:color w:val="000000"/>
                <w:sz w:val="20"/>
                <w:szCs w:val="20"/>
                <w:lang w:val="en-CA" w:eastAsia="fr-CA"/>
              </w:rPr>
              <w:t>,</w:t>
            </w:r>
            <w:r w:rsidRPr="008D7D4A">
              <w:rPr>
                <w:rFonts w:ascii="Calibri" w:eastAsia="Times New Roman" w:hAnsi="Calibri"/>
                <w:color w:val="000000"/>
                <w:sz w:val="20"/>
                <w:szCs w:val="20"/>
                <w:lang w:val="en-CA" w:eastAsia="fr-CA"/>
              </w:rPr>
              <w:t>550</w:t>
            </w:r>
          </w:p>
        </w:tc>
        <w:tc>
          <w:tcPr>
            <w:tcW w:w="1417" w:type="dxa"/>
            <w:tcBorders>
              <w:top w:val="nil"/>
              <w:left w:val="nil"/>
              <w:bottom w:val="single" w:sz="4" w:space="0" w:color="auto"/>
              <w:right w:val="nil"/>
            </w:tcBorders>
            <w:shd w:val="clear" w:color="auto" w:fill="auto"/>
            <w:noWrap/>
            <w:vAlign w:val="center"/>
            <w:hideMark/>
          </w:tcPr>
          <w:p w:rsidR="00136DA6" w:rsidRPr="008D7D4A" w:rsidRDefault="00136DA6" w:rsidP="0036135C">
            <w:pPr>
              <w:spacing w:after="0"/>
              <w:jc w:val="center"/>
              <w:rPr>
                <w:rFonts w:ascii="Calibri" w:hAnsi="Calibri"/>
                <w:color w:val="000000"/>
                <w:sz w:val="20"/>
                <w:szCs w:val="20"/>
                <w:lang w:val="en-CA"/>
              </w:rPr>
            </w:pPr>
            <w:r w:rsidRPr="008D7D4A">
              <w:rPr>
                <w:rFonts w:ascii="Calibri" w:hAnsi="Calibri"/>
                <w:color w:val="000000"/>
                <w:sz w:val="20"/>
                <w:szCs w:val="20"/>
                <w:lang w:val="en-CA"/>
              </w:rPr>
              <w:t>$2,044,850,025</w:t>
            </w:r>
          </w:p>
        </w:tc>
        <w:tc>
          <w:tcPr>
            <w:tcW w:w="1418" w:type="dxa"/>
            <w:tcBorders>
              <w:top w:val="nil"/>
              <w:left w:val="nil"/>
              <w:bottom w:val="single" w:sz="4" w:space="0" w:color="auto"/>
              <w:right w:val="nil"/>
            </w:tcBorders>
            <w:shd w:val="clear" w:color="auto" w:fill="auto"/>
            <w:noWrap/>
            <w:vAlign w:val="center"/>
            <w:hideMark/>
          </w:tcPr>
          <w:p w:rsidR="00136DA6" w:rsidRPr="008D7D4A" w:rsidRDefault="00136DA6" w:rsidP="0036135C">
            <w:pPr>
              <w:spacing w:after="0"/>
              <w:jc w:val="center"/>
              <w:rPr>
                <w:rFonts w:ascii="Calibri" w:hAnsi="Calibri"/>
                <w:color w:val="000000"/>
                <w:sz w:val="20"/>
                <w:szCs w:val="20"/>
                <w:lang w:val="en-CA"/>
              </w:rPr>
            </w:pPr>
            <w:r w:rsidRPr="008D7D4A">
              <w:rPr>
                <w:rFonts w:ascii="Calibri" w:hAnsi="Calibri"/>
                <w:color w:val="000000"/>
                <w:sz w:val="20"/>
                <w:szCs w:val="20"/>
                <w:lang w:val="en-CA"/>
              </w:rPr>
              <w:t>$2,135,316,252</w:t>
            </w:r>
          </w:p>
        </w:tc>
        <w:tc>
          <w:tcPr>
            <w:tcW w:w="1417" w:type="dxa"/>
            <w:tcBorders>
              <w:top w:val="nil"/>
              <w:left w:val="nil"/>
              <w:bottom w:val="single" w:sz="4" w:space="0" w:color="auto"/>
              <w:right w:val="nil"/>
            </w:tcBorders>
            <w:shd w:val="clear" w:color="auto" w:fill="auto"/>
            <w:noWrap/>
            <w:vAlign w:val="center"/>
            <w:hideMark/>
          </w:tcPr>
          <w:p w:rsidR="00136DA6" w:rsidRPr="008D7D4A" w:rsidRDefault="00136DA6" w:rsidP="0036135C">
            <w:pPr>
              <w:spacing w:after="0"/>
              <w:jc w:val="center"/>
              <w:rPr>
                <w:rFonts w:ascii="Calibri" w:hAnsi="Calibri"/>
                <w:color w:val="000000"/>
                <w:sz w:val="20"/>
                <w:szCs w:val="20"/>
                <w:lang w:val="en-CA"/>
              </w:rPr>
            </w:pPr>
            <w:r w:rsidRPr="008D7D4A">
              <w:rPr>
                <w:rFonts w:ascii="Calibri" w:hAnsi="Calibri"/>
                <w:color w:val="000000"/>
                <w:sz w:val="20"/>
                <w:szCs w:val="20"/>
                <w:lang w:val="en-CA"/>
              </w:rPr>
              <w:t>$2,229,784,796</w:t>
            </w:r>
          </w:p>
        </w:tc>
        <w:tc>
          <w:tcPr>
            <w:tcW w:w="1418" w:type="dxa"/>
            <w:tcBorders>
              <w:top w:val="nil"/>
              <w:left w:val="nil"/>
              <w:bottom w:val="single" w:sz="4" w:space="0" w:color="auto"/>
              <w:right w:val="nil"/>
            </w:tcBorders>
            <w:shd w:val="clear" w:color="auto" w:fill="auto"/>
            <w:noWrap/>
            <w:vAlign w:val="center"/>
            <w:hideMark/>
          </w:tcPr>
          <w:p w:rsidR="00136DA6" w:rsidRPr="008D7D4A" w:rsidRDefault="00136DA6" w:rsidP="0036135C">
            <w:pPr>
              <w:spacing w:after="0"/>
              <w:jc w:val="center"/>
              <w:rPr>
                <w:rFonts w:ascii="Calibri" w:hAnsi="Calibri"/>
                <w:color w:val="000000"/>
                <w:sz w:val="20"/>
                <w:szCs w:val="20"/>
                <w:lang w:val="en-CA"/>
              </w:rPr>
            </w:pPr>
            <w:r w:rsidRPr="008D7D4A">
              <w:rPr>
                <w:rFonts w:ascii="Calibri" w:hAnsi="Calibri"/>
                <w:color w:val="000000"/>
                <w:sz w:val="20"/>
                <w:szCs w:val="20"/>
                <w:lang w:val="en-CA"/>
              </w:rPr>
              <w:t>$2,328,432,723</w:t>
            </w:r>
          </w:p>
        </w:tc>
      </w:tr>
      <w:tr w:rsidR="00136DA6" w:rsidRPr="008D7D4A" w:rsidTr="0036135C">
        <w:trPr>
          <w:trHeight w:val="421"/>
          <w:jc w:val="center"/>
        </w:trPr>
        <w:tc>
          <w:tcPr>
            <w:tcW w:w="2410" w:type="dxa"/>
            <w:tcBorders>
              <w:top w:val="single" w:sz="4" w:space="0" w:color="auto"/>
              <w:left w:val="nil"/>
              <w:bottom w:val="single" w:sz="8" w:space="0" w:color="auto"/>
              <w:right w:val="nil"/>
            </w:tcBorders>
            <w:shd w:val="clear" w:color="auto" w:fill="auto"/>
            <w:vAlign w:val="center"/>
            <w:hideMark/>
          </w:tcPr>
          <w:p w:rsidR="00136DA6" w:rsidRPr="008D7D4A" w:rsidRDefault="00136DA6" w:rsidP="0036135C">
            <w:pPr>
              <w:spacing w:after="0"/>
              <w:rPr>
                <w:rFonts w:ascii="Calibri" w:eastAsia="Times New Roman" w:hAnsi="Calibri"/>
                <w:color w:val="000000"/>
                <w:sz w:val="20"/>
                <w:szCs w:val="20"/>
                <w:lang w:val="en-CA" w:eastAsia="fr-CA"/>
              </w:rPr>
            </w:pPr>
            <w:r w:rsidRPr="00F73499">
              <w:rPr>
                <w:rFonts w:ascii="Calibri" w:eastAsia="Times New Roman" w:hAnsi="Calibri"/>
                <w:color w:val="000000"/>
                <w:sz w:val="20"/>
                <w:szCs w:val="20"/>
                <w:lang w:val="en-CA" w:eastAsia="fr-CA"/>
              </w:rPr>
              <w:t xml:space="preserve">Break-even </w:t>
            </w:r>
            <w:r>
              <w:rPr>
                <w:rFonts w:ascii="Calibri" w:eastAsia="Times New Roman" w:hAnsi="Calibri"/>
                <w:color w:val="000000"/>
                <w:sz w:val="20"/>
                <w:szCs w:val="20"/>
                <w:lang w:val="en-CA" w:eastAsia="fr-CA"/>
              </w:rPr>
              <w:t>point</w:t>
            </w:r>
            <w:r w:rsidRPr="008D7D4A">
              <w:rPr>
                <w:rFonts w:ascii="Calibri" w:eastAsia="Times New Roman" w:hAnsi="Calibri"/>
                <w:color w:val="000000"/>
                <w:sz w:val="20"/>
                <w:szCs w:val="20"/>
                <w:lang w:val="en-CA" w:eastAsia="fr-CA"/>
              </w:rPr>
              <w:t xml:space="preserve"> (%)</w:t>
            </w:r>
          </w:p>
        </w:tc>
        <w:tc>
          <w:tcPr>
            <w:tcW w:w="1418" w:type="dxa"/>
            <w:tcBorders>
              <w:top w:val="nil"/>
              <w:left w:val="nil"/>
              <w:bottom w:val="single" w:sz="8" w:space="0" w:color="auto"/>
              <w:right w:val="nil"/>
            </w:tcBorders>
            <w:shd w:val="clear" w:color="auto" w:fill="auto"/>
            <w:noWrap/>
            <w:vAlign w:val="center"/>
            <w:hideMark/>
          </w:tcPr>
          <w:p w:rsidR="00136DA6" w:rsidRPr="008D7D4A" w:rsidRDefault="00136DA6" w:rsidP="0036135C">
            <w:pPr>
              <w:spacing w:after="0"/>
              <w:jc w:val="center"/>
              <w:rPr>
                <w:rFonts w:ascii="Calibri" w:eastAsia="Times New Roman" w:hAnsi="Calibri"/>
                <w:color w:val="000000"/>
                <w:sz w:val="20"/>
                <w:szCs w:val="20"/>
                <w:lang w:val="en-CA" w:eastAsia="fr-CA"/>
              </w:rPr>
            </w:pPr>
            <w:r>
              <w:rPr>
                <w:rFonts w:ascii="Calibri" w:eastAsia="Times New Roman" w:hAnsi="Calibri"/>
                <w:color w:val="000000"/>
                <w:sz w:val="20"/>
                <w:szCs w:val="20"/>
                <w:lang w:val="en-CA" w:eastAsia="fr-CA"/>
              </w:rPr>
              <w:t>5.62</w:t>
            </w:r>
            <w:r w:rsidRPr="008D7D4A">
              <w:rPr>
                <w:rFonts w:ascii="Calibri" w:eastAsia="Times New Roman" w:hAnsi="Calibri"/>
                <w:color w:val="000000"/>
                <w:sz w:val="20"/>
                <w:szCs w:val="20"/>
                <w:lang w:val="en-CA" w:eastAsia="fr-CA"/>
              </w:rPr>
              <w:t>%</w:t>
            </w:r>
          </w:p>
        </w:tc>
        <w:tc>
          <w:tcPr>
            <w:tcW w:w="1417" w:type="dxa"/>
            <w:tcBorders>
              <w:top w:val="nil"/>
              <w:left w:val="nil"/>
              <w:bottom w:val="single" w:sz="8" w:space="0" w:color="auto"/>
              <w:right w:val="nil"/>
            </w:tcBorders>
            <w:shd w:val="clear" w:color="auto" w:fill="auto"/>
            <w:noWrap/>
            <w:vAlign w:val="center"/>
            <w:hideMark/>
          </w:tcPr>
          <w:p w:rsidR="00136DA6" w:rsidRPr="008D7D4A" w:rsidRDefault="00136DA6" w:rsidP="0036135C">
            <w:pPr>
              <w:spacing w:after="0"/>
              <w:jc w:val="center"/>
              <w:rPr>
                <w:rFonts w:ascii="Calibri" w:hAnsi="Calibri"/>
                <w:color w:val="000000"/>
                <w:sz w:val="20"/>
                <w:szCs w:val="20"/>
                <w:lang w:val="en-CA"/>
              </w:rPr>
            </w:pPr>
            <w:r>
              <w:rPr>
                <w:rFonts w:ascii="Calibri" w:hAnsi="Calibri"/>
                <w:color w:val="000000"/>
                <w:sz w:val="20"/>
                <w:szCs w:val="20"/>
                <w:lang w:val="en-CA"/>
              </w:rPr>
              <w:t>5.38</w:t>
            </w:r>
            <w:r w:rsidRPr="008D7D4A">
              <w:rPr>
                <w:rFonts w:ascii="Calibri" w:hAnsi="Calibri"/>
                <w:color w:val="000000"/>
                <w:sz w:val="20"/>
                <w:szCs w:val="20"/>
                <w:lang w:val="en-CA"/>
              </w:rPr>
              <w:t>%</w:t>
            </w:r>
          </w:p>
        </w:tc>
        <w:tc>
          <w:tcPr>
            <w:tcW w:w="1418" w:type="dxa"/>
            <w:tcBorders>
              <w:top w:val="nil"/>
              <w:left w:val="nil"/>
              <w:bottom w:val="single" w:sz="8" w:space="0" w:color="auto"/>
              <w:right w:val="nil"/>
            </w:tcBorders>
            <w:shd w:val="clear" w:color="auto" w:fill="auto"/>
            <w:noWrap/>
            <w:vAlign w:val="center"/>
            <w:hideMark/>
          </w:tcPr>
          <w:p w:rsidR="00136DA6" w:rsidRPr="008D7D4A" w:rsidRDefault="00136DA6" w:rsidP="0036135C">
            <w:pPr>
              <w:spacing w:after="0"/>
              <w:jc w:val="center"/>
              <w:rPr>
                <w:rFonts w:ascii="Calibri" w:hAnsi="Calibri"/>
                <w:color w:val="000000"/>
                <w:sz w:val="20"/>
                <w:szCs w:val="20"/>
                <w:lang w:val="en-CA"/>
              </w:rPr>
            </w:pPr>
            <w:r>
              <w:rPr>
                <w:rFonts w:ascii="Calibri" w:hAnsi="Calibri"/>
                <w:color w:val="000000"/>
                <w:sz w:val="20"/>
                <w:szCs w:val="20"/>
                <w:lang w:val="en-CA"/>
              </w:rPr>
              <w:t>5.15</w:t>
            </w:r>
            <w:r w:rsidRPr="008D7D4A">
              <w:rPr>
                <w:rFonts w:ascii="Calibri" w:hAnsi="Calibri"/>
                <w:color w:val="000000"/>
                <w:sz w:val="20"/>
                <w:szCs w:val="20"/>
                <w:lang w:val="en-CA"/>
              </w:rPr>
              <w:t>%</w:t>
            </w:r>
          </w:p>
        </w:tc>
        <w:tc>
          <w:tcPr>
            <w:tcW w:w="1417" w:type="dxa"/>
            <w:tcBorders>
              <w:top w:val="nil"/>
              <w:left w:val="nil"/>
              <w:bottom w:val="single" w:sz="8" w:space="0" w:color="auto"/>
              <w:right w:val="nil"/>
            </w:tcBorders>
            <w:shd w:val="clear" w:color="auto" w:fill="auto"/>
            <w:noWrap/>
            <w:vAlign w:val="center"/>
            <w:hideMark/>
          </w:tcPr>
          <w:p w:rsidR="00136DA6" w:rsidRPr="008D7D4A" w:rsidRDefault="00136DA6" w:rsidP="0036135C">
            <w:pPr>
              <w:spacing w:after="0"/>
              <w:jc w:val="center"/>
              <w:rPr>
                <w:rFonts w:ascii="Calibri" w:hAnsi="Calibri"/>
                <w:color w:val="000000"/>
                <w:sz w:val="20"/>
                <w:szCs w:val="20"/>
                <w:lang w:val="en-CA"/>
              </w:rPr>
            </w:pPr>
            <w:r>
              <w:rPr>
                <w:rFonts w:ascii="Calibri" w:hAnsi="Calibri"/>
                <w:color w:val="000000"/>
                <w:sz w:val="20"/>
                <w:szCs w:val="20"/>
                <w:lang w:val="en-CA"/>
              </w:rPr>
              <w:t>4.93</w:t>
            </w:r>
            <w:r w:rsidRPr="008D7D4A">
              <w:rPr>
                <w:rFonts w:ascii="Calibri" w:hAnsi="Calibri"/>
                <w:color w:val="000000"/>
                <w:sz w:val="20"/>
                <w:szCs w:val="20"/>
                <w:lang w:val="en-CA"/>
              </w:rPr>
              <w:t>%</w:t>
            </w:r>
          </w:p>
        </w:tc>
        <w:tc>
          <w:tcPr>
            <w:tcW w:w="1418" w:type="dxa"/>
            <w:tcBorders>
              <w:top w:val="nil"/>
              <w:left w:val="nil"/>
              <w:bottom w:val="single" w:sz="8" w:space="0" w:color="auto"/>
              <w:right w:val="nil"/>
            </w:tcBorders>
            <w:shd w:val="clear" w:color="auto" w:fill="auto"/>
            <w:noWrap/>
            <w:vAlign w:val="center"/>
            <w:hideMark/>
          </w:tcPr>
          <w:p w:rsidR="00136DA6" w:rsidRPr="008D7D4A" w:rsidRDefault="00136DA6" w:rsidP="0036135C">
            <w:pPr>
              <w:spacing w:after="0"/>
              <w:jc w:val="center"/>
              <w:rPr>
                <w:rFonts w:ascii="Calibri" w:hAnsi="Calibri"/>
                <w:color w:val="000000"/>
                <w:sz w:val="20"/>
                <w:szCs w:val="20"/>
                <w:lang w:val="en-CA"/>
              </w:rPr>
            </w:pPr>
            <w:r>
              <w:rPr>
                <w:rFonts w:ascii="Calibri" w:hAnsi="Calibri"/>
                <w:color w:val="000000"/>
                <w:sz w:val="20"/>
                <w:szCs w:val="20"/>
                <w:lang w:val="en-CA"/>
              </w:rPr>
              <w:t>4.72</w:t>
            </w:r>
            <w:r w:rsidRPr="008D7D4A">
              <w:rPr>
                <w:rFonts w:ascii="Calibri" w:hAnsi="Calibri"/>
                <w:color w:val="000000"/>
                <w:sz w:val="20"/>
                <w:szCs w:val="20"/>
                <w:lang w:val="en-CA"/>
              </w:rPr>
              <w:t>%</w:t>
            </w:r>
          </w:p>
        </w:tc>
      </w:tr>
    </w:tbl>
    <w:p w:rsidR="00136DA6" w:rsidRPr="008D7D4A" w:rsidRDefault="00136DA6" w:rsidP="00136DA6">
      <w:pPr>
        <w:spacing w:after="0"/>
        <w:rPr>
          <w:lang w:val="en-CA"/>
        </w:rPr>
      </w:pPr>
    </w:p>
    <w:p w:rsidR="00136DA6" w:rsidRPr="008D7D4A" w:rsidRDefault="00136DA6" w:rsidP="00136DA6">
      <w:pPr>
        <w:rPr>
          <w:lang w:val="en-CA"/>
        </w:rPr>
      </w:pPr>
    </w:p>
    <w:p w:rsidR="00136DA6" w:rsidRDefault="00136DA6" w:rsidP="00136DA6">
      <w:pPr>
        <w:rPr>
          <w:b/>
          <w:lang w:val="en-CA"/>
        </w:rPr>
      </w:pPr>
    </w:p>
    <w:p w:rsidR="00136DA6" w:rsidRDefault="00136DA6" w:rsidP="00136DA6">
      <w:pPr>
        <w:rPr>
          <w:b/>
          <w:lang w:val="en-CA"/>
        </w:rPr>
      </w:pPr>
    </w:p>
    <w:p w:rsidR="00136DA6" w:rsidRDefault="00136DA6">
      <w:pPr>
        <w:spacing w:line="276" w:lineRule="auto"/>
        <w:rPr>
          <w:b/>
          <w:bCs/>
          <w:lang w:eastAsia="fr-CA"/>
        </w:rPr>
      </w:pPr>
      <w:r>
        <w:rPr>
          <w:b/>
          <w:bCs/>
          <w:lang w:eastAsia="fr-CA"/>
        </w:rPr>
        <w:br w:type="page"/>
      </w:r>
    </w:p>
    <w:p w:rsidR="00BD3D52" w:rsidRPr="008A453E" w:rsidRDefault="00B4761B" w:rsidP="008A453E">
      <w:pPr>
        <w:spacing w:after="0" w:line="480" w:lineRule="auto"/>
        <w:rPr>
          <w:b/>
          <w:bCs/>
          <w:lang w:eastAsia="fr-CA"/>
        </w:rPr>
      </w:pPr>
      <w:r w:rsidRPr="008A453E">
        <w:rPr>
          <w:b/>
          <w:bCs/>
          <w:lang w:eastAsia="fr-CA"/>
        </w:rPr>
        <w:lastRenderedPageBreak/>
        <w:t>Sensitivity analyses methodology</w:t>
      </w:r>
    </w:p>
    <w:p w:rsidR="00B4761B" w:rsidRPr="008A453E" w:rsidRDefault="008A453E" w:rsidP="008A453E">
      <w:pPr>
        <w:spacing w:after="0" w:line="480" w:lineRule="auto"/>
        <w:rPr>
          <w:bCs/>
          <w:lang w:val="en-CA" w:eastAsia="fr-CA"/>
        </w:rPr>
      </w:pPr>
      <w:r w:rsidRPr="008A453E">
        <w:rPr>
          <w:bCs/>
          <w:lang w:val="en-CA" w:eastAsia="fr-CA"/>
        </w:rPr>
        <w:t xml:space="preserve">To assess the robustness of the results and the associated uncertainty, we calculated an average RR estimate and its confidence intervals (95%) with all selected RRs through the literature review (see above) using bootstrapping methods (1,000 samples) for each of the associations between exposure and the selected chronic diseases. We then calculated best and worst case threshold estimates. First, in our model, we included the lower bound of estimate for each association between exposure and the selected chronic diseases, in combination with the highest possible cost of the HLHP strategy. Second, we included the higher bound of the probabilistic RR estimate for each association between exposure and the selected chronic diseases, in combination with the lowest possible cost of the HLHP strategy. Finally, we performed sensitivity analyses to assess the impact on the estimated effectiveness level (break-even point) of using different discount rates, such as 1.5% (recommended by NICE (2012) for health effects) and 5% (recommended by CADTH </w:t>
      </w:r>
      <w:r w:rsidR="00E95DF0">
        <w:rPr>
          <w:bCs/>
          <w:lang w:val="en-CA" w:eastAsia="fr-CA"/>
        </w:rPr>
        <w:t xml:space="preserve">- </w:t>
      </w:r>
      <w:r w:rsidR="00E95DF0" w:rsidRPr="00E95DF0">
        <w:rPr>
          <w:bCs/>
          <w:lang w:val="en-CA" w:eastAsia="fr-CA"/>
        </w:rPr>
        <w:t xml:space="preserve">Canadian Agency for Drugs and Technologies in Health </w:t>
      </w:r>
      <w:r w:rsidR="00E95DF0">
        <w:rPr>
          <w:bCs/>
          <w:lang w:val="en-CA" w:eastAsia="fr-CA"/>
        </w:rPr>
        <w:t xml:space="preserve">- </w:t>
      </w:r>
      <w:bookmarkStart w:id="0" w:name="_GoBack"/>
      <w:bookmarkEnd w:id="0"/>
      <w:r w:rsidRPr="008A453E">
        <w:rPr>
          <w:bCs/>
          <w:lang w:val="en-CA" w:eastAsia="fr-CA"/>
        </w:rPr>
        <w:t>(2006) in Canada).</w:t>
      </w:r>
    </w:p>
    <w:p w:rsidR="008A453E" w:rsidRDefault="008A453E">
      <w:pPr>
        <w:spacing w:line="276" w:lineRule="auto"/>
        <w:rPr>
          <w:b/>
          <w:bCs/>
          <w:lang w:eastAsia="fr-CA"/>
        </w:rPr>
      </w:pPr>
      <w:r>
        <w:rPr>
          <w:b/>
          <w:bCs/>
          <w:lang w:eastAsia="fr-CA"/>
        </w:rPr>
        <w:br w:type="page"/>
      </w:r>
    </w:p>
    <w:p w:rsidR="008A453E" w:rsidRPr="008A453E" w:rsidRDefault="008A453E" w:rsidP="008A453E">
      <w:pPr>
        <w:spacing w:after="0" w:line="480" w:lineRule="auto"/>
        <w:rPr>
          <w:b/>
          <w:bCs/>
          <w:lang w:eastAsia="fr-CA"/>
        </w:rPr>
      </w:pPr>
      <w:r w:rsidRPr="008A453E">
        <w:rPr>
          <w:b/>
          <w:bCs/>
          <w:lang w:eastAsia="fr-CA"/>
        </w:rPr>
        <w:lastRenderedPageBreak/>
        <w:t xml:space="preserve">Sensitivity analyses </w:t>
      </w:r>
      <w:r>
        <w:rPr>
          <w:b/>
          <w:bCs/>
          <w:lang w:eastAsia="fr-CA"/>
        </w:rPr>
        <w:t>results</w:t>
      </w:r>
    </w:p>
    <w:p w:rsidR="00B2714A" w:rsidRPr="00B2714A" w:rsidRDefault="00B2714A" w:rsidP="00B2714A">
      <w:pPr>
        <w:spacing w:line="480" w:lineRule="auto"/>
        <w:rPr>
          <w:bCs/>
          <w:lang w:eastAsia="fr-CA"/>
        </w:rPr>
      </w:pPr>
      <w:r w:rsidRPr="00B2714A">
        <w:rPr>
          <w:bCs/>
          <w:lang w:eastAsia="fr-CA"/>
        </w:rPr>
        <w:t>We performed sensitivity analyses to assess the results’ sensitivity to variability in: 1) RR estimates, 2) total costs of the HLHP strategy, and 3) the discount rate used to assess future healthcare costs.</w:t>
      </w:r>
    </w:p>
    <w:p w:rsidR="00B2714A" w:rsidRPr="00B2714A" w:rsidRDefault="00B2714A" w:rsidP="00B2714A">
      <w:pPr>
        <w:spacing w:line="480" w:lineRule="auto"/>
        <w:rPr>
          <w:bCs/>
          <w:lang w:eastAsia="fr-CA"/>
        </w:rPr>
      </w:pPr>
      <w:r w:rsidRPr="00B2714A">
        <w:rPr>
          <w:bCs/>
          <w:lang w:eastAsia="fr-CA"/>
        </w:rPr>
        <w:t xml:space="preserve">As presented in </w:t>
      </w:r>
      <w:r w:rsidR="002036F2">
        <w:rPr>
          <w:bCs/>
          <w:lang w:eastAsia="fr-CA"/>
        </w:rPr>
        <w:t>Table S</w:t>
      </w:r>
      <w:r w:rsidR="0036135C">
        <w:rPr>
          <w:bCs/>
          <w:lang w:eastAsia="fr-CA"/>
        </w:rPr>
        <w:t>5</w:t>
      </w:r>
      <w:r w:rsidRPr="00B2714A">
        <w:rPr>
          <w:bCs/>
          <w:lang w:eastAsia="fr-CA"/>
        </w:rPr>
        <w:t xml:space="preserve">, we assessed a probabilistic RR estimate and 95% confidence intervals for each association between risk factors and the selected diseases. Sensitivity analysis using probabilistic RRs (bootstrapping) produced a similar base case estimate (5.60%) and a confidence interval of 4.14% to 9.35%. Our best and worst case analyses showed variation in the break-even point ranging from 3.38% (lower HLHP strategy cost estimate and higher costs attributed to risk factors) to 12.75% (higher  HLHP strategy cost estimate and lower costs attributed to risk factors), indicating significant levels of uncertainty regarding HLHP strategy costs and the RR estimate parameters (Table </w:t>
      </w:r>
      <w:r>
        <w:rPr>
          <w:bCs/>
          <w:lang w:eastAsia="fr-CA"/>
        </w:rPr>
        <w:t>S</w:t>
      </w:r>
      <w:r w:rsidR="00136DA6">
        <w:rPr>
          <w:bCs/>
          <w:lang w:eastAsia="fr-CA"/>
        </w:rPr>
        <w:t>4</w:t>
      </w:r>
      <w:r w:rsidRPr="00B2714A">
        <w:rPr>
          <w:bCs/>
          <w:lang w:eastAsia="fr-CA"/>
        </w:rPr>
        <w:t>).</w:t>
      </w:r>
    </w:p>
    <w:p w:rsidR="00B2714A" w:rsidRDefault="00B2714A" w:rsidP="00B2714A">
      <w:pPr>
        <w:spacing w:line="480" w:lineRule="auto"/>
        <w:rPr>
          <w:bCs/>
          <w:lang w:eastAsia="fr-CA"/>
        </w:rPr>
      </w:pPr>
      <w:r w:rsidRPr="00B2714A">
        <w:rPr>
          <w:bCs/>
          <w:lang w:eastAsia="fr-CA"/>
        </w:rPr>
        <w:t xml:space="preserve">Finally, </w:t>
      </w:r>
      <w:r w:rsidR="00C41493">
        <w:rPr>
          <w:bCs/>
          <w:lang w:eastAsia="fr-CA"/>
        </w:rPr>
        <w:t>Table S6 presents results</w:t>
      </w:r>
      <w:r w:rsidRPr="00B2714A">
        <w:rPr>
          <w:bCs/>
          <w:lang w:eastAsia="fr-CA"/>
        </w:rPr>
        <w:t xml:space="preserve"> using different discount rates to assess future costs of diseases showed the threshold to be moderately sensitive to the use of different discount rates, thus indicating that discounting at the rate proposed by CADTH (5%) would have a limited impact on the threshold.</w:t>
      </w:r>
    </w:p>
    <w:p w:rsidR="00B2714A" w:rsidRDefault="00B2714A">
      <w:pPr>
        <w:spacing w:line="276" w:lineRule="auto"/>
        <w:rPr>
          <w:bCs/>
          <w:lang w:eastAsia="fr-CA"/>
        </w:rPr>
      </w:pPr>
      <w:r>
        <w:rPr>
          <w:bCs/>
          <w:lang w:eastAsia="fr-CA"/>
        </w:rPr>
        <w:br w:type="page"/>
      </w:r>
    </w:p>
    <w:p w:rsidR="00F518CC" w:rsidRPr="008D7D4A" w:rsidRDefault="00F518CC" w:rsidP="00F518CC">
      <w:pPr>
        <w:rPr>
          <w:b/>
          <w:lang w:val="en-CA"/>
        </w:rPr>
      </w:pPr>
      <w:r w:rsidRPr="008D7D4A">
        <w:rPr>
          <w:b/>
          <w:lang w:val="en-CA"/>
        </w:rPr>
        <w:lastRenderedPageBreak/>
        <w:t xml:space="preserve">Table </w:t>
      </w:r>
      <w:r>
        <w:rPr>
          <w:b/>
          <w:lang w:val="en-CA"/>
        </w:rPr>
        <w:t>S</w:t>
      </w:r>
      <w:r w:rsidR="00136DA6">
        <w:rPr>
          <w:b/>
          <w:lang w:val="en-CA"/>
        </w:rPr>
        <w:t>4</w:t>
      </w:r>
      <w:r>
        <w:rPr>
          <w:b/>
          <w:lang w:val="en-CA"/>
        </w:rPr>
        <w:t>.</w:t>
      </w:r>
      <w:r w:rsidRPr="008D7D4A">
        <w:rPr>
          <w:b/>
          <w:lang w:val="en-CA"/>
        </w:rPr>
        <w:t xml:space="preserve"> Sen</w:t>
      </w:r>
      <w:r>
        <w:rPr>
          <w:b/>
          <w:lang w:val="en-CA"/>
        </w:rPr>
        <w:t xml:space="preserve">sitivity analyses – Impact of variations in RR estimates and in </w:t>
      </w:r>
      <w:r w:rsidRPr="008D7D4A">
        <w:rPr>
          <w:b/>
          <w:lang w:val="en-CA"/>
        </w:rPr>
        <w:t xml:space="preserve">costs of the </w:t>
      </w:r>
      <w:r>
        <w:rPr>
          <w:b/>
          <w:lang w:val="en-CA"/>
        </w:rPr>
        <w:t xml:space="preserve">HLHP </w:t>
      </w:r>
      <w:r w:rsidRPr="008D7D4A">
        <w:rPr>
          <w:b/>
          <w:lang w:val="en-CA"/>
        </w:rPr>
        <w:t xml:space="preserve">strategy on the </w:t>
      </w:r>
      <w:r w:rsidRPr="00F73499">
        <w:rPr>
          <w:b/>
          <w:lang w:val="en-CA"/>
        </w:rPr>
        <w:t>break-even point</w:t>
      </w:r>
      <w:r w:rsidR="00BD2347">
        <w:rPr>
          <w:b/>
          <w:lang w:val="en-CA"/>
        </w:rPr>
        <w:t xml:space="preserve">. </w:t>
      </w:r>
      <w:r w:rsidR="00BD2347">
        <w:rPr>
          <w:b/>
          <w:bCs/>
          <w:lang w:val="en-CA" w:eastAsia="fr-CA"/>
        </w:rPr>
        <w:t>Canada 2016</w:t>
      </w:r>
    </w:p>
    <w:tbl>
      <w:tblPr>
        <w:tblW w:w="6912" w:type="dxa"/>
        <w:tblInd w:w="108" w:type="dxa"/>
        <w:tblBorders>
          <w:top w:val="single" w:sz="4" w:space="0" w:color="auto"/>
          <w:bottom w:val="single" w:sz="4" w:space="0" w:color="auto"/>
        </w:tblBorders>
        <w:tblLook w:val="04A0" w:firstRow="1" w:lastRow="0" w:firstColumn="1" w:lastColumn="0" w:noHBand="0" w:noVBand="1"/>
      </w:tblPr>
      <w:tblGrid>
        <w:gridCol w:w="1616"/>
        <w:gridCol w:w="1656"/>
        <w:gridCol w:w="1820"/>
        <w:gridCol w:w="1820"/>
      </w:tblGrid>
      <w:tr w:rsidR="00F518CC" w:rsidRPr="008D7D4A" w:rsidTr="0036135C">
        <w:trPr>
          <w:trHeight w:val="300"/>
        </w:trPr>
        <w:tc>
          <w:tcPr>
            <w:tcW w:w="1616" w:type="dxa"/>
            <w:vMerge w:val="restart"/>
            <w:tcBorders>
              <w:top w:val="single" w:sz="4" w:space="0" w:color="auto"/>
            </w:tcBorders>
            <w:shd w:val="clear" w:color="auto" w:fill="auto"/>
            <w:noWrap/>
            <w:vAlign w:val="bottom"/>
            <w:hideMark/>
          </w:tcPr>
          <w:p w:rsidR="00F518CC" w:rsidRPr="008D7D4A" w:rsidRDefault="00F518CC" w:rsidP="0036135C">
            <w:pPr>
              <w:spacing w:after="0"/>
              <w:jc w:val="center"/>
              <w:rPr>
                <w:rFonts w:ascii="Calibri" w:eastAsia="Times New Roman" w:hAnsi="Calibri"/>
                <w:color w:val="000000"/>
                <w:sz w:val="22"/>
                <w:szCs w:val="22"/>
                <w:lang w:val="en-CA" w:eastAsia="en-CA"/>
              </w:rPr>
            </w:pPr>
          </w:p>
        </w:tc>
        <w:tc>
          <w:tcPr>
            <w:tcW w:w="5296" w:type="dxa"/>
            <w:gridSpan w:val="3"/>
            <w:tcBorders>
              <w:top w:val="single" w:sz="4" w:space="0" w:color="auto"/>
              <w:bottom w:val="single" w:sz="4" w:space="0" w:color="auto"/>
            </w:tcBorders>
            <w:shd w:val="clear" w:color="auto" w:fill="auto"/>
            <w:noWrap/>
            <w:vAlign w:val="bottom"/>
            <w:hideMark/>
          </w:tcPr>
          <w:p w:rsidR="00F518CC" w:rsidRPr="008D7D4A" w:rsidRDefault="00F518CC" w:rsidP="0036135C">
            <w:pPr>
              <w:spacing w:after="0"/>
              <w:jc w:val="center"/>
              <w:rPr>
                <w:rFonts w:ascii="Calibri" w:eastAsia="Times New Roman" w:hAnsi="Calibri"/>
                <w:b/>
                <w:bCs/>
                <w:color w:val="000000"/>
                <w:sz w:val="22"/>
                <w:szCs w:val="22"/>
                <w:lang w:val="en-CA" w:eastAsia="en-CA"/>
              </w:rPr>
            </w:pPr>
            <w:r w:rsidRPr="008D7D4A">
              <w:rPr>
                <w:rFonts w:ascii="Calibri" w:eastAsia="Times New Roman" w:hAnsi="Calibri"/>
                <w:b/>
                <w:bCs/>
                <w:color w:val="000000"/>
                <w:sz w:val="22"/>
                <w:szCs w:val="22"/>
                <w:lang w:val="en-CA" w:eastAsia="en-CA"/>
              </w:rPr>
              <w:t>Variation</w:t>
            </w:r>
            <w:r>
              <w:rPr>
                <w:rFonts w:ascii="Calibri" w:eastAsia="Times New Roman" w:hAnsi="Calibri"/>
                <w:b/>
                <w:bCs/>
                <w:color w:val="000000"/>
                <w:sz w:val="22"/>
                <w:szCs w:val="22"/>
                <w:lang w:val="en-CA" w:eastAsia="en-CA"/>
              </w:rPr>
              <w:t>s</w:t>
            </w:r>
            <w:r w:rsidRPr="008D7D4A">
              <w:rPr>
                <w:rFonts w:ascii="Calibri" w:eastAsia="Times New Roman" w:hAnsi="Calibri"/>
                <w:b/>
                <w:bCs/>
                <w:color w:val="000000"/>
                <w:sz w:val="22"/>
                <w:szCs w:val="22"/>
                <w:lang w:val="en-CA" w:eastAsia="en-CA"/>
              </w:rPr>
              <w:t xml:space="preserve"> in </w:t>
            </w:r>
            <w:r>
              <w:rPr>
                <w:rFonts w:ascii="Calibri" w:eastAsia="Times New Roman" w:hAnsi="Calibri"/>
                <w:b/>
                <w:bCs/>
                <w:color w:val="000000"/>
                <w:sz w:val="22"/>
                <w:szCs w:val="22"/>
                <w:lang w:val="en-CA" w:eastAsia="en-CA"/>
              </w:rPr>
              <w:t>HLHP strategy</w:t>
            </w:r>
            <w:r w:rsidRPr="008D7D4A">
              <w:rPr>
                <w:rFonts w:ascii="Calibri" w:eastAsia="Times New Roman" w:hAnsi="Calibri"/>
                <w:b/>
                <w:bCs/>
                <w:color w:val="000000"/>
                <w:sz w:val="22"/>
                <w:szCs w:val="22"/>
                <w:lang w:val="en-CA" w:eastAsia="en-CA"/>
              </w:rPr>
              <w:t xml:space="preserve"> costs</w:t>
            </w:r>
          </w:p>
        </w:tc>
      </w:tr>
      <w:tr w:rsidR="00F518CC" w:rsidRPr="008D7D4A" w:rsidTr="0036135C">
        <w:trPr>
          <w:trHeight w:val="300"/>
        </w:trPr>
        <w:tc>
          <w:tcPr>
            <w:tcW w:w="1616" w:type="dxa"/>
            <w:vMerge/>
            <w:tcBorders>
              <w:bottom w:val="single" w:sz="4" w:space="0" w:color="auto"/>
            </w:tcBorders>
            <w:shd w:val="clear" w:color="auto" w:fill="auto"/>
            <w:noWrap/>
            <w:vAlign w:val="bottom"/>
            <w:hideMark/>
          </w:tcPr>
          <w:p w:rsidR="00F518CC" w:rsidRPr="008D7D4A" w:rsidRDefault="00F518CC" w:rsidP="0036135C">
            <w:pPr>
              <w:spacing w:after="0"/>
              <w:jc w:val="center"/>
              <w:rPr>
                <w:rFonts w:ascii="Calibri" w:eastAsia="Times New Roman" w:hAnsi="Calibri"/>
                <w:b/>
                <w:bCs/>
                <w:color w:val="000000"/>
                <w:sz w:val="22"/>
                <w:szCs w:val="22"/>
                <w:lang w:val="en-CA" w:eastAsia="en-CA"/>
              </w:rPr>
            </w:pPr>
          </w:p>
        </w:tc>
        <w:tc>
          <w:tcPr>
            <w:tcW w:w="1656" w:type="dxa"/>
            <w:tcBorders>
              <w:top w:val="single" w:sz="4" w:space="0" w:color="auto"/>
              <w:bottom w:val="single" w:sz="4" w:space="0" w:color="auto"/>
            </w:tcBorders>
            <w:shd w:val="clear" w:color="auto" w:fill="auto"/>
            <w:noWrap/>
            <w:vAlign w:val="bottom"/>
            <w:hideMark/>
          </w:tcPr>
          <w:p w:rsidR="00F518CC" w:rsidRPr="008D7D4A" w:rsidRDefault="00F518CC" w:rsidP="0036135C">
            <w:pPr>
              <w:spacing w:after="0"/>
              <w:jc w:val="center"/>
              <w:rPr>
                <w:rFonts w:ascii="Calibri" w:eastAsia="Times New Roman" w:hAnsi="Calibri"/>
                <w:color w:val="000000"/>
                <w:sz w:val="22"/>
                <w:szCs w:val="22"/>
                <w:lang w:val="en-CA" w:eastAsia="en-CA"/>
              </w:rPr>
            </w:pPr>
            <w:r w:rsidRPr="008D7D4A">
              <w:rPr>
                <w:rFonts w:ascii="Calibri" w:eastAsia="Times New Roman" w:hAnsi="Calibri"/>
                <w:color w:val="000000"/>
                <w:sz w:val="22"/>
                <w:szCs w:val="22"/>
                <w:lang w:val="en-CA" w:eastAsia="en-CA"/>
              </w:rPr>
              <w:t>$90,000,000</w:t>
            </w:r>
          </w:p>
        </w:tc>
        <w:tc>
          <w:tcPr>
            <w:tcW w:w="1820" w:type="dxa"/>
            <w:tcBorders>
              <w:top w:val="single" w:sz="4" w:space="0" w:color="auto"/>
              <w:bottom w:val="single" w:sz="4" w:space="0" w:color="auto"/>
            </w:tcBorders>
            <w:shd w:val="clear" w:color="auto" w:fill="auto"/>
            <w:noWrap/>
            <w:vAlign w:val="bottom"/>
            <w:hideMark/>
          </w:tcPr>
          <w:p w:rsidR="00F518CC" w:rsidRPr="008D7D4A" w:rsidRDefault="00F518CC" w:rsidP="0036135C">
            <w:pPr>
              <w:spacing w:after="0"/>
              <w:jc w:val="center"/>
              <w:rPr>
                <w:rFonts w:ascii="Calibri" w:eastAsia="Times New Roman" w:hAnsi="Calibri"/>
                <w:color w:val="000000"/>
                <w:sz w:val="22"/>
                <w:szCs w:val="22"/>
                <w:lang w:val="en-CA" w:eastAsia="en-CA"/>
              </w:rPr>
            </w:pPr>
            <w:r w:rsidRPr="008D7D4A">
              <w:rPr>
                <w:rFonts w:ascii="Calibri" w:eastAsia="Times New Roman" w:hAnsi="Calibri"/>
                <w:color w:val="000000"/>
                <w:sz w:val="22"/>
                <w:szCs w:val="22"/>
                <w:lang w:val="en-CA" w:eastAsia="en-CA"/>
              </w:rPr>
              <w:t>$110,000,000</w:t>
            </w:r>
          </w:p>
        </w:tc>
        <w:tc>
          <w:tcPr>
            <w:tcW w:w="1820" w:type="dxa"/>
            <w:tcBorders>
              <w:top w:val="single" w:sz="4" w:space="0" w:color="auto"/>
              <w:bottom w:val="single" w:sz="4" w:space="0" w:color="auto"/>
            </w:tcBorders>
            <w:shd w:val="clear" w:color="auto" w:fill="auto"/>
            <w:noWrap/>
            <w:vAlign w:val="bottom"/>
            <w:hideMark/>
          </w:tcPr>
          <w:p w:rsidR="00F518CC" w:rsidRPr="008D7D4A" w:rsidRDefault="00F518CC" w:rsidP="0036135C">
            <w:pPr>
              <w:spacing w:after="0"/>
              <w:jc w:val="center"/>
              <w:rPr>
                <w:rFonts w:ascii="Calibri" w:eastAsia="Times New Roman" w:hAnsi="Calibri"/>
                <w:color w:val="000000"/>
                <w:sz w:val="22"/>
                <w:szCs w:val="22"/>
                <w:lang w:val="en-CA" w:eastAsia="en-CA"/>
              </w:rPr>
            </w:pPr>
            <w:r w:rsidRPr="008D7D4A">
              <w:rPr>
                <w:rFonts w:ascii="Calibri" w:eastAsia="Times New Roman" w:hAnsi="Calibri"/>
                <w:color w:val="000000"/>
                <w:sz w:val="22"/>
                <w:szCs w:val="22"/>
                <w:lang w:val="en-CA" w:eastAsia="en-CA"/>
              </w:rPr>
              <w:t>$150,000,000</w:t>
            </w:r>
          </w:p>
        </w:tc>
      </w:tr>
      <w:tr w:rsidR="00F518CC" w:rsidRPr="008D7D4A" w:rsidTr="0036135C">
        <w:trPr>
          <w:trHeight w:val="300"/>
        </w:trPr>
        <w:tc>
          <w:tcPr>
            <w:tcW w:w="1616" w:type="dxa"/>
            <w:tcBorders>
              <w:top w:val="single" w:sz="4" w:space="0" w:color="auto"/>
            </w:tcBorders>
            <w:shd w:val="clear" w:color="auto" w:fill="auto"/>
            <w:noWrap/>
            <w:vAlign w:val="bottom"/>
            <w:hideMark/>
          </w:tcPr>
          <w:p w:rsidR="00F518CC" w:rsidRPr="008D7D4A" w:rsidRDefault="00F518CC" w:rsidP="0036135C">
            <w:pPr>
              <w:spacing w:after="0"/>
              <w:jc w:val="center"/>
              <w:rPr>
                <w:rFonts w:ascii="Calibri" w:eastAsia="Times New Roman" w:hAnsi="Calibri"/>
                <w:color w:val="000000"/>
                <w:sz w:val="22"/>
                <w:szCs w:val="22"/>
                <w:lang w:val="en-CA" w:eastAsia="en-CA"/>
              </w:rPr>
            </w:pPr>
            <w:r w:rsidRPr="008D7D4A">
              <w:rPr>
                <w:rFonts w:ascii="Calibri" w:eastAsia="Times New Roman" w:hAnsi="Calibri"/>
                <w:color w:val="000000"/>
                <w:sz w:val="22"/>
                <w:szCs w:val="22"/>
                <w:lang w:val="en-CA" w:eastAsia="en-CA"/>
              </w:rPr>
              <w:t>RR LCI</w:t>
            </w:r>
          </w:p>
        </w:tc>
        <w:tc>
          <w:tcPr>
            <w:tcW w:w="1656" w:type="dxa"/>
            <w:tcBorders>
              <w:top w:val="single" w:sz="4" w:space="0" w:color="auto"/>
            </w:tcBorders>
            <w:shd w:val="clear" w:color="auto" w:fill="auto"/>
            <w:noWrap/>
            <w:vAlign w:val="center"/>
            <w:hideMark/>
          </w:tcPr>
          <w:p w:rsidR="00F518CC" w:rsidRPr="008D7D4A" w:rsidRDefault="00F518CC" w:rsidP="0036135C">
            <w:pPr>
              <w:spacing w:after="0"/>
              <w:jc w:val="center"/>
              <w:rPr>
                <w:rFonts w:ascii="Calibri" w:eastAsia="Times New Roman" w:hAnsi="Calibri"/>
                <w:color w:val="000000"/>
                <w:sz w:val="22"/>
                <w:szCs w:val="22"/>
                <w:lang w:val="en-CA" w:eastAsia="en-CA"/>
              </w:rPr>
            </w:pPr>
            <w:r>
              <w:rPr>
                <w:rFonts w:ascii="Calibri" w:eastAsia="Times New Roman" w:hAnsi="Calibri"/>
                <w:color w:val="000000"/>
                <w:sz w:val="22"/>
                <w:szCs w:val="22"/>
                <w:lang w:val="en-CA" w:eastAsia="en-CA"/>
              </w:rPr>
              <w:t>7.65</w:t>
            </w:r>
            <w:r w:rsidRPr="008D7D4A">
              <w:rPr>
                <w:rFonts w:ascii="Calibri" w:eastAsia="Times New Roman" w:hAnsi="Calibri"/>
                <w:color w:val="000000"/>
                <w:sz w:val="22"/>
                <w:szCs w:val="22"/>
                <w:lang w:val="en-CA" w:eastAsia="en-CA"/>
              </w:rPr>
              <w:t>%</w:t>
            </w:r>
          </w:p>
        </w:tc>
        <w:tc>
          <w:tcPr>
            <w:tcW w:w="1820" w:type="dxa"/>
            <w:tcBorders>
              <w:top w:val="single" w:sz="4" w:space="0" w:color="auto"/>
            </w:tcBorders>
            <w:shd w:val="clear" w:color="auto" w:fill="auto"/>
            <w:noWrap/>
            <w:vAlign w:val="center"/>
            <w:hideMark/>
          </w:tcPr>
          <w:p w:rsidR="00F518CC" w:rsidRPr="008D7D4A" w:rsidRDefault="00F518CC" w:rsidP="0036135C">
            <w:pPr>
              <w:spacing w:after="0"/>
              <w:jc w:val="center"/>
              <w:rPr>
                <w:rFonts w:ascii="Calibri" w:eastAsia="Times New Roman" w:hAnsi="Calibri"/>
                <w:color w:val="000000"/>
                <w:sz w:val="22"/>
                <w:szCs w:val="22"/>
                <w:lang w:val="en-CA" w:eastAsia="en-CA"/>
              </w:rPr>
            </w:pPr>
            <w:r>
              <w:rPr>
                <w:rFonts w:ascii="Calibri" w:eastAsia="Times New Roman" w:hAnsi="Calibri"/>
                <w:color w:val="000000"/>
                <w:sz w:val="22"/>
                <w:szCs w:val="22"/>
                <w:lang w:val="en-CA" w:eastAsia="en-CA"/>
              </w:rPr>
              <w:t>9.35</w:t>
            </w:r>
            <w:r w:rsidRPr="008D7D4A">
              <w:rPr>
                <w:rFonts w:ascii="Calibri" w:eastAsia="Times New Roman" w:hAnsi="Calibri"/>
                <w:color w:val="000000"/>
                <w:sz w:val="22"/>
                <w:szCs w:val="22"/>
                <w:lang w:val="en-CA" w:eastAsia="en-CA"/>
              </w:rPr>
              <w:t>%</w:t>
            </w:r>
          </w:p>
        </w:tc>
        <w:tc>
          <w:tcPr>
            <w:tcW w:w="1820" w:type="dxa"/>
            <w:tcBorders>
              <w:top w:val="single" w:sz="4" w:space="0" w:color="auto"/>
            </w:tcBorders>
            <w:shd w:val="clear" w:color="auto" w:fill="auto"/>
            <w:noWrap/>
            <w:vAlign w:val="center"/>
            <w:hideMark/>
          </w:tcPr>
          <w:p w:rsidR="00F518CC" w:rsidRPr="008D7D4A" w:rsidRDefault="00F518CC" w:rsidP="0036135C">
            <w:pPr>
              <w:spacing w:after="0"/>
              <w:jc w:val="center"/>
              <w:rPr>
                <w:rFonts w:ascii="Calibri" w:eastAsia="Times New Roman" w:hAnsi="Calibri"/>
                <w:color w:val="000000"/>
                <w:sz w:val="22"/>
                <w:szCs w:val="22"/>
                <w:lang w:val="en-CA" w:eastAsia="en-CA"/>
              </w:rPr>
            </w:pPr>
            <w:r>
              <w:rPr>
                <w:rFonts w:ascii="Calibri" w:eastAsia="Times New Roman" w:hAnsi="Calibri"/>
                <w:color w:val="000000"/>
                <w:sz w:val="22"/>
                <w:szCs w:val="22"/>
                <w:lang w:val="en-CA" w:eastAsia="en-CA"/>
              </w:rPr>
              <w:t>12.75</w:t>
            </w:r>
            <w:r w:rsidRPr="008D7D4A">
              <w:rPr>
                <w:rFonts w:ascii="Calibri" w:eastAsia="Times New Roman" w:hAnsi="Calibri"/>
                <w:color w:val="000000"/>
                <w:sz w:val="22"/>
                <w:szCs w:val="22"/>
                <w:lang w:val="en-CA" w:eastAsia="en-CA"/>
              </w:rPr>
              <w:t>%</w:t>
            </w:r>
          </w:p>
        </w:tc>
      </w:tr>
      <w:tr w:rsidR="00F518CC" w:rsidRPr="008D7D4A" w:rsidTr="0036135C">
        <w:trPr>
          <w:trHeight w:val="300"/>
        </w:trPr>
        <w:tc>
          <w:tcPr>
            <w:tcW w:w="1616" w:type="dxa"/>
            <w:shd w:val="clear" w:color="auto" w:fill="auto"/>
            <w:noWrap/>
            <w:vAlign w:val="bottom"/>
            <w:hideMark/>
          </w:tcPr>
          <w:p w:rsidR="00F518CC" w:rsidRPr="008D7D4A" w:rsidRDefault="00F518CC" w:rsidP="0036135C">
            <w:pPr>
              <w:spacing w:after="0"/>
              <w:jc w:val="center"/>
              <w:rPr>
                <w:rFonts w:ascii="Calibri" w:eastAsia="Times New Roman" w:hAnsi="Calibri"/>
                <w:color w:val="000000"/>
                <w:sz w:val="22"/>
                <w:szCs w:val="22"/>
                <w:lang w:val="en-CA" w:eastAsia="en-CA"/>
              </w:rPr>
            </w:pPr>
            <w:r w:rsidRPr="008D7D4A">
              <w:rPr>
                <w:rFonts w:ascii="Calibri" w:eastAsia="Times New Roman" w:hAnsi="Calibri"/>
                <w:color w:val="000000"/>
                <w:sz w:val="22"/>
                <w:szCs w:val="22"/>
                <w:lang w:val="en-CA" w:eastAsia="en-CA"/>
              </w:rPr>
              <w:t>RR estimate</w:t>
            </w:r>
          </w:p>
        </w:tc>
        <w:tc>
          <w:tcPr>
            <w:tcW w:w="1656" w:type="dxa"/>
            <w:shd w:val="clear" w:color="auto" w:fill="auto"/>
            <w:noWrap/>
            <w:vAlign w:val="center"/>
            <w:hideMark/>
          </w:tcPr>
          <w:p w:rsidR="00F518CC" w:rsidRPr="008D7D4A" w:rsidRDefault="00F518CC" w:rsidP="0036135C">
            <w:pPr>
              <w:spacing w:after="0"/>
              <w:jc w:val="center"/>
              <w:rPr>
                <w:rFonts w:ascii="Calibri" w:eastAsia="Times New Roman" w:hAnsi="Calibri"/>
                <w:color w:val="000000"/>
                <w:sz w:val="22"/>
                <w:szCs w:val="22"/>
                <w:lang w:val="en-CA" w:eastAsia="en-CA"/>
              </w:rPr>
            </w:pPr>
            <w:r>
              <w:rPr>
                <w:rFonts w:ascii="Calibri" w:eastAsia="Times New Roman" w:hAnsi="Calibri"/>
                <w:color w:val="000000"/>
                <w:sz w:val="22"/>
                <w:szCs w:val="22"/>
                <w:lang w:val="en-CA" w:eastAsia="en-CA"/>
              </w:rPr>
              <w:t>4.58</w:t>
            </w:r>
            <w:r w:rsidRPr="008D7D4A">
              <w:rPr>
                <w:rFonts w:ascii="Calibri" w:eastAsia="Times New Roman" w:hAnsi="Calibri"/>
                <w:color w:val="000000"/>
                <w:sz w:val="22"/>
                <w:szCs w:val="22"/>
                <w:lang w:val="en-CA" w:eastAsia="en-CA"/>
              </w:rPr>
              <w:t>%</w:t>
            </w:r>
          </w:p>
        </w:tc>
        <w:tc>
          <w:tcPr>
            <w:tcW w:w="1820" w:type="dxa"/>
            <w:shd w:val="clear" w:color="auto" w:fill="auto"/>
            <w:noWrap/>
            <w:vAlign w:val="center"/>
            <w:hideMark/>
          </w:tcPr>
          <w:p w:rsidR="00F518CC" w:rsidRPr="008D7D4A" w:rsidRDefault="00F518CC" w:rsidP="0036135C">
            <w:pPr>
              <w:spacing w:after="0"/>
              <w:jc w:val="center"/>
              <w:rPr>
                <w:rFonts w:ascii="Calibri" w:eastAsia="Times New Roman" w:hAnsi="Calibri"/>
                <w:color w:val="000000"/>
                <w:sz w:val="22"/>
                <w:szCs w:val="22"/>
                <w:lang w:val="en-CA" w:eastAsia="en-CA"/>
              </w:rPr>
            </w:pPr>
            <w:r>
              <w:rPr>
                <w:rFonts w:ascii="Calibri" w:eastAsia="Times New Roman" w:hAnsi="Calibri"/>
                <w:color w:val="000000"/>
                <w:sz w:val="22"/>
                <w:szCs w:val="22"/>
                <w:lang w:val="en-CA" w:eastAsia="en-CA"/>
              </w:rPr>
              <w:t>5.60</w:t>
            </w:r>
            <w:r w:rsidRPr="008D7D4A">
              <w:rPr>
                <w:rFonts w:ascii="Calibri" w:eastAsia="Times New Roman" w:hAnsi="Calibri"/>
                <w:color w:val="000000"/>
                <w:sz w:val="22"/>
                <w:szCs w:val="22"/>
                <w:lang w:val="en-CA" w:eastAsia="en-CA"/>
              </w:rPr>
              <w:t>%</w:t>
            </w:r>
          </w:p>
        </w:tc>
        <w:tc>
          <w:tcPr>
            <w:tcW w:w="1820" w:type="dxa"/>
            <w:shd w:val="clear" w:color="auto" w:fill="auto"/>
            <w:noWrap/>
            <w:vAlign w:val="center"/>
            <w:hideMark/>
          </w:tcPr>
          <w:p w:rsidR="00F518CC" w:rsidRPr="008D7D4A" w:rsidRDefault="00F518CC" w:rsidP="0036135C">
            <w:pPr>
              <w:spacing w:after="0"/>
              <w:jc w:val="center"/>
              <w:rPr>
                <w:rFonts w:ascii="Calibri" w:eastAsia="Times New Roman" w:hAnsi="Calibri"/>
                <w:color w:val="000000"/>
                <w:sz w:val="22"/>
                <w:szCs w:val="22"/>
                <w:lang w:val="en-CA" w:eastAsia="en-CA"/>
              </w:rPr>
            </w:pPr>
            <w:r>
              <w:rPr>
                <w:rFonts w:ascii="Calibri" w:eastAsia="Times New Roman" w:hAnsi="Calibri"/>
                <w:color w:val="000000"/>
                <w:sz w:val="22"/>
                <w:szCs w:val="22"/>
                <w:lang w:val="en-CA" w:eastAsia="en-CA"/>
              </w:rPr>
              <w:t>7.63</w:t>
            </w:r>
            <w:r w:rsidRPr="008D7D4A">
              <w:rPr>
                <w:rFonts w:ascii="Calibri" w:eastAsia="Times New Roman" w:hAnsi="Calibri"/>
                <w:color w:val="000000"/>
                <w:sz w:val="22"/>
                <w:szCs w:val="22"/>
                <w:lang w:val="en-CA" w:eastAsia="en-CA"/>
              </w:rPr>
              <w:t>%</w:t>
            </w:r>
          </w:p>
        </w:tc>
      </w:tr>
      <w:tr w:rsidR="00F518CC" w:rsidRPr="008D7D4A" w:rsidTr="0036135C">
        <w:trPr>
          <w:trHeight w:val="300"/>
        </w:trPr>
        <w:tc>
          <w:tcPr>
            <w:tcW w:w="1616" w:type="dxa"/>
            <w:shd w:val="clear" w:color="auto" w:fill="auto"/>
            <w:noWrap/>
            <w:vAlign w:val="bottom"/>
            <w:hideMark/>
          </w:tcPr>
          <w:p w:rsidR="00F518CC" w:rsidRPr="008D7D4A" w:rsidRDefault="00F518CC" w:rsidP="0036135C">
            <w:pPr>
              <w:spacing w:after="0"/>
              <w:jc w:val="center"/>
              <w:rPr>
                <w:rFonts w:ascii="Calibri" w:eastAsia="Times New Roman" w:hAnsi="Calibri"/>
                <w:color w:val="000000"/>
                <w:sz w:val="22"/>
                <w:szCs w:val="22"/>
                <w:lang w:val="en-CA" w:eastAsia="en-CA"/>
              </w:rPr>
            </w:pPr>
            <w:r w:rsidRPr="008D7D4A">
              <w:rPr>
                <w:rFonts w:ascii="Calibri" w:eastAsia="Times New Roman" w:hAnsi="Calibri"/>
                <w:color w:val="000000"/>
                <w:sz w:val="22"/>
                <w:szCs w:val="22"/>
                <w:lang w:val="en-CA" w:eastAsia="en-CA"/>
              </w:rPr>
              <w:t>RR UCI</w:t>
            </w:r>
          </w:p>
        </w:tc>
        <w:tc>
          <w:tcPr>
            <w:tcW w:w="1656" w:type="dxa"/>
            <w:shd w:val="clear" w:color="auto" w:fill="auto"/>
            <w:noWrap/>
            <w:vAlign w:val="center"/>
            <w:hideMark/>
          </w:tcPr>
          <w:p w:rsidR="00F518CC" w:rsidRPr="008D7D4A" w:rsidRDefault="00F518CC" w:rsidP="0036135C">
            <w:pPr>
              <w:spacing w:after="0"/>
              <w:jc w:val="center"/>
              <w:rPr>
                <w:rFonts w:ascii="Calibri" w:eastAsia="Times New Roman" w:hAnsi="Calibri"/>
                <w:color w:val="000000"/>
                <w:sz w:val="22"/>
                <w:szCs w:val="22"/>
                <w:lang w:val="en-CA" w:eastAsia="en-CA"/>
              </w:rPr>
            </w:pPr>
            <w:r>
              <w:rPr>
                <w:rFonts w:ascii="Calibri" w:eastAsia="Times New Roman" w:hAnsi="Calibri"/>
                <w:color w:val="000000"/>
                <w:sz w:val="22"/>
                <w:szCs w:val="22"/>
                <w:lang w:val="en-CA" w:eastAsia="en-CA"/>
              </w:rPr>
              <w:t>3.38</w:t>
            </w:r>
            <w:r w:rsidRPr="008D7D4A">
              <w:rPr>
                <w:rFonts w:ascii="Calibri" w:eastAsia="Times New Roman" w:hAnsi="Calibri"/>
                <w:color w:val="000000"/>
                <w:sz w:val="22"/>
                <w:szCs w:val="22"/>
                <w:lang w:val="en-CA" w:eastAsia="en-CA"/>
              </w:rPr>
              <w:t>%</w:t>
            </w:r>
          </w:p>
        </w:tc>
        <w:tc>
          <w:tcPr>
            <w:tcW w:w="1820" w:type="dxa"/>
            <w:shd w:val="clear" w:color="auto" w:fill="auto"/>
            <w:noWrap/>
            <w:vAlign w:val="center"/>
            <w:hideMark/>
          </w:tcPr>
          <w:p w:rsidR="00F518CC" w:rsidRPr="008D7D4A" w:rsidRDefault="00F518CC" w:rsidP="0036135C">
            <w:pPr>
              <w:spacing w:after="0"/>
              <w:jc w:val="center"/>
              <w:rPr>
                <w:rFonts w:ascii="Calibri" w:eastAsia="Times New Roman" w:hAnsi="Calibri"/>
                <w:color w:val="000000"/>
                <w:sz w:val="22"/>
                <w:szCs w:val="22"/>
                <w:lang w:val="en-CA" w:eastAsia="en-CA"/>
              </w:rPr>
            </w:pPr>
            <w:r>
              <w:rPr>
                <w:rFonts w:ascii="Calibri" w:eastAsia="Times New Roman" w:hAnsi="Calibri"/>
                <w:color w:val="000000"/>
                <w:sz w:val="22"/>
                <w:szCs w:val="22"/>
                <w:lang w:val="en-CA" w:eastAsia="en-CA"/>
              </w:rPr>
              <w:t>4.14</w:t>
            </w:r>
            <w:r w:rsidRPr="008D7D4A">
              <w:rPr>
                <w:rFonts w:ascii="Calibri" w:eastAsia="Times New Roman" w:hAnsi="Calibri"/>
                <w:color w:val="000000"/>
                <w:sz w:val="22"/>
                <w:szCs w:val="22"/>
                <w:lang w:val="en-CA" w:eastAsia="en-CA"/>
              </w:rPr>
              <w:t>%</w:t>
            </w:r>
          </w:p>
        </w:tc>
        <w:tc>
          <w:tcPr>
            <w:tcW w:w="1820" w:type="dxa"/>
            <w:shd w:val="clear" w:color="auto" w:fill="auto"/>
            <w:noWrap/>
            <w:vAlign w:val="center"/>
            <w:hideMark/>
          </w:tcPr>
          <w:p w:rsidR="00F518CC" w:rsidRPr="008D7D4A" w:rsidRDefault="00F518CC" w:rsidP="0036135C">
            <w:pPr>
              <w:spacing w:after="0"/>
              <w:jc w:val="center"/>
              <w:rPr>
                <w:rFonts w:ascii="Calibri" w:eastAsia="Times New Roman" w:hAnsi="Calibri"/>
                <w:color w:val="000000"/>
                <w:sz w:val="22"/>
                <w:szCs w:val="22"/>
                <w:lang w:val="en-CA" w:eastAsia="en-CA"/>
              </w:rPr>
            </w:pPr>
            <w:r>
              <w:rPr>
                <w:rFonts w:ascii="Calibri" w:eastAsia="Times New Roman" w:hAnsi="Calibri"/>
                <w:color w:val="000000"/>
                <w:sz w:val="22"/>
                <w:szCs w:val="22"/>
                <w:lang w:val="en-CA" w:eastAsia="en-CA"/>
              </w:rPr>
              <w:t>5.64</w:t>
            </w:r>
            <w:r w:rsidRPr="008D7D4A">
              <w:rPr>
                <w:rFonts w:ascii="Calibri" w:eastAsia="Times New Roman" w:hAnsi="Calibri"/>
                <w:color w:val="000000"/>
                <w:sz w:val="22"/>
                <w:szCs w:val="22"/>
                <w:lang w:val="en-CA" w:eastAsia="en-CA"/>
              </w:rPr>
              <w:t>%</w:t>
            </w:r>
          </w:p>
        </w:tc>
      </w:tr>
    </w:tbl>
    <w:p w:rsidR="00F518CC" w:rsidRPr="008D7D4A" w:rsidRDefault="00F518CC" w:rsidP="00F518CC">
      <w:pPr>
        <w:rPr>
          <w:b/>
          <w:u w:val="single"/>
          <w:lang w:val="en-CA"/>
        </w:rPr>
      </w:pPr>
    </w:p>
    <w:p w:rsidR="0036135C" w:rsidRDefault="0036135C">
      <w:pPr>
        <w:spacing w:line="276" w:lineRule="auto"/>
        <w:rPr>
          <w:b/>
          <w:u w:val="single"/>
          <w:lang w:val="en-CA" w:eastAsia="fr-FR"/>
        </w:rPr>
      </w:pPr>
      <w:r>
        <w:rPr>
          <w:b/>
          <w:u w:val="single"/>
          <w:lang w:val="en-CA" w:eastAsia="fr-FR"/>
        </w:rPr>
        <w:br w:type="page"/>
      </w:r>
    </w:p>
    <w:p w:rsidR="0036135C" w:rsidRPr="008D7D4A" w:rsidRDefault="0036135C" w:rsidP="0036135C">
      <w:pPr>
        <w:rPr>
          <w:b/>
          <w:lang w:val="en-CA"/>
        </w:rPr>
      </w:pPr>
      <w:r w:rsidRPr="008D7D4A">
        <w:rPr>
          <w:b/>
          <w:lang w:val="en-CA"/>
        </w:rPr>
        <w:lastRenderedPageBreak/>
        <w:t xml:space="preserve">Table </w:t>
      </w:r>
      <w:r>
        <w:rPr>
          <w:b/>
          <w:lang w:val="en-CA"/>
        </w:rPr>
        <w:t>S5:</w:t>
      </w:r>
      <w:r w:rsidRPr="008D7D4A">
        <w:rPr>
          <w:b/>
          <w:lang w:val="en-CA"/>
        </w:rPr>
        <w:t xml:space="preserve"> Bootstrap </w:t>
      </w:r>
      <w:r>
        <w:rPr>
          <w:b/>
          <w:lang w:val="en-CA"/>
        </w:rPr>
        <w:t>r</w:t>
      </w:r>
      <w:r w:rsidRPr="008D7D4A">
        <w:rPr>
          <w:b/>
          <w:lang w:val="en-CA"/>
        </w:rPr>
        <w:t>elative risk estimates used for sensitivity analyses</w:t>
      </w:r>
      <w:r w:rsidR="002C2D81">
        <w:rPr>
          <w:b/>
          <w:lang w:val="en-CA"/>
        </w:rPr>
        <w:t xml:space="preserve">. </w:t>
      </w:r>
      <w:r w:rsidR="002C2D81">
        <w:rPr>
          <w:b/>
          <w:bCs/>
          <w:lang w:val="en-CA" w:eastAsia="fr-CA"/>
        </w:rPr>
        <w:t>Canada 2016</w:t>
      </w:r>
    </w:p>
    <w:tbl>
      <w:tblPr>
        <w:tblW w:w="7395" w:type="dxa"/>
        <w:tblInd w:w="108" w:type="dxa"/>
        <w:tblLayout w:type="fixed"/>
        <w:tblLook w:val="04A0" w:firstRow="1" w:lastRow="0" w:firstColumn="1" w:lastColumn="0" w:noHBand="0" w:noVBand="1"/>
      </w:tblPr>
      <w:tblGrid>
        <w:gridCol w:w="1701"/>
        <w:gridCol w:w="2268"/>
        <w:gridCol w:w="706"/>
        <w:gridCol w:w="1360"/>
        <w:gridCol w:w="1360"/>
      </w:tblGrid>
      <w:tr w:rsidR="0036135C" w:rsidRPr="008D7D4A" w:rsidTr="0036135C">
        <w:trPr>
          <w:trHeight w:val="300"/>
        </w:trPr>
        <w:tc>
          <w:tcPr>
            <w:tcW w:w="1701" w:type="dxa"/>
            <w:vMerge w:val="restart"/>
            <w:tcBorders>
              <w:top w:val="single" w:sz="8" w:space="0" w:color="auto"/>
              <w:left w:val="nil"/>
              <w:bottom w:val="single" w:sz="4" w:space="0" w:color="000000"/>
              <w:right w:val="nil"/>
            </w:tcBorders>
            <w:shd w:val="clear" w:color="auto" w:fill="auto"/>
            <w:noWrap/>
            <w:vAlign w:val="center"/>
            <w:hideMark/>
          </w:tcPr>
          <w:p w:rsidR="0036135C" w:rsidRPr="003C1661" w:rsidRDefault="0036135C" w:rsidP="0036135C">
            <w:pPr>
              <w:spacing w:after="0"/>
              <w:jc w:val="center"/>
              <w:rPr>
                <w:rFonts w:ascii="Calibri" w:eastAsia="Times New Roman" w:hAnsi="Calibri"/>
                <w:b/>
                <w:color w:val="000000"/>
                <w:sz w:val="20"/>
                <w:szCs w:val="20"/>
                <w:lang w:val="en-CA" w:eastAsia="en-CA"/>
              </w:rPr>
            </w:pPr>
            <w:r w:rsidRPr="003C1661">
              <w:rPr>
                <w:rFonts w:ascii="Calibri" w:eastAsia="Times New Roman" w:hAnsi="Calibri"/>
                <w:b/>
                <w:color w:val="000000"/>
                <w:sz w:val="20"/>
                <w:szCs w:val="20"/>
                <w:lang w:val="en-CA" w:eastAsia="en-CA"/>
              </w:rPr>
              <w:t>Disease</w:t>
            </w:r>
          </w:p>
        </w:tc>
        <w:tc>
          <w:tcPr>
            <w:tcW w:w="2268" w:type="dxa"/>
            <w:vMerge w:val="restart"/>
            <w:tcBorders>
              <w:top w:val="single" w:sz="8" w:space="0" w:color="auto"/>
              <w:left w:val="nil"/>
              <w:bottom w:val="single" w:sz="4" w:space="0" w:color="000000"/>
              <w:right w:val="nil"/>
            </w:tcBorders>
            <w:shd w:val="clear" w:color="auto" w:fill="auto"/>
            <w:noWrap/>
            <w:vAlign w:val="center"/>
            <w:hideMark/>
          </w:tcPr>
          <w:p w:rsidR="0036135C" w:rsidRPr="003C1661" w:rsidRDefault="0036135C" w:rsidP="0036135C">
            <w:pPr>
              <w:spacing w:after="0"/>
              <w:jc w:val="center"/>
              <w:rPr>
                <w:rFonts w:ascii="Calibri" w:eastAsia="Times New Roman" w:hAnsi="Calibri"/>
                <w:b/>
                <w:color w:val="000000"/>
                <w:sz w:val="20"/>
                <w:szCs w:val="20"/>
                <w:lang w:val="en-CA" w:eastAsia="en-CA"/>
              </w:rPr>
            </w:pPr>
            <w:r>
              <w:rPr>
                <w:rFonts w:ascii="Calibri" w:eastAsia="Times New Roman" w:hAnsi="Calibri"/>
                <w:b/>
                <w:color w:val="000000"/>
                <w:sz w:val="20"/>
                <w:szCs w:val="20"/>
                <w:lang w:val="en-CA" w:eastAsia="en-CA"/>
              </w:rPr>
              <w:t>Risk f</w:t>
            </w:r>
            <w:r w:rsidRPr="003C1661">
              <w:rPr>
                <w:rFonts w:ascii="Calibri" w:eastAsia="Times New Roman" w:hAnsi="Calibri"/>
                <w:b/>
                <w:color w:val="000000"/>
                <w:sz w:val="20"/>
                <w:szCs w:val="20"/>
                <w:lang w:val="en-CA" w:eastAsia="en-CA"/>
              </w:rPr>
              <w:t>actor</w:t>
            </w:r>
          </w:p>
        </w:tc>
        <w:tc>
          <w:tcPr>
            <w:tcW w:w="3426" w:type="dxa"/>
            <w:gridSpan w:val="3"/>
            <w:tcBorders>
              <w:top w:val="single" w:sz="8" w:space="0" w:color="auto"/>
              <w:left w:val="nil"/>
              <w:bottom w:val="nil"/>
              <w:right w:val="nil"/>
            </w:tcBorders>
            <w:shd w:val="clear" w:color="auto" w:fill="auto"/>
            <w:vAlign w:val="center"/>
            <w:hideMark/>
          </w:tcPr>
          <w:p w:rsidR="0036135C" w:rsidRPr="003C1661" w:rsidRDefault="0036135C" w:rsidP="0036135C">
            <w:pPr>
              <w:spacing w:after="0"/>
              <w:jc w:val="center"/>
              <w:rPr>
                <w:rFonts w:ascii="Calibri" w:eastAsia="Times New Roman" w:hAnsi="Calibri"/>
                <w:b/>
                <w:color w:val="000000"/>
                <w:sz w:val="20"/>
                <w:szCs w:val="20"/>
                <w:lang w:val="en-CA" w:eastAsia="en-CA"/>
              </w:rPr>
            </w:pPr>
            <w:r w:rsidRPr="003C1661">
              <w:rPr>
                <w:rFonts w:ascii="Calibri" w:eastAsia="Times New Roman" w:hAnsi="Calibri"/>
                <w:b/>
                <w:color w:val="000000"/>
                <w:sz w:val="20"/>
                <w:szCs w:val="20"/>
                <w:lang w:val="en-CA" w:eastAsia="en-CA"/>
              </w:rPr>
              <w:t>Bootstrap estimates*</w:t>
            </w:r>
          </w:p>
        </w:tc>
      </w:tr>
      <w:tr w:rsidR="0036135C" w:rsidRPr="008D7D4A" w:rsidTr="0036135C">
        <w:trPr>
          <w:trHeight w:val="300"/>
        </w:trPr>
        <w:tc>
          <w:tcPr>
            <w:tcW w:w="1701" w:type="dxa"/>
            <w:vMerge/>
            <w:tcBorders>
              <w:top w:val="single" w:sz="8" w:space="0" w:color="auto"/>
              <w:left w:val="nil"/>
              <w:bottom w:val="single" w:sz="4" w:space="0" w:color="000000"/>
              <w:right w:val="nil"/>
            </w:tcBorders>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2268" w:type="dxa"/>
            <w:vMerge/>
            <w:tcBorders>
              <w:top w:val="single" w:sz="8" w:space="0" w:color="auto"/>
              <w:left w:val="nil"/>
              <w:bottom w:val="single" w:sz="4" w:space="0" w:color="000000"/>
              <w:right w:val="nil"/>
            </w:tcBorders>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706" w:type="dxa"/>
            <w:tcBorders>
              <w:top w:val="single" w:sz="4" w:space="0" w:color="auto"/>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RR</w:t>
            </w:r>
          </w:p>
        </w:tc>
        <w:tc>
          <w:tcPr>
            <w:tcW w:w="1360" w:type="dxa"/>
            <w:tcBorders>
              <w:top w:val="single" w:sz="4" w:space="0" w:color="auto"/>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LCI</w:t>
            </w:r>
          </w:p>
        </w:tc>
        <w:tc>
          <w:tcPr>
            <w:tcW w:w="1360" w:type="dxa"/>
            <w:tcBorders>
              <w:top w:val="single" w:sz="4" w:space="0" w:color="auto"/>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UCI</w:t>
            </w:r>
          </w:p>
        </w:tc>
      </w:tr>
      <w:tr w:rsidR="0036135C" w:rsidRPr="008D7D4A" w:rsidTr="0036135C">
        <w:trPr>
          <w:trHeight w:val="300"/>
        </w:trPr>
        <w:tc>
          <w:tcPr>
            <w:tcW w:w="1701" w:type="dxa"/>
            <w:tcBorders>
              <w:top w:val="nil"/>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b/>
                <w:bCs/>
                <w:color w:val="000000"/>
                <w:sz w:val="20"/>
                <w:szCs w:val="20"/>
                <w:lang w:val="en-CA" w:eastAsia="en-CA"/>
              </w:rPr>
            </w:pPr>
            <w:r w:rsidRPr="008D7D4A">
              <w:rPr>
                <w:rFonts w:ascii="Calibri" w:eastAsia="Times New Roman" w:hAnsi="Calibri"/>
                <w:b/>
                <w:bCs/>
                <w:color w:val="000000"/>
                <w:sz w:val="20"/>
                <w:szCs w:val="20"/>
                <w:lang w:val="en-CA" w:eastAsia="en-CA"/>
              </w:rPr>
              <w:t>COPD</w:t>
            </w:r>
          </w:p>
        </w:tc>
        <w:tc>
          <w:tcPr>
            <w:tcW w:w="2268" w:type="dxa"/>
            <w:tcBorders>
              <w:top w:val="nil"/>
              <w:left w:val="nil"/>
              <w:bottom w:val="nil"/>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Smoker</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2.435</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1.639521</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3.230479</w:t>
            </w:r>
          </w:p>
        </w:tc>
      </w:tr>
      <w:tr w:rsidR="0036135C" w:rsidRPr="008D7D4A" w:rsidTr="0036135C">
        <w:trPr>
          <w:trHeight w:val="300"/>
        </w:trPr>
        <w:tc>
          <w:tcPr>
            <w:tcW w:w="1701" w:type="dxa"/>
            <w:tcBorders>
              <w:top w:val="nil"/>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nil"/>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Occasional smoker</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1.58</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1.064798</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2.095202</w:t>
            </w:r>
          </w:p>
        </w:tc>
      </w:tr>
      <w:tr w:rsidR="0036135C" w:rsidRPr="008D7D4A" w:rsidTr="0036135C">
        <w:trPr>
          <w:trHeight w:val="300"/>
        </w:trPr>
        <w:tc>
          <w:tcPr>
            <w:tcW w:w="1701" w:type="dxa"/>
            <w:tcBorders>
              <w:top w:val="nil"/>
              <w:left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right w:val="nil"/>
            </w:tcBorders>
            <w:shd w:val="clear" w:color="auto" w:fill="auto"/>
            <w:noWrap/>
            <w:vAlign w:val="center"/>
            <w:hideMark/>
          </w:tcPr>
          <w:p w:rsidR="0036135C" w:rsidRPr="008D7D4A" w:rsidRDefault="0036135C" w:rsidP="0036135C">
            <w:pPr>
              <w:spacing w:after="0"/>
              <w:rPr>
                <w:rFonts w:ascii="Calibri" w:eastAsia="Times New Roman" w:hAnsi="Calibri"/>
                <w:i/>
                <w:iCs/>
                <w:color w:val="000000"/>
                <w:sz w:val="20"/>
                <w:szCs w:val="20"/>
                <w:lang w:val="en-CA" w:eastAsia="en-CA"/>
              </w:rPr>
            </w:pPr>
            <w:r>
              <w:rPr>
                <w:rFonts w:ascii="Calibri" w:eastAsia="Times New Roman" w:hAnsi="Calibri"/>
                <w:i/>
                <w:iCs/>
                <w:color w:val="000000"/>
                <w:sz w:val="20"/>
                <w:szCs w:val="20"/>
                <w:lang w:val="en-CA" w:eastAsia="en-CA"/>
              </w:rPr>
              <w:t>Former smoker</w:t>
            </w:r>
            <w:r w:rsidRPr="008D7D4A">
              <w:rPr>
                <w:rFonts w:ascii="Calibri" w:eastAsia="Times New Roman" w:hAnsi="Calibri"/>
                <w:i/>
                <w:iCs/>
                <w:color w:val="000000"/>
                <w:sz w:val="20"/>
                <w:szCs w:val="20"/>
                <w:lang w:val="en-CA" w:eastAsia="en-CA"/>
              </w:rPr>
              <w:t xml:space="preserve"> </w:t>
            </w:r>
          </w:p>
        </w:tc>
        <w:tc>
          <w:tcPr>
            <w:tcW w:w="706"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2.01</w:t>
            </w:r>
          </w:p>
        </w:tc>
        <w:tc>
          <w:tcPr>
            <w:tcW w:w="1360"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1.3104</w:t>
            </w:r>
          </w:p>
        </w:tc>
        <w:tc>
          <w:tcPr>
            <w:tcW w:w="1360"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2.7096</w:t>
            </w:r>
          </w:p>
        </w:tc>
      </w:tr>
      <w:tr w:rsidR="0036135C" w:rsidRPr="008D7D4A" w:rsidTr="0036135C">
        <w:trPr>
          <w:trHeight w:val="367"/>
        </w:trPr>
        <w:tc>
          <w:tcPr>
            <w:tcW w:w="1701" w:type="dxa"/>
            <w:tcBorders>
              <w:top w:val="nil"/>
              <w:left w:val="nil"/>
              <w:bottom w:val="single" w:sz="4" w:space="0" w:color="auto"/>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single" w:sz="4" w:space="0" w:color="auto"/>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Insufficient consumption of fruits and vegetables</w:t>
            </w:r>
            <w:r w:rsidRPr="008D7D4A">
              <w:rPr>
                <w:rFonts w:ascii="Calibri" w:eastAsia="Times New Roman" w:hAnsi="Calibri"/>
                <w:color w:val="000000"/>
                <w:sz w:val="20"/>
                <w:szCs w:val="20"/>
                <w:lang w:val="en-CA" w:eastAsia="en-CA"/>
              </w:rPr>
              <w:t xml:space="preserve"> </w:t>
            </w:r>
          </w:p>
        </w:tc>
        <w:tc>
          <w:tcPr>
            <w:tcW w:w="706"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1.895</w:t>
            </w: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1.091357</w:t>
            </w: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2.698643</w:t>
            </w:r>
          </w:p>
        </w:tc>
      </w:tr>
      <w:tr w:rsidR="0036135C" w:rsidRPr="008D7D4A" w:rsidTr="0036135C">
        <w:trPr>
          <w:trHeight w:val="300"/>
        </w:trPr>
        <w:tc>
          <w:tcPr>
            <w:tcW w:w="1701" w:type="dxa"/>
            <w:tcBorders>
              <w:top w:val="single" w:sz="4" w:space="0" w:color="auto"/>
              <w:left w:val="nil"/>
              <w:bottom w:val="nil"/>
              <w:right w:val="nil"/>
            </w:tcBorders>
            <w:shd w:val="clear" w:color="auto" w:fill="auto"/>
            <w:noWrap/>
            <w:hideMark/>
          </w:tcPr>
          <w:p w:rsidR="0036135C" w:rsidRPr="008D7D4A" w:rsidRDefault="0036135C" w:rsidP="0036135C">
            <w:pPr>
              <w:spacing w:after="0"/>
              <w:rPr>
                <w:rFonts w:ascii="Calibri" w:eastAsia="Times New Roman" w:hAnsi="Calibri"/>
                <w:b/>
                <w:bCs/>
                <w:color w:val="000000"/>
                <w:sz w:val="20"/>
                <w:szCs w:val="20"/>
                <w:lang w:val="en-CA" w:eastAsia="en-CA"/>
              </w:rPr>
            </w:pPr>
            <w:r w:rsidRPr="008D7D4A">
              <w:rPr>
                <w:rFonts w:ascii="Calibri" w:eastAsia="Times New Roman" w:hAnsi="Calibri"/>
                <w:b/>
                <w:bCs/>
                <w:color w:val="000000"/>
                <w:sz w:val="20"/>
                <w:szCs w:val="20"/>
                <w:lang w:val="en-CA" w:eastAsia="en-CA"/>
              </w:rPr>
              <w:t>Asthm</w:t>
            </w:r>
            <w:r>
              <w:rPr>
                <w:rFonts w:ascii="Calibri" w:eastAsia="Times New Roman" w:hAnsi="Calibri"/>
                <w:b/>
                <w:bCs/>
                <w:color w:val="000000"/>
                <w:sz w:val="20"/>
                <w:szCs w:val="20"/>
                <w:lang w:val="en-CA" w:eastAsia="en-CA"/>
              </w:rPr>
              <w:t>a</w:t>
            </w:r>
          </w:p>
        </w:tc>
        <w:tc>
          <w:tcPr>
            <w:tcW w:w="2268"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Smoker</w:t>
            </w:r>
          </w:p>
        </w:tc>
        <w:tc>
          <w:tcPr>
            <w:tcW w:w="706"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1.50</w:t>
            </w: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1.222708</w:t>
            </w: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1.777292</w:t>
            </w:r>
          </w:p>
        </w:tc>
      </w:tr>
      <w:tr w:rsidR="0036135C" w:rsidRPr="008D7D4A" w:rsidTr="0036135C">
        <w:trPr>
          <w:trHeight w:val="300"/>
        </w:trPr>
        <w:tc>
          <w:tcPr>
            <w:tcW w:w="1701" w:type="dxa"/>
            <w:tcBorders>
              <w:top w:val="nil"/>
              <w:left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Occasional smoker</w:t>
            </w:r>
          </w:p>
        </w:tc>
        <w:tc>
          <w:tcPr>
            <w:tcW w:w="706"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300"/>
        </w:trPr>
        <w:tc>
          <w:tcPr>
            <w:tcW w:w="1701" w:type="dxa"/>
            <w:tcBorders>
              <w:top w:val="nil"/>
              <w:left w:val="nil"/>
              <w:bottom w:val="single" w:sz="4" w:space="0" w:color="auto"/>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Obesity</w:t>
            </w:r>
          </w:p>
        </w:tc>
        <w:tc>
          <w:tcPr>
            <w:tcW w:w="706"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1.430</w:t>
            </w: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1.209969</w:t>
            </w: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1.650031</w:t>
            </w:r>
          </w:p>
        </w:tc>
      </w:tr>
      <w:tr w:rsidR="0036135C" w:rsidRPr="008D7D4A" w:rsidTr="0036135C">
        <w:trPr>
          <w:trHeight w:val="80"/>
        </w:trPr>
        <w:tc>
          <w:tcPr>
            <w:tcW w:w="1701" w:type="dxa"/>
            <w:tcBorders>
              <w:top w:val="single" w:sz="4" w:space="0" w:color="auto"/>
              <w:left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single" w:sz="4" w:space="0" w:color="auto"/>
              <w:left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706" w:type="dxa"/>
            <w:tcBorders>
              <w:top w:val="single" w:sz="4" w:space="0" w:color="auto"/>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single" w:sz="4" w:space="0" w:color="auto"/>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single" w:sz="4" w:space="0" w:color="auto"/>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171"/>
        </w:trPr>
        <w:tc>
          <w:tcPr>
            <w:tcW w:w="1701" w:type="dxa"/>
            <w:vMerge w:val="restart"/>
            <w:tcBorders>
              <w:top w:val="nil"/>
              <w:left w:val="nil"/>
              <w:right w:val="nil"/>
            </w:tcBorders>
            <w:shd w:val="clear" w:color="auto" w:fill="auto"/>
            <w:hideMark/>
          </w:tcPr>
          <w:p w:rsidR="0036135C" w:rsidRPr="008D7D4A" w:rsidRDefault="0036135C" w:rsidP="0036135C">
            <w:pPr>
              <w:spacing w:after="0"/>
              <w:rPr>
                <w:rFonts w:ascii="Calibri" w:eastAsia="Times New Roman" w:hAnsi="Calibri"/>
                <w:b/>
                <w:bCs/>
                <w:color w:val="000000"/>
                <w:sz w:val="20"/>
                <w:szCs w:val="20"/>
                <w:lang w:val="en-CA" w:eastAsia="en-CA"/>
              </w:rPr>
            </w:pPr>
            <w:r>
              <w:rPr>
                <w:rFonts w:ascii="Calibri" w:eastAsia="Times New Roman" w:hAnsi="Calibri"/>
                <w:b/>
                <w:bCs/>
                <w:color w:val="000000"/>
                <w:sz w:val="20"/>
                <w:szCs w:val="20"/>
                <w:lang w:val="en-CA" w:eastAsia="en-CA"/>
              </w:rPr>
              <w:t>Trachial, broncheal and lung cancers</w:t>
            </w:r>
          </w:p>
        </w:tc>
        <w:tc>
          <w:tcPr>
            <w:tcW w:w="2268" w:type="dxa"/>
            <w:tcBorders>
              <w:top w:val="nil"/>
              <w:left w:val="nil"/>
              <w:bottom w:val="nil"/>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Smoker</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9.53</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8.745358</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10.31464</w:t>
            </w:r>
          </w:p>
        </w:tc>
      </w:tr>
      <w:tr w:rsidR="0036135C" w:rsidRPr="008D7D4A" w:rsidTr="0036135C">
        <w:trPr>
          <w:trHeight w:val="285"/>
        </w:trPr>
        <w:tc>
          <w:tcPr>
            <w:tcW w:w="1701" w:type="dxa"/>
            <w:vMerge/>
            <w:tcBorders>
              <w:left w:val="nil"/>
              <w:right w:val="nil"/>
            </w:tcBorders>
            <w:shd w:val="clear" w:color="auto" w:fill="auto"/>
            <w:vAlign w:val="center"/>
            <w:hideMark/>
          </w:tcPr>
          <w:p w:rsidR="0036135C" w:rsidRPr="008D7D4A" w:rsidRDefault="0036135C" w:rsidP="0036135C">
            <w:pPr>
              <w:spacing w:after="0"/>
              <w:rPr>
                <w:rFonts w:ascii="Calibri" w:eastAsia="Times New Roman" w:hAnsi="Calibri"/>
                <w:b/>
                <w:bCs/>
                <w:color w:val="000000"/>
                <w:sz w:val="20"/>
                <w:szCs w:val="20"/>
                <w:lang w:val="en-CA" w:eastAsia="en-CA"/>
              </w:rPr>
            </w:pPr>
          </w:p>
        </w:tc>
        <w:tc>
          <w:tcPr>
            <w:tcW w:w="2268" w:type="dxa"/>
            <w:tcBorders>
              <w:top w:val="nil"/>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i/>
                <w:iCs/>
                <w:color w:val="000000"/>
                <w:sz w:val="20"/>
                <w:szCs w:val="20"/>
                <w:lang w:val="en-CA" w:eastAsia="en-CA"/>
              </w:rPr>
            </w:pPr>
            <w:r>
              <w:rPr>
                <w:rFonts w:ascii="Calibri" w:eastAsia="Times New Roman" w:hAnsi="Calibri"/>
                <w:i/>
                <w:iCs/>
                <w:color w:val="000000"/>
                <w:sz w:val="20"/>
                <w:szCs w:val="20"/>
                <w:lang w:val="en-CA" w:eastAsia="en-CA"/>
              </w:rPr>
              <w:t>Former smoker</w:t>
            </w:r>
            <w:r w:rsidRPr="008D7D4A">
              <w:rPr>
                <w:rFonts w:ascii="Calibri" w:eastAsia="Times New Roman" w:hAnsi="Calibri"/>
                <w:i/>
                <w:iCs/>
                <w:color w:val="000000"/>
                <w:sz w:val="20"/>
                <w:szCs w:val="20"/>
                <w:lang w:val="en-CA" w:eastAsia="en-CA"/>
              </w:rPr>
              <w:t xml:space="preserve"> </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220"/>
        </w:trPr>
        <w:tc>
          <w:tcPr>
            <w:tcW w:w="1701" w:type="dxa"/>
            <w:vMerge/>
            <w:tcBorders>
              <w:left w:val="nil"/>
              <w:bottom w:val="single" w:sz="4" w:space="0" w:color="auto"/>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single" w:sz="4" w:space="0" w:color="auto"/>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Insufficient consumption of fruits and vegetables</w:t>
            </w:r>
          </w:p>
        </w:tc>
        <w:tc>
          <w:tcPr>
            <w:tcW w:w="706"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80"/>
        </w:trPr>
        <w:tc>
          <w:tcPr>
            <w:tcW w:w="1701" w:type="dxa"/>
            <w:tcBorders>
              <w:top w:val="single" w:sz="4" w:space="0" w:color="auto"/>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single" w:sz="4" w:space="0" w:color="auto"/>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706"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103"/>
        </w:trPr>
        <w:tc>
          <w:tcPr>
            <w:tcW w:w="1701" w:type="dxa"/>
            <w:tcBorders>
              <w:top w:val="nil"/>
              <w:left w:val="nil"/>
              <w:right w:val="nil"/>
            </w:tcBorders>
            <w:shd w:val="clear" w:color="auto" w:fill="auto"/>
            <w:noWrap/>
            <w:hideMark/>
          </w:tcPr>
          <w:p w:rsidR="0036135C" w:rsidRPr="008D7D4A" w:rsidRDefault="0036135C" w:rsidP="0036135C">
            <w:pPr>
              <w:spacing w:after="0"/>
              <w:rPr>
                <w:rFonts w:ascii="Calibri" w:eastAsia="Times New Roman" w:hAnsi="Calibri"/>
                <w:b/>
                <w:bCs/>
                <w:color w:val="000000"/>
                <w:sz w:val="20"/>
                <w:szCs w:val="20"/>
                <w:lang w:val="en-CA" w:eastAsia="en-CA"/>
              </w:rPr>
            </w:pPr>
            <w:r>
              <w:rPr>
                <w:rFonts w:ascii="Calibri" w:eastAsia="Times New Roman" w:hAnsi="Calibri"/>
                <w:b/>
                <w:bCs/>
                <w:color w:val="000000"/>
                <w:sz w:val="20"/>
                <w:szCs w:val="20"/>
                <w:lang w:val="en-CA" w:eastAsia="en-CA"/>
              </w:rPr>
              <w:t>Breast cancer</w:t>
            </w:r>
          </w:p>
        </w:tc>
        <w:tc>
          <w:tcPr>
            <w:tcW w:w="2268" w:type="dxa"/>
            <w:tcBorders>
              <w:top w:val="nil"/>
              <w:left w:val="nil"/>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Physical inactivity</w:t>
            </w:r>
          </w:p>
        </w:tc>
        <w:tc>
          <w:tcPr>
            <w:tcW w:w="706"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1.245</w:t>
            </w:r>
          </w:p>
        </w:tc>
        <w:tc>
          <w:tcPr>
            <w:tcW w:w="1360"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1.007377</w:t>
            </w:r>
          </w:p>
        </w:tc>
        <w:tc>
          <w:tcPr>
            <w:tcW w:w="1360"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1.482623</w:t>
            </w:r>
          </w:p>
        </w:tc>
      </w:tr>
      <w:tr w:rsidR="0036135C" w:rsidRPr="008D7D4A" w:rsidTr="0036135C">
        <w:trPr>
          <w:trHeight w:val="182"/>
        </w:trPr>
        <w:tc>
          <w:tcPr>
            <w:tcW w:w="1701" w:type="dxa"/>
            <w:tcBorders>
              <w:top w:val="nil"/>
              <w:left w:val="nil"/>
              <w:bottom w:val="single" w:sz="4" w:space="0" w:color="auto"/>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single" w:sz="4" w:space="0" w:color="auto"/>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Insufficient consumption of fruits and vegetables</w:t>
            </w:r>
            <w:r w:rsidRPr="008D7D4A">
              <w:rPr>
                <w:rFonts w:ascii="Calibri" w:eastAsia="Times New Roman" w:hAnsi="Calibri"/>
                <w:color w:val="000000"/>
                <w:sz w:val="20"/>
                <w:szCs w:val="20"/>
                <w:lang w:val="en-CA" w:eastAsia="en-CA"/>
              </w:rPr>
              <w:t xml:space="preserve"> </w:t>
            </w:r>
          </w:p>
        </w:tc>
        <w:tc>
          <w:tcPr>
            <w:tcW w:w="706"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305"/>
        </w:trPr>
        <w:tc>
          <w:tcPr>
            <w:tcW w:w="1701" w:type="dxa"/>
            <w:vMerge w:val="restart"/>
            <w:tcBorders>
              <w:top w:val="single" w:sz="4" w:space="0" w:color="auto"/>
              <w:left w:val="nil"/>
              <w:right w:val="nil"/>
            </w:tcBorders>
            <w:shd w:val="clear" w:color="auto" w:fill="auto"/>
            <w:vAlign w:val="center"/>
            <w:hideMark/>
          </w:tcPr>
          <w:p w:rsidR="0036135C" w:rsidRPr="008D7D4A" w:rsidRDefault="0036135C" w:rsidP="0036135C">
            <w:pPr>
              <w:spacing w:after="0"/>
              <w:rPr>
                <w:rFonts w:ascii="Calibri" w:eastAsia="Times New Roman" w:hAnsi="Calibri"/>
                <w:b/>
                <w:bCs/>
                <w:i/>
                <w:iCs/>
                <w:color w:val="000000"/>
                <w:sz w:val="20"/>
                <w:szCs w:val="20"/>
                <w:lang w:val="en-CA" w:eastAsia="en-CA"/>
              </w:rPr>
            </w:pPr>
            <w:r>
              <w:rPr>
                <w:rFonts w:ascii="Calibri" w:eastAsia="Times New Roman" w:hAnsi="Calibri"/>
                <w:b/>
                <w:bCs/>
                <w:i/>
                <w:iCs/>
                <w:color w:val="000000"/>
                <w:sz w:val="20"/>
                <w:szCs w:val="20"/>
                <w:lang w:val="en-CA" w:eastAsia="en-CA"/>
              </w:rPr>
              <w:t>Postmenopausal breast cancer</w:t>
            </w:r>
          </w:p>
        </w:tc>
        <w:tc>
          <w:tcPr>
            <w:tcW w:w="2268"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Ob</w:t>
            </w:r>
            <w:r>
              <w:rPr>
                <w:rFonts w:ascii="Calibri" w:eastAsia="Times New Roman" w:hAnsi="Calibri"/>
                <w:color w:val="000000"/>
                <w:sz w:val="20"/>
                <w:szCs w:val="20"/>
                <w:lang w:val="en-CA" w:eastAsia="en-CA"/>
              </w:rPr>
              <w:t>esity</w:t>
            </w:r>
            <w:r w:rsidRPr="008D7D4A">
              <w:rPr>
                <w:rFonts w:ascii="Calibri" w:eastAsia="Times New Roman" w:hAnsi="Calibri"/>
                <w:color w:val="000000"/>
                <w:sz w:val="20"/>
                <w:szCs w:val="20"/>
                <w:lang w:val="en-CA" w:eastAsia="en-CA"/>
              </w:rPr>
              <w:t xml:space="preserve"> </w:t>
            </w:r>
          </w:p>
        </w:tc>
        <w:tc>
          <w:tcPr>
            <w:tcW w:w="706"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1.141</w:t>
            </w: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1.126278</w:t>
            </w: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1.153722</w:t>
            </w:r>
          </w:p>
        </w:tc>
      </w:tr>
      <w:tr w:rsidR="0036135C" w:rsidRPr="008D7D4A" w:rsidTr="0036135C">
        <w:trPr>
          <w:trHeight w:val="282"/>
        </w:trPr>
        <w:tc>
          <w:tcPr>
            <w:tcW w:w="1701" w:type="dxa"/>
            <w:vMerge/>
            <w:tcBorders>
              <w:left w:val="nil"/>
              <w:bottom w:val="single" w:sz="4" w:space="0" w:color="auto"/>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Overweight</w:t>
            </w:r>
          </w:p>
        </w:tc>
        <w:tc>
          <w:tcPr>
            <w:tcW w:w="706"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218"/>
        </w:trPr>
        <w:tc>
          <w:tcPr>
            <w:tcW w:w="1701" w:type="dxa"/>
            <w:tcBorders>
              <w:top w:val="single" w:sz="4" w:space="0" w:color="auto"/>
              <w:left w:val="nil"/>
              <w:bottom w:val="nil"/>
              <w:right w:val="nil"/>
            </w:tcBorders>
            <w:shd w:val="clear" w:color="auto" w:fill="auto"/>
            <w:vAlign w:val="center"/>
            <w:hideMark/>
          </w:tcPr>
          <w:p w:rsidR="0036135C" w:rsidRPr="008D7D4A" w:rsidRDefault="0036135C" w:rsidP="0036135C">
            <w:pPr>
              <w:spacing w:after="0"/>
              <w:rPr>
                <w:rFonts w:ascii="Calibri" w:eastAsia="Times New Roman" w:hAnsi="Calibri"/>
                <w:b/>
                <w:bCs/>
                <w:color w:val="000000"/>
                <w:sz w:val="20"/>
                <w:szCs w:val="20"/>
                <w:lang w:val="en-CA" w:eastAsia="en-CA"/>
              </w:rPr>
            </w:pPr>
            <w:r w:rsidRPr="008D7D4A">
              <w:rPr>
                <w:rFonts w:ascii="Calibri" w:eastAsia="Times New Roman" w:hAnsi="Calibri"/>
                <w:b/>
                <w:bCs/>
                <w:color w:val="000000"/>
                <w:sz w:val="20"/>
                <w:szCs w:val="20"/>
                <w:lang w:val="en-CA" w:eastAsia="en-CA"/>
              </w:rPr>
              <w:t>Cancer colorectal</w:t>
            </w:r>
          </w:p>
        </w:tc>
        <w:tc>
          <w:tcPr>
            <w:tcW w:w="2268"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Ob</w:t>
            </w:r>
            <w:r>
              <w:rPr>
                <w:rFonts w:ascii="Calibri" w:eastAsia="Times New Roman" w:hAnsi="Calibri"/>
                <w:color w:val="000000"/>
                <w:sz w:val="20"/>
                <w:szCs w:val="20"/>
                <w:lang w:val="en-CA" w:eastAsia="en-CA"/>
              </w:rPr>
              <w:t>esity</w:t>
            </w:r>
          </w:p>
        </w:tc>
        <w:tc>
          <w:tcPr>
            <w:tcW w:w="706"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1.65</w:t>
            </w: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1.231169</w:t>
            </w: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2.068831</w:t>
            </w:r>
          </w:p>
        </w:tc>
      </w:tr>
      <w:tr w:rsidR="0036135C" w:rsidRPr="008D7D4A" w:rsidTr="0036135C">
        <w:trPr>
          <w:trHeight w:val="121"/>
        </w:trPr>
        <w:tc>
          <w:tcPr>
            <w:tcW w:w="1701" w:type="dxa"/>
            <w:tcBorders>
              <w:top w:val="nil"/>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nil"/>
              <w:right w:val="nil"/>
            </w:tcBorders>
            <w:shd w:val="clear" w:color="auto" w:fill="auto"/>
            <w:noWrap/>
            <w:vAlign w:val="center"/>
            <w:hideMark/>
          </w:tcPr>
          <w:p w:rsidR="0036135C" w:rsidRPr="008D7D4A" w:rsidRDefault="0036135C" w:rsidP="0036135C">
            <w:pPr>
              <w:spacing w:after="0"/>
              <w:ind w:left="-178" w:firstLine="178"/>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Overweight</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155"/>
        </w:trPr>
        <w:tc>
          <w:tcPr>
            <w:tcW w:w="1701" w:type="dxa"/>
            <w:tcBorders>
              <w:top w:val="nil"/>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nil"/>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Physical inactivity</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1.355</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1.062897</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1.647103</w:t>
            </w:r>
          </w:p>
        </w:tc>
      </w:tr>
      <w:tr w:rsidR="0036135C" w:rsidRPr="008D7D4A" w:rsidTr="0036135C">
        <w:trPr>
          <w:trHeight w:val="80"/>
        </w:trPr>
        <w:tc>
          <w:tcPr>
            <w:tcW w:w="1701" w:type="dxa"/>
            <w:tcBorders>
              <w:top w:val="nil"/>
              <w:left w:val="nil"/>
              <w:bottom w:val="single" w:sz="4" w:space="0" w:color="auto"/>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single" w:sz="4" w:space="0" w:color="auto"/>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706"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70"/>
        </w:trPr>
        <w:tc>
          <w:tcPr>
            <w:tcW w:w="1701" w:type="dxa"/>
            <w:vMerge w:val="restart"/>
            <w:tcBorders>
              <w:top w:val="single" w:sz="4" w:space="0" w:color="auto"/>
              <w:left w:val="nil"/>
              <w:right w:val="nil"/>
            </w:tcBorders>
            <w:shd w:val="clear" w:color="auto" w:fill="auto"/>
            <w:vAlign w:val="center"/>
            <w:hideMark/>
          </w:tcPr>
          <w:p w:rsidR="0036135C" w:rsidRPr="008D7D4A" w:rsidRDefault="0036135C" w:rsidP="0036135C">
            <w:pPr>
              <w:spacing w:after="0"/>
              <w:rPr>
                <w:rFonts w:ascii="Calibri" w:eastAsia="Times New Roman" w:hAnsi="Calibri"/>
                <w:b/>
                <w:bCs/>
                <w:color w:val="000000"/>
                <w:sz w:val="20"/>
                <w:szCs w:val="20"/>
                <w:lang w:val="en-CA" w:eastAsia="en-CA"/>
              </w:rPr>
            </w:pPr>
            <w:r>
              <w:rPr>
                <w:rFonts w:ascii="Calibri" w:eastAsia="Times New Roman" w:hAnsi="Calibri"/>
                <w:b/>
                <w:bCs/>
                <w:color w:val="000000"/>
                <w:sz w:val="20"/>
                <w:szCs w:val="20"/>
                <w:lang w:val="en-CA" w:eastAsia="en-CA"/>
              </w:rPr>
              <w:t>Stroke</w:t>
            </w:r>
          </w:p>
        </w:tc>
        <w:tc>
          <w:tcPr>
            <w:tcW w:w="2268"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Obesity</w:t>
            </w:r>
          </w:p>
        </w:tc>
        <w:tc>
          <w:tcPr>
            <w:tcW w:w="706"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1.385</w:t>
            </w: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1.166351</w:t>
            </w: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1.603649</w:t>
            </w:r>
          </w:p>
        </w:tc>
      </w:tr>
      <w:tr w:rsidR="0036135C" w:rsidRPr="008D7D4A" w:rsidTr="0036135C">
        <w:trPr>
          <w:trHeight w:val="86"/>
        </w:trPr>
        <w:tc>
          <w:tcPr>
            <w:tcW w:w="1701" w:type="dxa"/>
            <w:vMerge/>
            <w:tcBorders>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Overweight</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1.14</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1.013476</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1.266524</w:t>
            </w:r>
          </w:p>
        </w:tc>
      </w:tr>
      <w:tr w:rsidR="0036135C" w:rsidRPr="008D7D4A" w:rsidTr="0036135C">
        <w:trPr>
          <w:trHeight w:val="118"/>
        </w:trPr>
        <w:tc>
          <w:tcPr>
            <w:tcW w:w="1701" w:type="dxa"/>
            <w:tcBorders>
              <w:top w:val="nil"/>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nil"/>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Insufficient consumption of fruits and vegetables</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80"/>
        </w:trPr>
        <w:tc>
          <w:tcPr>
            <w:tcW w:w="1701" w:type="dxa"/>
            <w:tcBorders>
              <w:top w:val="nil"/>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nil"/>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Physical inactivity</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1.25</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1.085556</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1.414444</w:t>
            </w:r>
          </w:p>
        </w:tc>
      </w:tr>
      <w:tr w:rsidR="0036135C" w:rsidRPr="008D7D4A" w:rsidTr="0036135C">
        <w:trPr>
          <w:trHeight w:val="80"/>
        </w:trPr>
        <w:tc>
          <w:tcPr>
            <w:tcW w:w="1701" w:type="dxa"/>
            <w:tcBorders>
              <w:top w:val="nil"/>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Smoker</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80"/>
        </w:trPr>
        <w:tc>
          <w:tcPr>
            <w:tcW w:w="1701" w:type="dxa"/>
            <w:tcBorders>
              <w:top w:val="nil"/>
              <w:left w:val="nil"/>
              <w:bottom w:val="single" w:sz="4" w:space="0" w:color="auto"/>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Former smoker</w:t>
            </w:r>
            <w:r w:rsidRPr="008D7D4A">
              <w:rPr>
                <w:rFonts w:ascii="Calibri" w:eastAsia="Times New Roman" w:hAnsi="Calibri"/>
                <w:color w:val="000000"/>
                <w:sz w:val="20"/>
                <w:szCs w:val="20"/>
                <w:lang w:val="en-CA" w:eastAsia="en-CA"/>
              </w:rPr>
              <w:t xml:space="preserve"> </w:t>
            </w:r>
          </w:p>
        </w:tc>
        <w:tc>
          <w:tcPr>
            <w:tcW w:w="706"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168"/>
        </w:trPr>
        <w:tc>
          <w:tcPr>
            <w:tcW w:w="1701" w:type="dxa"/>
            <w:vMerge w:val="restart"/>
            <w:tcBorders>
              <w:top w:val="single" w:sz="4" w:space="0" w:color="auto"/>
              <w:left w:val="nil"/>
              <w:right w:val="nil"/>
            </w:tcBorders>
            <w:shd w:val="clear" w:color="auto" w:fill="auto"/>
            <w:vAlign w:val="center"/>
            <w:hideMark/>
          </w:tcPr>
          <w:p w:rsidR="0036135C" w:rsidRPr="008D7D4A" w:rsidRDefault="0036135C" w:rsidP="0036135C">
            <w:pPr>
              <w:spacing w:after="0"/>
              <w:rPr>
                <w:rFonts w:ascii="Calibri" w:eastAsia="Times New Roman" w:hAnsi="Calibri"/>
                <w:b/>
                <w:bCs/>
                <w:color w:val="000000"/>
                <w:sz w:val="20"/>
                <w:szCs w:val="20"/>
                <w:lang w:val="en-CA" w:eastAsia="en-CA"/>
              </w:rPr>
            </w:pPr>
            <w:r>
              <w:rPr>
                <w:rFonts w:ascii="Calibri" w:eastAsia="Times New Roman" w:hAnsi="Calibri"/>
                <w:b/>
                <w:bCs/>
                <w:color w:val="000000"/>
                <w:sz w:val="20"/>
                <w:szCs w:val="20"/>
                <w:lang w:val="en-CA" w:eastAsia="en-CA"/>
              </w:rPr>
              <w:t>Ischemic heart disease</w:t>
            </w:r>
          </w:p>
        </w:tc>
        <w:tc>
          <w:tcPr>
            <w:tcW w:w="2268"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Obesity</w:t>
            </w:r>
          </w:p>
        </w:tc>
        <w:tc>
          <w:tcPr>
            <w:tcW w:w="706"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300"/>
        </w:trPr>
        <w:tc>
          <w:tcPr>
            <w:tcW w:w="1701" w:type="dxa"/>
            <w:vMerge/>
            <w:tcBorders>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Overweight</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80"/>
        </w:trPr>
        <w:tc>
          <w:tcPr>
            <w:tcW w:w="1701" w:type="dxa"/>
            <w:tcBorders>
              <w:top w:val="nil"/>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nil"/>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Insufficient consumption of fruits and vegetables</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80"/>
        </w:trPr>
        <w:tc>
          <w:tcPr>
            <w:tcW w:w="1701" w:type="dxa"/>
            <w:tcBorders>
              <w:top w:val="nil"/>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nil"/>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Physical inactivity</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1.19</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1.011288</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1.268712</w:t>
            </w:r>
          </w:p>
        </w:tc>
      </w:tr>
      <w:tr w:rsidR="0036135C" w:rsidRPr="008D7D4A" w:rsidTr="0036135C">
        <w:trPr>
          <w:trHeight w:val="121"/>
        </w:trPr>
        <w:tc>
          <w:tcPr>
            <w:tcW w:w="1701" w:type="dxa"/>
            <w:tcBorders>
              <w:top w:val="nil"/>
              <w:left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Smoker</w:t>
            </w:r>
          </w:p>
        </w:tc>
        <w:tc>
          <w:tcPr>
            <w:tcW w:w="706"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80"/>
        </w:trPr>
        <w:tc>
          <w:tcPr>
            <w:tcW w:w="1701" w:type="dxa"/>
            <w:tcBorders>
              <w:top w:val="nil"/>
              <w:left w:val="nil"/>
              <w:bottom w:val="single" w:sz="4" w:space="0" w:color="auto"/>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rPr>
                <w:rFonts w:ascii="Calibri" w:eastAsia="Times New Roman" w:hAnsi="Calibri"/>
                <w:i/>
                <w:iCs/>
                <w:color w:val="000000"/>
                <w:sz w:val="20"/>
                <w:szCs w:val="20"/>
                <w:lang w:val="en-CA" w:eastAsia="en-CA"/>
              </w:rPr>
            </w:pPr>
            <w:r>
              <w:rPr>
                <w:rFonts w:ascii="Calibri" w:eastAsia="Times New Roman" w:hAnsi="Calibri"/>
                <w:i/>
                <w:iCs/>
                <w:color w:val="000000"/>
                <w:sz w:val="20"/>
                <w:szCs w:val="20"/>
                <w:lang w:val="en-CA" w:eastAsia="en-CA"/>
              </w:rPr>
              <w:t>Former smoker</w:t>
            </w:r>
            <w:r w:rsidRPr="008D7D4A">
              <w:rPr>
                <w:rFonts w:ascii="Calibri" w:eastAsia="Times New Roman" w:hAnsi="Calibri"/>
                <w:i/>
                <w:iCs/>
                <w:color w:val="000000"/>
                <w:sz w:val="20"/>
                <w:szCs w:val="20"/>
                <w:lang w:val="en-CA" w:eastAsia="en-CA"/>
              </w:rPr>
              <w:t xml:space="preserve"> </w:t>
            </w:r>
          </w:p>
        </w:tc>
        <w:tc>
          <w:tcPr>
            <w:tcW w:w="706"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70"/>
        </w:trPr>
        <w:tc>
          <w:tcPr>
            <w:tcW w:w="1701"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b/>
                <w:bCs/>
                <w:color w:val="000000"/>
                <w:sz w:val="20"/>
                <w:szCs w:val="20"/>
                <w:lang w:val="en-CA" w:eastAsia="en-CA"/>
              </w:rPr>
            </w:pPr>
            <w:r w:rsidRPr="008D7D4A">
              <w:rPr>
                <w:rFonts w:ascii="Calibri" w:eastAsia="Times New Roman" w:hAnsi="Calibri"/>
                <w:b/>
                <w:bCs/>
                <w:color w:val="000000"/>
                <w:sz w:val="20"/>
                <w:szCs w:val="20"/>
                <w:lang w:val="en-CA" w:eastAsia="en-CA"/>
              </w:rPr>
              <w:t>Hypertension</w:t>
            </w:r>
          </w:p>
        </w:tc>
        <w:tc>
          <w:tcPr>
            <w:tcW w:w="2268"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Obesity</w:t>
            </w:r>
          </w:p>
        </w:tc>
        <w:tc>
          <w:tcPr>
            <w:tcW w:w="706"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88"/>
        </w:trPr>
        <w:tc>
          <w:tcPr>
            <w:tcW w:w="1701" w:type="dxa"/>
            <w:tcBorders>
              <w:top w:val="nil"/>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Overweight</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119"/>
        </w:trPr>
        <w:tc>
          <w:tcPr>
            <w:tcW w:w="1701" w:type="dxa"/>
            <w:tcBorders>
              <w:top w:val="nil"/>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nil"/>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Physical inactivity</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166"/>
        </w:trPr>
        <w:tc>
          <w:tcPr>
            <w:tcW w:w="1701" w:type="dxa"/>
            <w:tcBorders>
              <w:top w:val="nil"/>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nil"/>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Insufficient consumption of fruits and vegetables</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211"/>
        </w:trPr>
        <w:tc>
          <w:tcPr>
            <w:tcW w:w="1701" w:type="dxa"/>
            <w:tcBorders>
              <w:top w:val="nil"/>
              <w:left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Smoker</w:t>
            </w:r>
          </w:p>
        </w:tc>
        <w:tc>
          <w:tcPr>
            <w:tcW w:w="706"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244"/>
        </w:trPr>
        <w:tc>
          <w:tcPr>
            <w:tcW w:w="1701" w:type="dxa"/>
            <w:tcBorders>
              <w:top w:val="nil"/>
              <w:left w:val="nil"/>
              <w:bottom w:val="single" w:sz="4" w:space="0" w:color="auto"/>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single" w:sz="4" w:space="0" w:color="auto"/>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Former smoker</w:t>
            </w:r>
          </w:p>
        </w:tc>
        <w:tc>
          <w:tcPr>
            <w:tcW w:w="706"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124"/>
        </w:trPr>
        <w:tc>
          <w:tcPr>
            <w:tcW w:w="1701"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b/>
                <w:bCs/>
                <w:color w:val="000000"/>
                <w:sz w:val="20"/>
                <w:szCs w:val="20"/>
                <w:lang w:val="en-CA" w:eastAsia="en-CA"/>
              </w:rPr>
            </w:pPr>
            <w:r>
              <w:rPr>
                <w:rFonts w:ascii="Calibri" w:eastAsia="Times New Roman" w:hAnsi="Calibri"/>
                <w:b/>
                <w:bCs/>
                <w:color w:val="000000"/>
                <w:sz w:val="20"/>
                <w:szCs w:val="20"/>
                <w:lang w:val="en-CA" w:eastAsia="en-CA"/>
              </w:rPr>
              <w:t>Type 2 diabetes</w:t>
            </w:r>
          </w:p>
        </w:tc>
        <w:tc>
          <w:tcPr>
            <w:tcW w:w="2268"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Obesity</w:t>
            </w:r>
          </w:p>
        </w:tc>
        <w:tc>
          <w:tcPr>
            <w:tcW w:w="706"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6.61</w:t>
            </w: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6.422003</w:t>
            </w: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6.797997</w:t>
            </w:r>
          </w:p>
        </w:tc>
      </w:tr>
      <w:tr w:rsidR="0036135C" w:rsidRPr="008D7D4A" w:rsidTr="0036135C">
        <w:trPr>
          <w:trHeight w:val="165"/>
        </w:trPr>
        <w:tc>
          <w:tcPr>
            <w:tcW w:w="1701" w:type="dxa"/>
            <w:tcBorders>
              <w:top w:val="nil"/>
              <w:left w:val="nil"/>
              <w:bottom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Overweight</w:t>
            </w:r>
          </w:p>
        </w:tc>
        <w:tc>
          <w:tcPr>
            <w:tcW w:w="706"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2.515</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2.357391</w:t>
            </w:r>
          </w:p>
        </w:tc>
        <w:tc>
          <w:tcPr>
            <w:tcW w:w="1360" w:type="dxa"/>
            <w:tcBorders>
              <w:top w:val="nil"/>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2.67261</w:t>
            </w:r>
          </w:p>
        </w:tc>
      </w:tr>
      <w:tr w:rsidR="0036135C" w:rsidRPr="008D7D4A" w:rsidTr="0036135C">
        <w:trPr>
          <w:trHeight w:val="80"/>
        </w:trPr>
        <w:tc>
          <w:tcPr>
            <w:tcW w:w="1701" w:type="dxa"/>
            <w:tcBorders>
              <w:top w:val="nil"/>
              <w:left w:val="nil"/>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Physical inactivity</w:t>
            </w:r>
          </w:p>
        </w:tc>
        <w:tc>
          <w:tcPr>
            <w:tcW w:w="706"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1.354</w:t>
            </w:r>
          </w:p>
        </w:tc>
        <w:tc>
          <w:tcPr>
            <w:tcW w:w="1360"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1.150126</w:t>
            </w:r>
          </w:p>
        </w:tc>
        <w:tc>
          <w:tcPr>
            <w:tcW w:w="1360" w:type="dxa"/>
            <w:tcBorders>
              <w:top w:val="nil"/>
              <w:left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1.549874</w:t>
            </w:r>
          </w:p>
        </w:tc>
      </w:tr>
      <w:tr w:rsidR="0036135C" w:rsidRPr="008D7D4A" w:rsidTr="0036135C">
        <w:trPr>
          <w:trHeight w:val="257"/>
        </w:trPr>
        <w:tc>
          <w:tcPr>
            <w:tcW w:w="1701" w:type="dxa"/>
            <w:tcBorders>
              <w:top w:val="nil"/>
              <w:left w:val="nil"/>
              <w:bottom w:val="single" w:sz="4" w:space="0" w:color="auto"/>
              <w:right w:val="nil"/>
            </w:tcBorders>
            <w:shd w:val="clear" w:color="auto" w:fill="auto"/>
            <w:noWrap/>
            <w:vAlign w:val="bottom"/>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single" w:sz="4" w:space="0" w:color="auto"/>
              <w:right w:val="nil"/>
            </w:tcBorders>
            <w:shd w:val="clear" w:color="auto" w:fill="auto"/>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Insufficient consumption of fruits and vegetables</w:t>
            </w:r>
          </w:p>
        </w:tc>
        <w:tc>
          <w:tcPr>
            <w:tcW w:w="706"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80"/>
        </w:trPr>
        <w:tc>
          <w:tcPr>
            <w:tcW w:w="1701" w:type="dxa"/>
            <w:vMerge w:val="restart"/>
            <w:tcBorders>
              <w:top w:val="single" w:sz="4" w:space="0" w:color="auto"/>
              <w:left w:val="nil"/>
              <w:right w:val="nil"/>
            </w:tcBorders>
            <w:shd w:val="clear" w:color="auto" w:fill="auto"/>
            <w:vAlign w:val="center"/>
            <w:hideMark/>
          </w:tcPr>
          <w:p w:rsidR="0036135C" w:rsidRPr="008D7D4A" w:rsidRDefault="0036135C" w:rsidP="0036135C">
            <w:pPr>
              <w:spacing w:after="0"/>
              <w:rPr>
                <w:rFonts w:ascii="Calibri" w:eastAsia="Times New Roman" w:hAnsi="Calibri"/>
                <w:b/>
                <w:bCs/>
                <w:color w:val="000000"/>
                <w:sz w:val="20"/>
                <w:szCs w:val="20"/>
                <w:lang w:val="en-CA" w:eastAsia="en-CA"/>
              </w:rPr>
            </w:pPr>
            <w:r>
              <w:rPr>
                <w:rFonts w:ascii="Calibri" w:eastAsia="Times New Roman" w:hAnsi="Calibri"/>
                <w:b/>
                <w:bCs/>
                <w:color w:val="000000"/>
                <w:sz w:val="20"/>
                <w:szCs w:val="20"/>
                <w:lang w:val="en-CA" w:eastAsia="en-CA"/>
              </w:rPr>
              <w:t>Osteoarthritis (a</w:t>
            </w:r>
            <w:r w:rsidRPr="008D7D4A">
              <w:rPr>
                <w:rFonts w:ascii="Calibri" w:eastAsia="Times New Roman" w:hAnsi="Calibri"/>
                <w:b/>
                <w:bCs/>
                <w:color w:val="000000"/>
                <w:sz w:val="20"/>
                <w:szCs w:val="20"/>
                <w:lang w:val="en-CA" w:eastAsia="en-CA"/>
              </w:rPr>
              <w:t>rthroses)</w:t>
            </w:r>
          </w:p>
        </w:tc>
        <w:tc>
          <w:tcPr>
            <w:tcW w:w="2268"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Obesity</w:t>
            </w:r>
          </w:p>
        </w:tc>
        <w:tc>
          <w:tcPr>
            <w:tcW w:w="706"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single" w:sz="4" w:space="0" w:color="auto"/>
              <w:left w:val="nil"/>
              <w:bottom w:val="nil"/>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84"/>
        </w:trPr>
        <w:tc>
          <w:tcPr>
            <w:tcW w:w="1701" w:type="dxa"/>
            <w:vMerge/>
            <w:tcBorders>
              <w:left w:val="nil"/>
              <w:bottom w:val="single" w:sz="4" w:space="0" w:color="auto"/>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p>
        </w:tc>
        <w:tc>
          <w:tcPr>
            <w:tcW w:w="2268"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rPr>
                <w:rFonts w:ascii="Calibri" w:eastAsia="Times New Roman" w:hAnsi="Calibri"/>
                <w:color w:val="000000"/>
                <w:sz w:val="20"/>
                <w:szCs w:val="20"/>
                <w:lang w:val="en-CA" w:eastAsia="en-CA"/>
              </w:rPr>
            </w:pPr>
            <w:r>
              <w:rPr>
                <w:rFonts w:ascii="Calibri" w:eastAsia="Times New Roman" w:hAnsi="Calibri"/>
                <w:color w:val="000000"/>
                <w:sz w:val="20"/>
                <w:szCs w:val="20"/>
                <w:lang w:val="en-CA" w:eastAsia="en-CA"/>
              </w:rPr>
              <w:t>Overweight</w:t>
            </w:r>
          </w:p>
        </w:tc>
        <w:tc>
          <w:tcPr>
            <w:tcW w:w="706"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nil"/>
              <w:left w:val="nil"/>
              <w:bottom w:val="single" w:sz="4"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r w:rsidR="0036135C" w:rsidRPr="008D7D4A" w:rsidTr="0036135C">
        <w:trPr>
          <w:trHeight w:val="271"/>
        </w:trPr>
        <w:tc>
          <w:tcPr>
            <w:tcW w:w="1701" w:type="dxa"/>
            <w:tcBorders>
              <w:top w:val="single" w:sz="4" w:space="0" w:color="auto"/>
              <w:left w:val="nil"/>
              <w:bottom w:val="single" w:sz="8" w:space="0" w:color="auto"/>
              <w:right w:val="nil"/>
            </w:tcBorders>
            <w:shd w:val="clear" w:color="auto" w:fill="auto"/>
            <w:vAlign w:val="center"/>
            <w:hideMark/>
          </w:tcPr>
          <w:p w:rsidR="0036135C" w:rsidRPr="008D7D4A" w:rsidRDefault="0036135C" w:rsidP="0036135C">
            <w:pPr>
              <w:spacing w:after="0"/>
              <w:rPr>
                <w:rFonts w:ascii="Calibri" w:eastAsia="Times New Roman" w:hAnsi="Calibri"/>
                <w:b/>
                <w:bCs/>
                <w:i/>
                <w:iCs/>
                <w:color w:val="000000"/>
                <w:sz w:val="20"/>
                <w:szCs w:val="20"/>
                <w:lang w:val="en-CA" w:eastAsia="en-CA"/>
              </w:rPr>
            </w:pPr>
            <w:r>
              <w:rPr>
                <w:rFonts w:ascii="Calibri" w:eastAsia="Times New Roman" w:hAnsi="Calibri"/>
                <w:b/>
                <w:bCs/>
                <w:i/>
                <w:iCs/>
                <w:color w:val="000000"/>
                <w:sz w:val="20"/>
                <w:szCs w:val="20"/>
                <w:lang w:val="en-CA" w:eastAsia="en-CA"/>
              </w:rPr>
              <w:t>Osteoporosi</w:t>
            </w:r>
            <w:r w:rsidRPr="008D7D4A">
              <w:rPr>
                <w:rFonts w:ascii="Calibri" w:eastAsia="Times New Roman" w:hAnsi="Calibri"/>
                <w:b/>
                <w:bCs/>
                <w:i/>
                <w:iCs/>
                <w:color w:val="000000"/>
                <w:sz w:val="20"/>
                <w:szCs w:val="20"/>
                <w:lang w:val="en-CA" w:eastAsia="en-CA"/>
              </w:rPr>
              <w:t>s</w:t>
            </w:r>
          </w:p>
        </w:tc>
        <w:tc>
          <w:tcPr>
            <w:tcW w:w="2268" w:type="dxa"/>
            <w:tcBorders>
              <w:top w:val="single" w:sz="4" w:space="0" w:color="auto"/>
              <w:left w:val="nil"/>
              <w:bottom w:val="single" w:sz="8" w:space="0" w:color="auto"/>
              <w:right w:val="nil"/>
            </w:tcBorders>
            <w:shd w:val="clear" w:color="auto" w:fill="auto"/>
            <w:vAlign w:val="center"/>
            <w:hideMark/>
          </w:tcPr>
          <w:p w:rsidR="0036135C" w:rsidRPr="00E02943" w:rsidRDefault="0036135C" w:rsidP="0036135C">
            <w:pPr>
              <w:spacing w:after="0"/>
              <w:rPr>
                <w:rFonts w:ascii="Calibri" w:eastAsia="Times New Roman" w:hAnsi="Calibri"/>
                <w:color w:val="000000"/>
                <w:sz w:val="20"/>
                <w:szCs w:val="20"/>
                <w:lang w:val="fr-CA" w:eastAsia="en-CA"/>
              </w:rPr>
            </w:pPr>
            <w:r>
              <w:rPr>
                <w:rFonts w:ascii="Calibri" w:eastAsia="Times New Roman" w:hAnsi="Calibri"/>
                <w:color w:val="000000"/>
                <w:sz w:val="20"/>
                <w:szCs w:val="20"/>
                <w:lang w:val="fr-CA" w:eastAsia="en-CA"/>
              </w:rPr>
              <w:t>Physical inactivity</w:t>
            </w:r>
          </w:p>
        </w:tc>
        <w:tc>
          <w:tcPr>
            <w:tcW w:w="706" w:type="dxa"/>
            <w:tcBorders>
              <w:top w:val="single" w:sz="4" w:space="0" w:color="auto"/>
              <w:left w:val="nil"/>
              <w:bottom w:val="single" w:sz="8"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r w:rsidRPr="008D7D4A">
              <w:rPr>
                <w:rFonts w:ascii="Calibri" w:eastAsia="Times New Roman" w:hAnsi="Calibri"/>
                <w:color w:val="000000"/>
                <w:sz w:val="20"/>
                <w:szCs w:val="20"/>
                <w:lang w:val="en-CA" w:eastAsia="en-CA"/>
              </w:rPr>
              <w:t>NA</w:t>
            </w:r>
          </w:p>
        </w:tc>
        <w:tc>
          <w:tcPr>
            <w:tcW w:w="1360" w:type="dxa"/>
            <w:tcBorders>
              <w:top w:val="single" w:sz="4" w:space="0" w:color="auto"/>
              <w:left w:val="nil"/>
              <w:bottom w:val="single" w:sz="8"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c>
          <w:tcPr>
            <w:tcW w:w="1360" w:type="dxa"/>
            <w:tcBorders>
              <w:top w:val="single" w:sz="4" w:space="0" w:color="auto"/>
              <w:left w:val="nil"/>
              <w:bottom w:val="single" w:sz="8" w:space="0" w:color="auto"/>
              <w:right w:val="nil"/>
            </w:tcBorders>
            <w:shd w:val="clear" w:color="auto" w:fill="auto"/>
            <w:noWrap/>
            <w:vAlign w:val="center"/>
            <w:hideMark/>
          </w:tcPr>
          <w:p w:rsidR="0036135C" w:rsidRPr="008D7D4A" w:rsidRDefault="0036135C" w:rsidP="0036135C">
            <w:pPr>
              <w:spacing w:after="0"/>
              <w:jc w:val="center"/>
              <w:rPr>
                <w:rFonts w:ascii="Calibri" w:eastAsia="Times New Roman" w:hAnsi="Calibri"/>
                <w:color w:val="000000"/>
                <w:sz w:val="20"/>
                <w:szCs w:val="20"/>
                <w:lang w:val="en-CA" w:eastAsia="en-CA"/>
              </w:rPr>
            </w:pPr>
          </w:p>
        </w:tc>
      </w:tr>
    </w:tbl>
    <w:p w:rsidR="0036135C" w:rsidRPr="006E522D" w:rsidRDefault="0036135C" w:rsidP="0036135C">
      <w:pPr>
        <w:rPr>
          <w:rFonts w:ascii="Calibri" w:hAnsi="Calibri"/>
          <w:sz w:val="18"/>
          <w:szCs w:val="18"/>
          <w:lang w:val="en-CA"/>
        </w:rPr>
      </w:pPr>
      <w:r w:rsidRPr="006E522D">
        <w:rPr>
          <w:rFonts w:ascii="Calibri" w:hAnsi="Calibri"/>
          <w:sz w:val="18"/>
          <w:szCs w:val="18"/>
          <w:lang w:val="en-CA"/>
        </w:rPr>
        <w:t xml:space="preserve">* When these probabilistic RR estimates were used in our model, the </w:t>
      </w:r>
      <w:r>
        <w:rPr>
          <w:rFonts w:ascii="Calibri" w:hAnsi="Calibri"/>
          <w:sz w:val="18"/>
          <w:szCs w:val="18"/>
          <w:lang w:val="en-CA"/>
        </w:rPr>
        <w:t xml:space="preserve">break-even point was 5.60% </w:t>
      </w:r>
      <w:r w:rsidRPr="006E522D">
        <w:rPr>
          <w:rFonts w:ascii="Calibri" w:hAnsi="Calibri"/>
          <w:sz w:val="18"/>
          <w:szCs w:val="18"/>
          <w:lang w:val="en-CA"/>
        </w:rPr>
        <w:t xml:space="preserve">(95% confidence interval of </w:t>
      </w:r>
      <w:r>
        <w:rPr>
          <w:rFonts w:ascii="Calibri" w:hAnsi="Calibri"/>
          <w:sz w:val="18"/>
          <w:szCs w:val="18"/>
          <w:lang w:val="en-CA"/>
        </w:rPr>
        <w:t>4.14</w:t>
      </w:r>
      <w:r w:rsidRPr="006E522D">
        <w:rPr>
          <w:rFonts w:ascii="Calibri" w:hAnsi="Calibri"/>
          <w:sz w:val="18"/>
          <w:szCs w:val="18"/>
          <w:lang w:val="en-CA"/>
        </w:rPr>
        <w:t xml:space="preserve">% to </w:t>
      </w:r>
      <w:r>
        <w:rPr>
          <w:rFonts w:ascii="Calibri" w:hAnsi="Calibri"/>
          <w:sz w:val="18"/>
          <w:szCs w:val="18"/>
          <w:lang w:val="en-CA"/>
        </w:rPr>
        <w:t>9.35</w:t>
      </w:r>
      <w:r w:rsidRPr="006E522D">
        <w:rPr>
          <w:rFonts w:ascii="Calibri" w:hAnsi="Calibri"/>
          <w:sz w:val="18"/>
          <w:szCs w:val="18"/>
          <w:lang w:val="en-CA"/>
        </w:rPr>
        <w:t xml:space="preserve">%). </w:t>
      </w:r>
    </w:p>
    <w:p w:rsidR="0036135C" w:rsidRDefault="0036135C" w:rsidP="0036135C">
      <w:pPr>
        <w:spacing w:line="276" w:lineRule="auto"/>
        <w:rPr>
          <w:b/>
          <w:lang w:val="en-CA"/>
        </w:rPr>
      </w:pPr>
    </w:p>
    <w:p w:rsidR="0036135C" w:rsidRDefault="0036135C" w:rsidP="0036135C">
      <w:pPr>
        <w:spacing w:line="276" w:lineRule="auto"/>
        <w:rPr>
          <w:b/>
          <w:lang w:val="en-CA"/>
        </w:rPr>
      </w:pPr>
    </w:p>
    <w:p w:rsidR="0036135C" w:rsidRDefault="0036135C">
      <w:pPr>
        <w:spacing w:line="276" w:lineRule="auto"/>
        <w:rPr>
          <w:b/>
          <w:lang w:val="en-CA"/>
        </w:rPr>
      </w:pPr>
      <w:r>
        <w:rPr>
          <w:b/>
          <w:lang w:val="en-CA"/>
        </w:rPr>
        <w:br w:type="page"/>
      </w:r>
    </w:p>
    <w:p w:rsidR="0036135C" w:rsidRPr="00F73499" w:rsidRDefault="0036135C" w:rsidP="0036135C">
      <w:pPr>
        <w:rPr>
          <w:b/>
          <w:lang w:val="en-CA"/>
        </w:rPr>
      </w:pPr>
      <w:r w:rsidRPr="008D7D4A">
        <w:rPr>
          <w:b/>
          <w:lang w:val="en-CA"/>
        </w:rPr>
        <w:lastRenderedPageBreak/>
        <w:t>Table</w:t>
      </w:r>
      <w:r>
        <w:rPr>
          <w:b/>
          <w:lang w:val="en-CA"/>
        </w:rPr>
        <w:t xml:space="preserve"> S6: Impact of variation in RR estimates and in </w:t>
      </w:r>
      <w:r w:rsidRPr="008D7D4A">
        <w:rPr>
          <w:b/>
          <w:lang w:val="en-CA"/>
        </w:rPr>
        <w:t xml:space="preserve">costs of the </w:t>
      </w:r>
      <w:r>
        <w:rPr>
          <w:b/>
          <w:lang w:val="en-CA"/>
        </w:rPr>
        <w:t xml:space="preserve">HLHP </w:t>
      </w:r>
      <w:r w:rsidRPr="00F73499">
        <w:rPr>
          <w:b/>
          <w:lang w:val="en-CA"/>
        </w:rPr>
        <w:t>strategy on the break-even point</w:t>
      </w:r>
      <w:r w:rsidR="00DF2F46">
        <w:rPr>
          <w:b/>
          <w:lang w:val="en-CA"/>
        </w:rPr>
        <w:t xml:space="preserve">. </w:t>
      </w:r>
      <w:r w:rsidR="00DF2F46">
        <w:rPr>
          <w:b/>
          <w:bCs/>
          <w:lang w:val="en-CA" w:eastAsia="fr-CA"/>
        </w:rPr>
        <w:t>Canada 2016</w:t>
      </w:r>
    </w:p>
    <w:tbl>
      <w:tblPr>
        <w:tblW w:w="9498" w:type="dxa"/>
        <w:jc w:val="center"/>
        <w:tblCellMar>
          <w:left w:w="70" w:type="dxa"/>
          <w:right w:w="70" w:type="dxa"/>
        </w:tblCellMar>
        <w:tblLook w:val="04A0" w:firstRow="1" w:lastRow="0" w:firstColumn="1" w:lastColumn="0" w:noHBand="0" w:noVBand="1"/>
      </w:tblPr>
      <w:tblGrid>
        <w:gridCol w:w="2410"/>
        <w:gridCol w:w="1418"/>
        <w:gridCol w:w="1417"/>
        <w:gridCol w:w="1418"/>
        <w:gridCol w:w="1417"/>
        <w:gridCol w:w="1418"/>
      </w:tblGrid>
      <w:tr w:rsidR="0036135C" w:rsidRPr="00F73499" w:rsidTr="0036135C">
        <w:trPr>
          <w:trHeight w:val="330"/>
          <w:jc w:val="center"/>
        </w:trPr>
        <w:tc>
          <w:tcPr>
            <w:tcW w:w="2410" w:type="dxa"/>
            <w:tcBorders>
              <w:top w:val="single" w:sz="4" w:space="0" w:color="auto"/>
              <w:left w:val="nil"/>
              <w:bottom w:val="single" w:sz="4" w:space="0" w:color="auto"/>
              <w:right w:val="nil"/>
            </w:tcBorders>
            <w:shd w:val="clear" w:color="auto" w:fill="auto"/>
            <w:noWrap/>
            <w:vAlign w:val="center"/>
            <w:hideMark/>
          </w:tcPr>
          <w:p w:rsidR="0036135C" w:rsidRPr="00F73499" w:rsidRDefault="0036135C" w:rsidP="0036135C">
            <w:pPr>
              <w:spacing w:after="0"/>
              <w:jc w:val="center"/>
              <w:rPr>
                <w:rFonts w:ascii="Calibri" w:eastAsia="Times New Roman" w:hAnsi="Calibri"/>
                <w:color w:val="000000"/>
                <w:sz w:val="20"/>
                <w:szCs w:val="20"/>
                <w:lang w:val="en-CA" w:eastAsia="fr-CA"/>
              </w:rPr>
            </w:pPr>
          </w:p>
        </w:tc>
        <w:tc>
          <w:tcPr>
            <w:tcW w:w="7088" w:type="dxa"/>
            <w:gridSpan w:val="5"/>
            <w:tcBorders>
              <w:top w:val="single" w:sz="8" w:space="0" w:color="auto"/>
              <w:left w:val="nil"/>
              <w:bottom w:val="single" w:sz="4" w:space="0" w:color="auto"/>
              <w:right w:val="nil"/>
            </w:tcBorders>
            <w:shd w:val="clear" w:color="auto" w:fill="auto"/>
            <w:noWrap/>
            <w:vAlign w:val="center"/>
            <w:hideMark/>
          </w:tcPr>
          <w:p w:rsidR="0036135C" w:rsidRPr="00F73499" w:rsidRDefault="0036135C" w:rsidP="0036135C">
            <w:pPr>
              <w:spacing w:after="0"/>
              <w:jc w:val="center"/>
              <w:rPr>
                <w:rFonts w:ascii="Calibri" w:eastAsia="Times New Roman" w:hAnsi="Calibri"/>
                <w:b/>
                <w:color w:val="000000"/>
                <w:sz w:val="20"/>
                <w:szCs w:val="20"/>
                <w:lang w:val="en-CA" w:eastAsia="fr-CA"/>
              </w:rPr>
            </w:pPr>
            <w:r w:rsidRPr="00F73499">
              <w:rPr>
                <w:rFonts w:ascii="Calibri" w:eastAsia="Times New Roman" w:hAnsi="Calibri"/>
                <w:b/>
                <w:color w:val="000000"/>
                <w:sz w:val="20"/>
                <w:szCs w:val="20"/>
                <w:lang w:val="en-CA" w:eastAsia="fr-CA"/>
              </w:rPr>
              <w:t>Time to occurrence of effects (break-even threshold %)</w:t>
            </w:r>
          </w:p>
        </w:tc>
      </w:tr>
      <w:tr w:rsidR="0036135C" w:rsidRPr="00F73499" w:rsidTr="0036135C">
        <w:trPr>
          <w:trHeight w:val="315"/>
          <w:jc w:val="center"/>
        </w:trPr>
        <w:tc>
          <w:tcPr>
            <w:tcW w:w="2410" w:type="dxa"/>
            <w:tcBorders>
              <w:top w:val="nil"/>
              <w:left w:val="nil"/>
              <w:bottom w:val="single" w:sz="8" w:space="0" w:color="auto"/>
              <w:right w:val="nil"/>
            </w:tcBorders>
            <w:shd w:val="clear" w:color="auto" w:fill="auto"/>
            <w:noWrap/>
            <w:vAlign w:val="center"/>
            <w:hideMark/>
          </w:tcPr>
          <w:p w:rsidR="0036135C" w:rsidRPr="00F73499" w:rsidRDefault="0036135C" w:rsidP="0036135C">
            <w:pPr>
              <w:spacing w:after="0"/>
              <w:jc w:val="center"/>
              <w:rPr>
                <w:rFonts w:ascii="Calibri" w:eastAsia="Times New Roman" w:hAnsi="Calibri"/>
                <w:color w:val="000000"/>
                <w:sz w:val="20"/>
                <w:szCs w:val="20"/>
                <w:lang w:val="en-CA" w:eastAsia="fr-CA"/>
              </w:rPr>
            </w:pPr>
          </w:p>
        </w:tc>
        <w:tc>
          <w:tcPr>
            <w:tcW w:w="1418" w:type="dxa"/>
            <w:tcBorders>
              <w:top w:val="nil"/>
              <w:left w:val="nil"/>
              <w:bottom w:val="single" w:sz="8" w:space="0" w:color="auto"/>
              <w:right w:val="nil"/>
            </w:tcBorders>
            <w:shd w:val="clear" w:color="auto" w:fill="auto"/>
            <w:noWrap/>
            <w:vAlign w:val="center"/>
            <w:hideMark/>
          </w:tcPr>
          <w:p w:rsidR="0036135C" w:rsidRPr="00F73499" w:rsidRDefault="0036135C" w:rsidP="0036135C">
            <w:pPr>
              <w:spacing w:after="0"/>
              <w:jc w:val="center"/>
              <w:rPr>
                <w:rFonts w:ascii="Calibri" w:eastAsia="Times New Roman" w:hAnsi="Calibri"/>
                <w:color w:val="000000"/>
                <w:sz w:val="20"/>
                <w:szCs w:val="20"/>
                <w:lang w:val="en-CA" w:eastAsia="fr-CA"/>
              </w:rPr>
            </w:pPr>
            <w:r w:rsidRPr="00F73499">
              <w:rPr>
                <w:rFonts w:ascii="Calibri" w:eastAsia="Times New Roman" w:hAnsi="Calibri"/>
                <w:color w:val="000000"/>
                <w:sz w:val="20"/>
                <w:szCs w:val="20"/>
                <w:lang w:val="en-CA" w:eastAsia="fr-CA"/>
              </w:rPr>
              <w:t>No discounting</w:t>
            </w:r>
          </w:p>
        </w:tc>
        <w:tc>
          <w:tcPr>
            <w:tcW w:w="1417" w:type="dxa"/>
            <w:tcBorders>
              <w:top w:val="nil"/>
              <w:left w:val="nil"/>
              <w:bottom w:val="single" w:sz="8" w:space="0" w:color="auto"/>
              <w:right w:val="nil"/>
            </w:tcBorders>
            <w:shd w:val="clear" w:color="auto" w:fill="auto"/>
            <w:noWrap/>
            <w:vAlign w:val="center"/>
            <w:hideMark/>
          </w:tcPr>
          <w:p w:rsidR="0036135C" w:rsidRPr="00F73499" w:rsidRDefault="0036135C" w:rsidP="0036135C">
            <w:pPr>
              <w:spacing w:after="0"/>
              <w:jc w:val="center"/>
              <w:rPr>
                <w:rFonts w:ascii="Calibri" w:eastAsia="Times New Roman" w:hAnsi="Calibri"/>
                <w:color w:val="000000"/>
                <w:sz w:val="20"/>
                <w:szCs w:val="20"/>
                <w:lang w:val="en-CA" w:eastAsia="fr-CA"/>
              </w:rPr>
            </w:pPr>
            <w:r w:rsidRPr="00F73499">
              <w:rPr>
                <w:rFonts w:ascii="Calibri" w:eastAsia="Times New Roman" w:hAnsi="Calibri"/>
                <w:color w:val="000000"/>
                <w:sz w:val="20"/>
                <w:szCs w:val="20"/>
                <w:lang w:val="en-CA" w:eastAsia="fr-CA"/>
              </w:rPr>
              <w:t>5 years</w:t>
            </w:r>
          </w:p>
        </w:tc>
        <w:tc>
          <w:tcPr>
            <w:tcW w:w="1418" w:type="dxa"/>
            <w:tcBorders>
              <w:top w:val="nil"/>
              <w:left w:val="nil"/>
              <w:bottom w:val="single" w:sz="8" w:space="0" w:color="auto"/>
              <w:right w:val="nil"/>
            </w:tcBorders>
            <w:shd w:val="clear" w:color="auto" w:fill="auto"/>
            <w:noWrap/>
            <w:vAlign w:val="center"/>
            <w:hideMark/>
          </w:tcPr>
          <w:p w:rsidR="0036135C" w:rsidRPr="00F73499" w:rsidRDefault="0036135C" w:rsidP="0036135C">
            <w:pPr>
              <w:spacing w:after="0"/>
              <w:jc w:val="center"/>
              <w:rPr>
                <w:rFonts w:ascii="Calibri" w:eastAsia="Times New Roman" w:hAnsi="Calibri"/>
                <w:color w:val="000000"/>
                <w:sz w:val="20"/>
                <w:szCs w:val="20"/>
                <w:lang w:val="en-CA" w:eastAsia="fr-CA"/>
              </w:rPr>
            </w:pPr>
            <w:r w:rsidRPr="00F73499">
              <w:rPr>
                <w:rFonts w:ascii="Calibri" w:eastAsia="Times New Roman" w:hAnsi="Calibri"/>
                <w:color w:val="000000"/>
                <w:sz w:val="20"/>
                <w:szCs w:val="20"/>
                <w:lang w:val="en-CA" w:eastAsia="fr-CA"/>
              </w:rPr>
              <w:t>10 years</w:t>
            </w:r>
          </w:p>
        </w:tc>
        <w:tc>
          <w:tcPr>
            <w:tcW w:w="1417" w:type="dxa"/>
            <w:tcBorders>
              <w:top w:val="nil"/>
              <w:left w:val="nil"/>
              <w:bottom w:val="single" w:sz="8" w:space="0" w:color="auto"/>
              <w:right w:val="nil"/>
            </w:tcBorders>
            <w:shd w:val="clear" w:color="auto" w:fill="auto"/>
            <w:noWrap/>
            <w:vAlign w:val="center"/>
            <w:hideMark/>
          </w:tcPr>
          <w:p w:rsidR="0036135C" w:rsidRPr="00F73499" w:rsidRDefault="0036135C" w:rsidP="0036135C">
            <w:pPr>
              <w:spacing w:after="0"/>
              <w:jc w:val="center"/>
              <w:rPr>
                <w:rFonts w:ascii="Calibri" w:eastAsia="Times New Roman" w:hAnsi="Calibri"/>
                <w:color w:val="000000"/>
                <w:sz w:val="20"/>
                <w:szCs w:val="20"/>
                <w:lang w:val="en-CA" w:eastAsia="fr-CA"/>
              </w:rPr>
            </w:pPr>
            <w:r w:rsidRPr="00F73499">
              <w:rPr>
                <w:rFonts w:ascii="Calibri" w:eastAsia="Times New Roman" w:hAnsi="Calibri"/>
                <w:color w:val="000000"/>
                <w:sz w:val="20"/>
                <w:szCs w:val="20"/>
                <w:lang w:val="en-CA" w:eastAsia="fr-CA"/>
              </w:rPr>
              <w:t>15 years</w:t>
            </w:r>
          </w:p>
        </w:tc>
        <w:tc>
          <w:tcPr>
            <w:tcW w:w="1418" w:type="dxa"/>
            <w:tcBorders>
              <w:top w:val="nil"/>
              <w:left w:val="nil"/>
              <w:bottom w:val="single" w:sz="8" w:space="0" w:color="auto"/>
              <w:right w:val="nil"/>
            </w:tcBorders>
            <w:shd w:val="clear" w:color="auto" w:fill="auto"/>
            <w:noWrap/>
            <w:vAlign w:val="center"/>
            <w:hideMark/>
          </w:tcPr>
          <w:p w:rsidR="0036135C" w:rsidRPr="00F73499" w:rsidRDefault="0036135C" w:rsidP="0036135C">
            <w:pPr>
              <w:spacing w:after="0"/>
              <w:jc w:val="center"/>
              <w:rPr>
                <w:rFonts w:ascii="Calibri" w:eastAsia="Times New Roman" w:hAnsi="Calibri"/>
                <w:color w:val="000000"/>
                <w:sz w:val="20"/>
                <w:szCs w:val="20"/>
                <w:lang w:val="en-CA" w:eastAsia="fr-CA"/>
              </w:rPr>
            </w:pPr>
            <w:r w:rsidRPr="00F73499">
              <w:rPr>
                <w:rFonts w:ascii="Calibri" w:eastAsia="Times New Roman" w:hAnsi="Calibri"/>
                <w:color w:val="000000"/>
                <w:sz w:val="20"/>
                <w:szCs w:val="20"/>
                <w:lang w:val="en-CA" w:eastAsia="fr-CA"/>
              </w:rPr>
              <w:t>20 years</w:t>
            </w:r>
          </w:p>
        </w:tc>
      </w:tr>
      <w:tr w:rsidR="0036135C" w:rsidRPr="00F73499" w:rsidTr="0036135C">
        <w:trPr>
          <w:trHeight w:val="430"/>
          <w:jc w:val="center"/>
        </w:trPr>
        <w:tc>
          <w:tcPr>
            <w:tcW w:w="2410" w:type="dxa"/>
            <w:tcBorders>
              <w:top w:val="nil"/>
              <w:left w:val="nil"/>
              <w:bottom w:val="single" w:sz="4" w:space="0" w:color="auto"/>
              <w:right w:val="nil"/>
            </w:tcBorders>
            <w:shd w:val="clear" w:color="auto" w:fill="auto"/>
            <w:noWrap/>
            <w:vAlign w:val="center"/>
            <w:hideMark/>
          </w:tcPr>
          <w:p w:rsidR="0036135C" w:rsidRPr="00F73499" w:rsidRDefault="0036135C" w:rsidP="0036135C">
            <w:pPr>
              <w:spacing w:after="0"/>
              <w:rPr>
                <w:rFonts w:ascii="Calibri" w:eastAsia="Times New Roman" w:hAnsi="Calibri"/>
                <w:color w:val="000000"/>
                <w:sz w:val="20"/>
                <w:szCs w:val="20"/>
                <w:lang w:val="en-CA" w:eastAsia="fr-CA"/>
              </w:rPr>
            </w:pPr>
            <w:r w:rsidRPr="00F73499">
              <w:rPr>
                <w:rFonts w:ascii="Calibri" w:eastAsia="Times New Roman" w:hAnsi="Calibri"/>
                <w:color w:val="000000"/>
                <w:sz w:val="20"/>
                <w:szCs w:val="20"/>
                <w:lang w:val="en-CA" w:eastAsia="fr-CA"/>
              </w:rPr>
              <w:t>Threshold if discount rate = 1.5 (%)</w:t>
            </w:r>
          </w:p>
        </w:tc>
        <w:tc>
          <w:tcPr>
            <w:tcW w:w="1418" w:type="dxa"/>
            <w:tcBorders>
              <w:top w:val="nil"/>
              <w:left w:val="nil"/>
              <w:bottom w:val="single" w:sz="4" w:space="0" w:color="000000"/>
              <w:right w:val="nil"/>
            </w:tcBorders>
            <w:shd w:val="clear" w:color="auto" w:fill="auto"/>
            <w:noWrap/>
            <w:vAlign w:val="bottom"/>
            <w:hideMark/>
          </w:tcPr>
          <w:p w:rsidR="0036135C" w:rsidRPr="00F73499" w:rsidRDefault="0036135C" w:rsidP="0036135C">
            <w:pPr>
              <w:jc w:val="center"/>
              <w:rPr>
                <w:rFonts w:ascii="Calibri" w:eastAsia="Times New Roman" w:hAnsi="Calibri"/>
                <w:bCs/>
                <w:color w:val="000000"/>
                <w:sz w:val="22"/>
              </w:rPr>
            </w:pPr>
            <w:r w:rsidRPr="00F73499">
              <w:rPr>
                <w:rFonts w:ascii="Calibri" w:eastAsia="Times New Roman" w:hAnsi="Calibri"/>
                <w:bCs/>
                <w:color w:val="000000"/>
                <w:sz w:val="22"/>
              </w:rPr>
              <w:t>5.60%</w:t>
            </w:r>
          </w:p>
        </w:tc>
        <w:tc>
          <w:tcPr>
            <w:tcW w:w="1417" w:type="dxa"/>
            <w:tcBorders>
              <w:top w:val="nil"/>
              <w:left w:val="nil"/>
              <w:bottom w:val="single" w:sz="4" w:space="0" w:color="auto"/>
              <w:right w:val="nil"/>
            </w:tcBorders>
            <w:shd w:val="clear" w:color="auto" w:fill="auto"/>
            <w:noWrap/>
            <w:vAlign w:val="bottom"/>
            <w:hideMark/>
          </w:tcPr>
          <w:p w:rsidR="0036135C" w:rsidRPr="00F73499" w:rsidRDefault="0036135C" w:rsidP="0036135C">
            <w:pPr>
              <w:jc w:val="center"/>
              <w:rPr>
                <w:rFonts w:ascii="Calibri" w:eastAsia="Times New Roman" w:hAnsi="Calibri"/>
                <w:color w:val="000000"/>
                <w:sz w:val="22"/>
              </w:rPr>
            </w:pPr>
            <w:r w:rsidRPr="00F73499">
              <w:rPr>
                <w:rFonts w:ascii="Calibri" w:eastAsia="Times New Roman" w:hAnsi="Calibri"/>
                <w:color w:val="000000"/>
                <w:sz w:val="22"/>
              </w:rPr>
              <w:t>4.86%</w:t>
            </w:r>
          </w:p>
        </w:tc>
        <w:tc>
          <w:tcPr>
            <w:tcW w:w="1418" w:type="dxa"/>
            <w:tcBorders>
              <w:top w:val="nil"/>
              <w:left w:val="nil"/>
              <w:bottom w:val="single" w:sz="4" w:space="0" w:color="auto"/>
              <w:right w:val="nil"/>
            </w:tcBorders>
            <w:shd w:val="clear" w:color="auto" w:fill="auto"/>
            <w:noWrap/>
            <w:vAlign w:val="bottom"/>
            <w:hideMark/>
          </w:tcPr>
          <w:p w:rsidR="0036135C" w:rsidRPr="00F73499" w:rsidRDefault="0036135C" w:rsidP="0036135C">
            <w:pPr>
              <w:jc w:val="center"/>
              <w:rPr>
                <w:rFonts w:ascii="Calibri" w:eastAsia="Times New Roman" w:hAnsi="Calibri"/>
                <w:color w:val="000000"/>
                <w:sz w:val="22"/>
              </w:rPr>
            </w:pPr>
            <w:r w:rsidRPr="00F73499">
              <w:rPr>
                <w:rFonts w:ascii="Calibri" w:eastAsia="Times New Roman" w:hAnsi="Calibri"/>
                <w:color w:val="000000"/>
                <w:sz w:val="22"/>
              </w:rPr>
              <w:t>4.22%</w:t>
            </w:r>
          </w:p>
        </w:tc>
        <w:tc>
          <w:tcPr>
            <w:tcW w:w="1417" w:type="dxa"/>
            <w:tcBorders>
              <w:top w:val="nil"/>
              <w:left w:val="nil"/>
              <w:bottom w:val="single" w:sz="4" w:space="0" w:color="auto"/>
              <w:right w:val="nil"/>
            </w:tcBorders>
            <w:shd w:val="clear" w:color="auto" w:fill="auto"/>
            <w:noWrap/>
            <w:vAlign w:val="bottom"/>
            <w:hideMark/>
          </w:tcPr>
          <w:p w:rsidR="0036135C" w:rsidRPr="00F73499" w:rsidRDefault="0036135C" w:rsidP="0036135C">
            <w:pPr>
              <w:jc w:val="center"/>
              <w:rPr>
                <w:rFonts w:ascii="Calibri" w:eastAsia="Times New Roman" w:hAnsi="Calibri"/>
                <w:color w:val="000000"/>
                <w:sz w:val="22"/>
              </w:rPr>
            </w:pPr>
            <w:r w:rsidRPr="00F73499">
              <w:rPr>
                <w:rFonts w:ascii="Calibri" w:eastAsia="Times New Roman" w:hAnsi="Calibri"/>
                <w:color w:val="000000"/>
                <w:sz w:val="22"/>
              </w:rPr>
              <w:t>3.67%</w:t>
            </w:r>
          </w:p>
        </w:tc>
        <w:tc>
          <w:tcPr>
            <w:tcW w:w="1418" w:type="dxa"/>
            <w:tcBorders>
              <w:top w:val="nil"/>
              <w:left w:val="nil"/>
              <w:bottom w:val="single" w:sz="4" w:space="0" w:color="auto"/>
              <w:right w:val="nil"/>
            </w:tcBorders>
            <w:shd w:val="clear" w:color="auto" w:fill="auto"/>
            <w:noWrap/>
            <w:vAlign w:val="bottom"/>
            <w:hideMark/>
          </w:tcPr>
          <w:p w:rsidR="0036135C" w:rsidRPr="00F73499" w:rsidRDefault="0036135C" w:rsidP="0036135C">
            <w:pPr>
              <w:jc w:val="center"/>
              <w:rPr>
                <w:rFonts w:ascii="Calibri" w:eastAsia="Times New Roman" w:hAnsi="Calibri"/>
                <w:color w:val="000000"/>
                <w:sz w:val="22"/>
              </w:rPr>
            </w:pPr>
            <w:r w:rsidRPr="00F73499">
              <w:rPr>
                <w:rFonts w:ascii="Calibri" w:eastAsia="Times New Roman" w:hAnsi="Calibri"/>
                <w:color w:val="000000"/>
                <w:sz w:val="22"/>
              </w:rPr>
              <w:t>3.19%</w:t>
            </w:r>
          </w:p>
        </w:tc>
      </w:tr>
      <w:tr w:rsidR="0036135C" w:rsidRPr="00F73499" w:rsidTr="0036135C">
        <w:trPr>
          <w:trHeight w:val="261"/>
          <w:jc w:val="center"/>
        </w:trPr>
        <w:tc>
          <w:tcPr>
            <w:tcW w:w="2410" w:type="dxa"/>
            <w:tcBorders>
              <w:top w:val="single" w:sz="4" w:space="0" w:color="auto"/>
              <w:left w:val="nil"/>
              <w:bottom w:val="single" w:sz="4" w:space="0" w:color="auto"/>
              <w:right w:val="nil"/>
            </w:tcBorders>
            <w:shd w:val="clear" w:color="auto" w:fill="auto"/>
            <w:vAlign w:val="center"/>
            <w:hideMark/>
          </w:tcPr>
          <w:p w:rsidR="0036135C" w:rsidRPr="00F73499" w:rsidRDefault="0036135C" w:rsidP="0036135C">
            <w:pPr>
              <w:spacing w:after="0"/>
              <w:rPr>
                <w:rFonts w:ascii="Calibri" w:eastAsia="Times New Roman" w:hAnsi="Calibri"/>
                <w:color w:val="000000"/>
                <w:sz w:val="20"/>
                <w:szCs w:val="20"/>
                <w:lang w:val="en-CA" w:eastAsia="fr-CA"/>
              </w:rPr>
            </w:pPr>
            <w:r w:rsidRPr="00F73499">
              <w:rPr>
                <w:rFonts w:ascii="Calibri" w:eastAsia="Times New Roman" w:hAnsi="Calibri"/>
                <w:color w:val="000000"/>
                <w:sz w:val="20"/>
                <w:szCs w:val="20"/>
                <w:lang w:val="en-CA" w:eastAsia="fr-CA"/>
              </w:rPr>
              <w:t>Threshold if discount rate = 3.5 (%)</w:t>
            </w:r>
          </w:p>
        </w:tc>
        <w:tc>
          <w:tcPr>
            <w:tcW w:w="1418" w:type="dxa"/>
            <w:tcBorders>
              <w:top w:val="nil"/>
              <w:left w:val="nil"/>
              <w:bottom w:val="single" w:sz="4" w:space="0" w:color="000000"/>
              <w:right w:val="nil"/>
            </w:tcBorders>
            <w:shd w:val="clear" w:color="auto" w:fill="auto"/>
            <w:vAlign w:val="bottom"/>
            <w:hideMark/>
          </w:tcPr>
          <w:p w:rsidR="0036135C" w:rsidRPr="00F73499" w:rsidRDefault="0036135C" w:rsidP="0036135C">
            <w:pPr>
              <w:jc w:val="center"/>
              <w:rPr>
                <w:rFonts w:ascii="Calibri" w:eastAsia="Times New Roman" w:hAnsi="Calibri"/>
                <w:color w:val="000000"/>
                <w:sz w:val="22"/>
              </w:rPr>
            </w:pPr>
            <w:r w:rsidRPr="00F73499">
              <w:rPr>
                <w:rFonts w:ascii="Calibri" w:eastAsia="Times New Roman" w:hAnsi="Calibri"/>
                <w:color w:val="000000"/>
                <w:sz w:val="22"/>
              </w:rPr>
              <w:t>5.60%</w:t>
            </w:r>
          </w:p>
        </w:tc>
        <w:tc>
          <w:tcPr>
            <w:tcW w:w="1417" w:type="dxa"/>
            <w:tcBorders>
              <w:top w:val="nil"/>
              <w:left w:val="nil"/>
              <w:bottom w:val="single" w:sz="4" w:space="0" w:color="auto"/>
              <w:right w:val="nil"/>
            </w:tcBorders>
            <w:shd w:val="clear" w:color="auto" w:fill="auto"/>
            <w:noWrap/>
            <w:vAlign w:val="bottom"/>
            <w:hideMark/>
          </w:tcPr>
          <w:p w:rsidR="0036135C" w:rsidRPr="00F73499" w:rsidRDefault="0036135C" w:rsidP="0036135C">
            <w:pPr>
              <w:jc w:val="center"/>
              <w:rPr>
                <w:rFonts w:ascii="Calibri" w:eastAsia="Times New Roman" w:hAnsi="Calibri"/>
                <w:color w:val="000000"/>
                <w:sz w:val="22"/>
              </w:rPr>
            </w:pPr>
            <w:r w:rsidRPr="00F73499">
              <w:rPr>
                <w:rFonts w:ascii="Calibri" w:eastAsia="Times New Roman" w:hAnsi="Calibri"/>
                <w:color w:val="000000"/>
                <w:sz w:val="22"/>
              </w:rPr>
              <w:t>5.36%</w:t>
            </w:r>
          </w:p>
        </w:tc>
        <w:tc>
          <w:tcPr>
            <w:tcW w:w="1418" w:type="dxa"/>
            <w:tcBorders>
              <w:top w:val="nil"/>
              <w:left w:val="nil"/>
              <w:bottom w:val="single" w:sz="4" w:space="0" w:color="auto"/>
              <w:right w:val="nil"/>
            </w:tcBorders>
            <w:shd w:val="clear" w:color="auto" w:fill="auto"/>
            <w:noWrap/>
            <w:vAlign w:val="bottom"/>
            <w:hideMark/>
          </w:tcPr>
          <w:p w:rsidR="0036135C" w:rsidRPr="00F73499" w:rsidRDefault="0036135C" w:rsidP="0036135C">
            <w:pPr>
              <w:jc w:val="center"/>
              <w:rPr>
                <w:rFonts w:ascii="Calibri" w:eastAsia="Times New Roman" w:hAnsi="Calibri"/>
                <w:color w:val="000000"/>
                <w:sz w:val="22"/>
              </w:rPr>
            </w:pPr>
            <w:r w:rsidRPr="00F73499">
              <w:rPr>
                <w:rFonts w:ascii="Calibri" w:eastAsia="Times New Roman" w:hAnsi="Calibri"/>
                <w:color w:val="000000"/>
                <w:sz w:val="22"/>
              </w:rPr>
              <w:t>5.13%</w:t>
            </w:r>
          </w:p>
        </w:tc>
        <w:tc>
          <w:tcPr>
            <w:tcW w:w="1417" w:type="dxa"/>
            <w:tcBorders>
              <w:top w:val="nil"/>
              <w:left w:val="nil"/>
              <w:bottom w:val="single" w:sz="4" w:space="0" w:color="auto"/>
              <w:right w:val="nil"/>
            </w:tcBorders>
            <w:shd w:val="clear" w:color="auto" w:fill="auto"/>
            <w:noWrap/>
            <w:vAlign w:val="bottom"/>
            <w:hideMark/>
          </w:tcPr>
          <w:p w:rsidR="0036135C" w:rsidRPr="00F73499" w:rsidRDefault="0036135C" w:rsidP="0036135C">
            <w:pPr>
              <w:jc w:val="center"/>
              <w:rPr>
                <w:rFonts w:ascii="Calibri" w:eastAsia="Times New Roman" w:hAnsi="Calibri"/>
                <w:color w:val="000000"/>
                <w:sz w:val="22"/>
              </w:rPr>
            </w:pPr>
            <w:r w:rsidRPr="00F73499">
              <w:rPr>
                <w:rFonts w:ascii="Calibri" w:eastAsia="Times New Roman" w:hAnsi="Calibri"/>
                <w:color w:val="000000"/>
                <w:sz w:val="22"/>
              </w:rPr>
              <w:t>4.92%</w:t>
            </w:r>
          </w:p>
        </w:tc>
        <w:tc>
          <w:tcPr>
            <w:tcW w:w="1418" w:type="dxa"/>
            <w:tcBorders>
              <w:top w:val="nil"/>
              <w:left w:val="nil"/>
              <w:bottom w:val="single" w:sz="4" w:space="0" w:color="auto"/>
              <w:right w:val="nil"/>
            </w:tcBorders>
            <w:shd w:val="clear" w:color="auto" w:fill="auto"/>
            <w:noWrap/>
            <w:vAlign w:val="bottom"/>
            <w:hideMark/>
          </w:tcPr>
          <w:p w:rsidR="0036135C" w:rsidRPr="00F73499" w:rsidRDefault="0036135C" w:rsidP="0036135C">
            <w:pPr>
              <w:jc w:val="center"/>
              <w:rPr>
                <w:rFonts w:ascii="Calibri" w:eastAsia="Times New Roman" w:hAnsi="Calibri"/>
                <w:color w:val="000000"/>
                <w:sz w:val="22"/>
              </w:rPr>
            </w:pPr>
            <w:r w:rsidRPr="00F73499">
              <w:rPr>
                <w:rFonts w:ascii="Calibri" w:eastAsia="Times New Roman" w:hAnsi="Calibri"/>
                <w:color w:val="000000"/>
                <w:sz w:val="22"/>
              </w:rPr>
              <w:t>4.71%</w:t>
            </w:r>
          </w:p>
        </w:tc>
      </w:tr>
      <w:tr w:rsidR="0036135C" w:rsidRPr="008D7D4A" w:rsidTr="0036135C">
        <w:trPr>
          <w:trHeight w:val="421"/>
          <w:jc w:val="center"/>
        </w:trPr>
        <w:tc>
          <w:tcPr>
            <w:tcW w:w="2410" w:type="dxa"/>
            <w:tcBorders>
              <w:top w:val="single" w:sz="4" w:space="0" w:color="auto"/>
              <w:left w:val="nil"/>
              <w:bottom w:val="single" w:sz="8" w:space="0" w:color="auto"/>
              <w:right w:val="nil"/>
            </w:tcBorders>
            <w:shd w:val="clear" w:color="auto" w:fill="auto"/>
            <w:vAlign w:val="center"/>
            <w:hideMark/>
          </w:tcPr>
          <w:p w:rsidR="0036135C" w:rsidRPr="00F73499" w:rsidRDefault="0036135C" w:rsidP="0036135C">
            <w:pPr>
              <w:spacing w:after="0"/>
              <w:rPr>
                <w:rFonts w:ascii="Calibri" w:eastAsia="Times New Roman" w:hAnsi="Calibri"/>
                <w:color w:val="000000"/>
                <w:sz w:val="20"/>
                <w:szCs w:val="20"/>
                <w:lang w:val="en-CA" w:eastAsia="fr-CA"/>
              </w:rPr>
            </w:pPr>
            <w:r w:rsidRPr="00F73499">
              <w:rPr>
                <w:rFonts w:ascii="Calibri" w:eastAsia="Times New Roman" w:hAnsi="Calibri"/>
                <w:color w:val="000000"/>
                <w:sz w:val="20"/>
                <w:szCs w:val="20"/>
                <w:lang w:val="en-CA" w:eastAsia="fr-CA"/>
              </w:rPr>
              <w:t>Threshold if discount rate = 5 (%)</w:t>
            </w:r>
          </w:p>
        </w:tc>
        <w:tc>
          <w:tcPr>
            <w:tcW w:w="1418" w:type="dxa"/>
            <w:tcBorders>
              <w:top w:val="nil"/>
              <w:left w:val="nil"/>
              <w:bottom w:val="single" w:sz="8" w:space="0" w:color="auto"/>
              <w:right w:val="nil"/>
            </w:tcBorders>
            <w:shd w:val="clear" w:color="auto" w:fill="auto"/>
            <w:noWrap/>
            <w:vAlign w:val="bottom"/>
            <w:hideMark/>
          </w:tcPr>
          <w:p w:rsidR="0036135C" w:rsidRPr="00F73499" w:rsidRDefault="0036135C" w:rsidP="0036135C">
            <w:pPr>
              <w:jc w:val="center"/>
              <w:rPr>
                <w:rFonts w:ascii="Calibri" w:eastAsia="Times New Roman" w:hAnsi="Calibri"/>
                <w:color w:val="000000"/>
                <w:sz w:val="22"/>
              </w:rPr>
            </w:pPr>
            <w:r w:rsidRPr="00F73499">
              <w:rPr>
                <w:rFonts w:ascii="Calibri" w:eastAsia="Times New Roman" w:hAnsi="Calibri"/>
                <w:color w:val="000000"/>
                <w:sz w:val="22"/>
              </w:rPr>
              <w:t>5.60%</w:t>
            </w:r>
          </w:p>
        </w:tc>
        <w:tc>
          <w:tcPr>
            <w:tcW w:w="1417" w:type="dxa"/>
            <w:tcBorders>
              <w:top w:val="nil"/>
              <w:left w:val="nil"/>
              <w:bottom w:val="single" w:sz="8" w:space="0" w:color="auto"/>
              <w:right w:val="nil"/>
            </w:tcBorders>
            <w:shd w:val="clear" w:color="auto" w:fill="auto"/>
            <w:noWrap/>
            <w:vAlign w:val="bottom"/>
            <w:hideMark/>
          </w:tcPr>
          <w:p w:rsidR="0036135C" w:rsidRPr="00F73499" w:rsidRDefault="0036135C" w:rsidP="0036135C">
            <w:pPr>
              <w:jc w:val="center"/>
              <w:rPr>
                <w:rFonts w:ascii="Calibri" w:eastAsia="Times New Roman" w:hAnsi="Calibri"/>
                <w:color w:val="000000"/>
                <w:sz w:val="22"/>
              </w:rPr>
            </w:pPr>
            <w:r w:rsidRPr="00F73499">
              <w:rPr>
                <w:rFonts w:ascii="Calibri" w:eastAsia="Times New Roman" w:hAnsi="Calibri"/>
                <w:color w:val="000000"/>
                <w:sz w:val="22"/>
              </w:rPr>
              <w:t>5.76%</w:t>
            </w:r>
          </w:p>
        </w:tc>
        <w:tc>
          <w:tcPr>
            <w:tcW w:w="1418" w:type="dxa"/>
            <w:tcBorders>
              <w:top w:val="nil"/>
              <w:left w:val="nil"/>
              <w:bottom w:val="single" w:sz="8" w:space="0" w:color="auto"/>
              <w:right w:val="nil"/>
            </w:tcBorders>
            <w:shd w:val="clear" w:color="auto" w:fill="auto"/>
            <w:noWrap/>
            <w:vAlign w:val="bottom"/>
            <w:hideMark/>
          </w:tcPr>
          <w:p w:rsidR="0036135C" w:rsidRPr="00F73499" w:rsidRDefault="0036135C" w:rsidP="0036135C">
            <w:pPr>
              <w:jc w:val="center"/>
              <w:rPr>
                <w:rFonts w:ascii="Calibri" w:eastAsia="Times New Roman" w:hAnsi="Calibri"/>
                <w:color w:val="000000"/>
                <w:sz w:val="22"/>
              </w:rPr>
            </w:pPr>
            <w:r w:rsidRPr="00F73499">
              <w:rPr>
                <w:rFonts w:ascii="Calibri" w:eastAsia="Times New Roman" w:hAnsi="Calibri"/>
                <w:color w:val="000000"/>
                <w:sz w:val="22"/>
              </w:rPr>
              <w:t>5.93%</w:t>
            </w:r>
          </w:p>
        </w:tc>
        <w:tc>
          <w:tcPr>
            <w:tcW w:w="1417" w:type="dxa"/>
            <w:tcBorders>
              <w:top w:val="nil"/>
              <w:left w:val="nil"/>
              <w:bottom w:val="single" w:sz="8" w:space="0" w:color="auto"/>
              <w:right w:val="nil"/>
            </w:tcBorders>
            <w:shd w:val="clear" w:color="auto" w:fill="auto"/>
            <w:noWrap/>
            <w:vAlign w:val="bottom"/>
            <w:hideMark/>
          </w:tcPr>
          <w:p w:rsidR="0036135C" w:rsidRPr="00F73499" w:rsidRDefault="0036135C" w:rsidP="0036135C">
            <w:pPr>
              <w:jc w:val="center"/>
              <w:rPr>
                <w:rFonts w:ascii="Calibri" w:eastAsia="Times New Roman" w:hAnsi="Calibri"/>
                <w:color w:val="000000"/>
                <w:sz w:val="22"/>
              </w:rPr>
            </w:pPr>
            <w:r w:rsidRPr="00F73499">
              <w:rPr>
                <w:rFonts w:ascii="Calibri" w:eastAsia="Times New Roman" w:hAnsi="Calibri"/>
                <w:color w:val="000000"/>
                <w:sz w:val="22"/>
              </w:rPr>
              <w:t>6.10%</w:t>
            </w:r>
          </w:p>
        </w:tc>
        <w:tc>
          <w:tcPr>
            <w:tcW w:w="1418" w:type="dxa"/>
            <w:tcBorders>
              <w:top w:val="nil"/>
              <w:left w:val="nil"/>
              <w:bottom w:val="single" w:sz="8" w:space="0" w:color="auto"/>
              <w:right w:val="nil"/>
            </w:tcBorders>
            <w:shd w:val="clear" w:color="auto" w:fill="auto"/>
            <w:noWrap/>
            <w:vAlign w:val="bottom"/>
            <w:hideMark/>
          </w:tcPr>
          <w:p w:rsidR="0036135C" w:rsidRPr="00E02943" w:rsidRDefault="0036135C" w:rsidP="0036135C">
            <w:pPr>
              <w:jc w:val="center"/>
              <w:rPr>
                <w:rFonts w:ascii="Calibri" w:eastAsia="Times New Roman" w:hAnsi="Calibri"/>
                <w:color w:val="000000"/>
                <w:sz w:val="22"/>
              </w:rPr>
            </w:pPr>
            <w:r w:rsidRPr="00F73499">
              <w:rPr>
                <w:rFonts w:ascii="Calibri" w:eastAsia="Times New Roman" w:hAnsi="Calibri"/>
                <w:color w:val="000000"/>
                <w:sz w:val="22"/>
              </w:rPr>
              <w:t>6.28%</w:t>
            </w:r>
          </w:p>
        </w:tc>
      </w:tr>
    </w:tbl>
    <w:p w:rsidR="0036135C" w:rsidRDefault="0036135C" w:rsidP="0036135C">
      <w:pPr>
        <w:rPr>
          <w:b/>
          <w:u w:val="single"/>
          <w:lang w:val="en-CA" w:eastAsia="fr-FR"/>
        </w:rPr>
      </w:pPr>
    </w:p>
    <w:p w:rsidR="0036135C" w:rsidRPr="008A7C9B" w:rsidRDefault="0036135C" w:rsidP="0036135C">
      <w:pPr>
        <w:rPr>
          <w:lang w:val="en-CA"/>
        </w:rPr>
      </w:pPr>
    </w:p>
    <w:p w:rsidR="00F518CC" w:rsidRPr="008D7D4A" w:rsidRDefault="00F518CC" w:rsidP="00F518CC">
      <w:pPr>
        <w:rPr>
          <w:b/>
          <w:u w:val="single"/>
          <w:lang w:val="en-CA" w:eastAsia="fr-FR"/>
        </w:rPr>
      </w:pPr>
    </w:p>
    <w:p w:rsidR="00B4761B" w:rsidRPr="008A453E" w:rsidRDefault="00B4761B" w:rsidP="00B2714A">
      <w:pPr>
        <w:spacing w:line="480" w:lineRule="auto"/>
        <w:rPr>
          <w:b/>
          <w:bCs/>
          <w:lang w:eastAsia="fr-CA"/>
        </w:rPr>
      </w:pPr>
      <w:r w:rsidRPr="008A453E">
        <w:rPr>
          <w:bCs/>
          <w:lang w:eastAsia="fr-CA"/>
        </w:rPr>
        <w:br w:type="page"/>
      </w:r>
    </w:p>
    <w:p w:rsidR="00F67A99" w:rsidRPr="00F67A99" w:rsidRDefault="00F67A99" w:rsidP="00F67A99">
      <w:pPr>
        <w:spacing w:after="0"/>
        <w:rPr>
          <w:b/>
          <w:bCs/>
          <w:lang w:val="fr-CA" w:eastAsia="fr-CA"/>
        </w:rPr>
      </w:pPr>
      <w:r w:rsidRPr="00F67A99">
        <w:rPr>
          <w:b/>
          <w:bCs/>
          <w:lang w:val="fr-CA" w:eastAsia="fr-CA"/>
        </w:rPr>
        <w:lastRenderedPageBreak/>
        <w:t xml:space="preserve">References : </w:t>
      </w:r>
    </w:p>
    <w:p w:rsidR="00F67A99" w:rsidRDefault="00F67A99" w:rsidP="00F67A99">
      <w:pPr>
        <w:spacing w:after="0"/>
        <w:rPr>
          <w:b/>
          <w:bCs/>
          <w:lang w:val="fr-CA" w:eastAsia="fr-CA"/>
        </w:rPr>
      </w:pPr>
    </w:p>
    <w:p w:rsidR="00F67A99" w:rsidRPr="00F67A99" w:rsidRDefault="00F67A99" w:rsidP="00F67A99">
      <w:pPr>
        <w:pStyle w:val="ListParagraph"/>
        <w:numPr>
          <w:ilvl w:val="0"/>
          <w:numId w:val="7"/>
        </w:numPr>
        <w:ind w:left="360"/>
        <w:rPr>
          <w:rStyle w:val="st1"/>
          <w:lang w:val="fr-CA"/>
        </w:rPr>
      </w:pPr>
      <w:r w:rsidRPr="00F67A99">
        <w:rPr>
          <w:rStyle w:val="st1"/>
          <w:lang w:val="fr-CA"/>
        </w:rPr>
        <w:t xml:space="preserve">Direction générale de la santé publique (DGSP). (2010). Coûts normés du Programme national de santé publique 2003-2012 – Mise à jour 2008. </w:t>
      </w:r>
      <w:r w:rsidRPr="00B4761B">
        <w:rPr>
          <w:rStyle w:val="st1"/>
          <w:lang w:val="fr-FR"/>
        </w:rPr>
        <w:t xml:space="preserve">Version finale pour l’allocation des ressources 2010-2011 [Stardard costs for the National Public Health Program 2003-2012, updated 2008. </w:t>
      </w:r>
      <w:r w:rsidRPr="00F67A99">
        <w:rPr>
          <w:rStyle w:val="st1"/>
          <w:lang w:val="fr-CA"/>
        </w:rPr>
        <w:t>2010-2011 ressource allocation final version]. Québec: Ministère de la Santé et des Services.</w:t>
      </w:r>
    </w:p>
    <w:p w:rsidR="00F67A99" w:rsidRDefault="00F67A99" w:rsidP="00F67A99">
      <w:pPr>
        <w:pStyle w:val="ListParagraph"/>
        <w:numPr>
          <w:ilvl w:val="0"/>
          <w:numId w:val="7"/>
        </w:numPr>
        <w:ind w:left="360"/>
        <w:jc w:val="left"/>
        <w:rPr>
          <w:rStyle w:val="st1"/>
        </w:rPr>
      </w:pPr>
      <w:r w:rsidRPr="00A90460">
        <w:rPr>
          <w:rStyle w:val="st1"/>
          <w:lang w:val="fr-CA"/>
        </w:rPr>
        <w:t>Québec en forme (Q</w:t>
      </w:r>
      <w:r>
        <w:rPr>
          <w:rStyle w:val="st1"/>
          <w:lang w:val="fr-CA"/>
        </w:rPr>
        <w:t>e</w:t>
      </w:r>
      <w:r w:rsidRPr="00A90460">
        <w:rPr>
          <w:rStyle w:val="st1"/>
          <w:lang w:val="fr-CA"/>
        </w:rPr>
        <w:t xml:space="preserve">F). (2011). États financiers de Fonds Québec en Forme [Financial statements of the Québec en forme Foundation]. </w:t>
      </w:r>
      <w:r w:rsidRPr="00A90460">
        <w:rPr>
          <w:rStyle w:val="st1"/>
        </w:rPr>
        <w:t xml:space="preserve">Sainte-Foy-Silleray-Cap-Rouge, QC: QEF. Available at:  </w:t>
      </w:r>
      <w:hyperlink r:id="rId16" w:history="1">
        <w:r w:rsidRPr="00752E1E">
          <w:rPr>
            <w:rStyle w:val="Hyperlink"/>
          </w:rPr>
          <w:t>http://www.quebecenforme.org/media/72075/etats_financiers_31032011.pdf</w:t>
        </w:r>
      </w:hyperlink>
      <w:r>
        <w:rPr>
          <w:rStyle w:val="st1"/>
        </w:rPr>
        <w:t xml:space="preserve"> </w:t>
      </w:r>
    </w:p>
    <w:p w:rsidR="00F67A99" w:rsidRPr="00D427E2" w:rsidRDefault="00F67A99" w:rsidP="00F67A99">
      <w:pPr>
        <w:pStyle w:val="ListParagraph"/>
        <w:numPr>
          <w:ilvl w:val="0"/>
          <w:numId w:val="7"/>
        </w:numPr>
        <w:tabs>
          <w:tab w:val="left" w:pos="142"/>
        </w:tabs>
        <w:spacing w:before="0"/>
        <w:ind w:left="360"/>
        <w:jc w:val="left"/>
        <w:rPr>
          <w:lang w:val="fr-FR"/>
        </w:rPr>
      </w:pPr>
      <w:r w:rsidRPr="00D427E2">
        <w:rPr>
          <w:lang w:val="fr-FR"/>
        </w:rPr>
        <w:t>Ministère de la santé du Québec, 2012. Data  not published.</w:t>
      </w:r>
    </w:p>
    <w:p w:rsidR="00F67A99" w:rsidRDefault="00F67A99" w:rsidP="00F67A99">
      <w:pPr>
        <w:pStyle w:val="ListParagraph"/>
        <w:numPr>
          <w:ilvl w:val="0"/>
          <w:numId w:val="7"/>
        </w:numPr>
        <w:ind w:left="360"/>
        <w:jc w:val="left"/>
        <w:rPr>
          <w:rStyle w:val="st1"/>
        </w:rPr>
      </w:pPr>
      <w:r w:rsidRPr="00D427E2">
        <w:rPr>
          <w:rStyle w:val="st1"/>
          <w:lang w:val="fr-CA"/>
        </w:rPr>
        <w:t>Direction générale de la santé publique (DGSP), 2011. Attribution budgétaire pour le programme Kino-Québec</w:t>
      </w:r>
      <w:r>
        <w:rPr>
          <w:rStyle w:val="st1"/>
          <w:lang w:val="fr-CA"/>
        </w:rPr>
        <w:t xml:space="preserve"> [Budgetary attribution for Kino-Quebec Program]</w:t>
      </w:r>
      <w:r w:rsidRPr="00D427E2">
        <w:rPr>
          <w:rStyle w:val="st1"/>
          <w:lang w:val="fr-CA"/>
        </w:rPr>
        <w:t xml:space="preserve">. </w:t>
      </w:r>
      <w:r w:rsidRPr="00D427E2">
        <w:rPr>
          <w:rStyle w:val="st1"/>
        </w:rPr>
        <w:t>Not published.</w:t>
      </w:r>
    </w:p>
    <w:p w:rsidR="00F67A99" w:rsidRPr="00632D6B" w:rsidRDefault="00F67A99" w:rsidP="00F67A99">
      <w:pPr>
        <w:pStyle w:val="ListParagraph"/>
        <w:numPr>
          <w:ilvl w:val="0"/>
          <w:numId w:val="7"/>
        </w:numPr>
        <w:ind w:left="360"/>
        <w:jc w:val="left"/>
        <w:rPr>
          <w:rStyle w:val="st1"/>
          <w:lang w:val="fr-CA"/>
        </w:rPr>
      </w:pPr>
      <w:r w:rsidRPr="00D427E2">
        <w:rPr>
          <w:rStyle w:val="st1"/>
          <w:lang w:val="fr-CA"/>
        </w:rPr>
        <w:t>Ministère des Transports du Québec (MTQ). (2008). Programmes d’aide au transport collectif :</w:t>
      </w:r>
      <w:r>
        <w:rPr>
          <w:rStyle w:val="st1"/>
          <w:lang w:val="fr-CA"/>
        </w:rPr>
        <w:t xml:space="preserve"> </w:t>
      </w:r>
      <w:r w:rsidRPr="00D427E2">
        <w:rPr>
          <w:rStyle w:val="st1"/>
          <w:lang w:val="fr-CA"/>
        </w:rPr>
        <w:t xml:space="preserve">Politique québécoise du transport collectif [Public transit assistance program: Quebec public transit policy]. Québec: MTQ. </w:t>
      </w:r>
      <w:r w:rsidRPr="00632D6B">
        <w:rPr>
          <w:rStyle w:val="st1"/>
          <w:lang w:val="fr-CA"/>
        </w:rPr>
        <w:t xml:space="preserve">Available at: </w:t>
      </w:r>
      <w:hyperlink r:id="rId17" w:history="1">
        <w:r w:rsidRPr="00632D6B">
          <w:rPr>
            <w:rStyle w:val="Hyperlink"/>
            <w:lang w:val="fr-CA"/>
          </w:rPr>
          <w:t>http://www.mtq.gouv.qc.ca/portal/page/portal/Librairie/Publications/fr/ministere/programmes_aide/prog_aide_tc_pol_queb_transp_coll.pdf</w:t>
        </w:r>
      </w:hyperlink>
      <w:r w:rsidRPr="00632D6B">
        <w:rPr>
          <w:rStyle w:val="st1"/>
          <w:lang w:val="fr-CA"/>
        </w:rPr>
        <w:t xml:space="preserve"> </w:t>
      </w:r>
    </w:p>
    <w:p w:rsidR="00F67A99" w:rsidRPr="00D427E2" w:rsidRDefault="00F67A99" w:rsidP="00F67A99">
      <w:pPr>
        <w:pStyle w:val="ListParagraph"/>
        <w:numPr>
          <w:ilvl w:val="0"/>
          <w:numId w:val="7"/>
        </w:numPr>
        <w:ind w:left="360"/>
        <w:jc w:val="left"/>
        <w:rPr>
          <w:rStyle w:val="st1"/>
        </w:rPr>
      </w:pPr>
      <w:r w:rsidRPr="00D427E2">
        <w:rPr>
          <w:rStyle w:val="st1"/>
        </w:rPr>
        <w:t xml:space="preserve">Public Health Agency of Canada (PHAC). (2011). Diabetes community-based projects in Quebec. Ottawa: PHAC. Available at: </w:t>
      </w:r>
      <w:hyperlink r:id="rId18" w:history="1">
        <w:r w:rsidRPr="00752E1E">
          <w:rPr>
            <w:rStyle w:val="Hyperlink"/>
          </w:rPr>
          <w:t>http://www.phac-aspc.gc.ca/media/nr-rp/2011/2011_1110-qc-fs-fi-eng.php</w:t>
        </w:r>
      </w:hyperlink>
      <w:r>
        <w:rPr>
          <w:rStyle w:val="st1"/>
        </w:rPr>
        <w:t xml:space="preserve"> </w:t>
      </w:r>
      <w:r w:rsidRPr="00D427E2">
        <w:rPr>
          <w:rStyle w:val="st1"/>
        </w:rPr>
        <w:t xml:space="preserve"> </w:t>
      </w:r>
    </w:p>
    <w:p w:rsidR="00F67A99" w:rsidRPr="00F6504F" w:rsidRDefault="00F67A99" w:rsidP="00F24C71">
      <w:pPr>
        <w:pStyle w:val="ListParagraph"/>
        <w:numPr>
          <w:ilvl w:val="0"/>
          <w:numId w:val="7"/>
        </w:numPr>
        <w:spacing w:after="0"/>
        <w:ind w:left="360"/>
        <w:jc w:val="left"/>
        <w:rPr>
          <w:b/>
        </w:rPr>
      </w:pPr>
      <w:r w:rsidRPr="00F67A99">
        <w:rPr>
          <w:rStyle w:val="st1"/>
          <w:lang w:val="fr-CA"/>
        </w:rPr>
        <w:t xml:space="preserve">Réseau du sport étudiant du Québec (RSEQ). </w:t>
      </w:r>
      <w:r w:rsidRPr="00D427E2">
        <w:rPr>
          <w:rStyle w:val="st1"/>
        </w:rPr>
        <w:t>2011. Rapport annuel 2010-2011</w:t>
      </w:r>
      <w:r>
        <w:rPr>
          <w:rStyle w:val="st1"/>
        </w:rPr>
        <w:t xml:space="preserve"> [2010-2011 Annual Report]</w:t>
      </w:r>
      <w:r w:rsidRPr="00D427E2">
        <w:rPr>
          <w:rStyle w:val="st1"/>
        </w:rPr>
        <w:t xml:space="preserve">. Montreal: RSEQ. Available at: </w:t>
      </w:r>
      <w:hyperlink r:id="rId19" w:history="1">
        <w:r w:rsidRPr="00752E1E">
          <w:rPr>
            <w:rStyle w:val="Hyperlink"/>
          </w:rPr>
          <w:t>http://www.rseq.ca/media/350825/rapport_annuel_2010-2011.pdf</w:t>
        </w:r>
      </w:hyperlink>
      <w:r>
        <w:rPr>
          <w:rStyle w:val="st1"/>
        </w:rPr>
        <w:t xml:space="preserve"> </w:t>
      </w:r>
    </w:p>
    <w:p w:rsidR="00F67A99" w:rsidRPr="00F6504F" w:rsidRDefault="00F67A99" w:rsidP="00F24C71">
      <w:pPr>
        <w:rPr>
          <w:b/>
        </w:rPr>
      </w:pPr>
    </w:p>
    <w:sectPr w:rsidR="00F67A99" w:rsidRPr="00F6504F" w:rsidSect="00737E9B">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ACAA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F49D9"/>
    <w:multiLevelType w:val="hybridMultilevel"/>
    <w:tmpl w:val="22CA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443F5"/>
    <w:multiLevelType w:val="hybridMultilevel"/>
    <w:tmpl w:val="8DE87F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E0D5E4B"/>
    <w:multiLevelType w:val="hybridMultilevel"/>
    <w:tmpl w:val="52EA6B36"/>
    <w:lvl w:ilvl="0" w:tplc="1009000F">
      <w:start w:val="1"/>
      <w:numFmt w:val="decimal"/>
      <w:lvlText w:val="%1."/>
      <w:lvlJc w:val="left"/>
      <w:pPr>
        <w:ind w:left="720" w:hanging="360"/>
      </w:pPr>
    </w:lvl>
    <w:lvl w:ilvl="1" w:tplc="576C2922">
      <w:start w:val="2"/>
      <w:numFmt w:val="bullet"/>
      <w:lvlText w:val="-"/>
      <w:lvlJc w:val="left"/>
      <w:pPr>
        <w:ind w:left="1440" w:hanging="360"/>
      </w:pPr>
      <w:rPr>
        <w:rFonts w:ascii="Times New Roman" w:eastAsia="MS Mincho"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621849"/>
    <w:multiLevelType w:val="hybridMultilevel"/>
    <w:tmpl w:val="3FA88AF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ABF686E"/>
    <w:multiLevelType w:val="hybridMultilevel"/>
    <w:tmpl w:val="15303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A00B2D"/>
    <w:multiLevelType w:val="hybridMultilevel"/>
    <w:tmpl w:val="D20A3ECA"/>
    <w:lvl w:ilvl="0" w:tplc="B4082B46">
      <w:start w:val="2"/>
      <w:numFmt w:val="bullet"/>
      <w:lvlText w:val="-"/>
      <w:lvlJc w:val="left"/>
      <w:pPr>
        <w:ind w:left="720" w:hanging="360"/>
      </w:pPr>
      <w:rPr>
        <w:rFonts w:ascii="Times New Roman" w:eastAsia="Times New Roman" w:hAnsi="Times New Roman"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7" w15:restartNumberingAfterBreak="0">
    <w:nsid w:val="70BF1EA4"/>
    <w:multiLevelType w:val="hybridMultilevel"/>
    <w:tmpl w:val="5058954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D295662"/>
    <w:multiLevelType w:val="hybridMultilevel"/>
    <w:tmpl w:val="4C4EA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9B"/>
    <w:rsid w:val="00046457"/>
    <w:rsid w:val="00065EEC"/>
    <w:rsid w:val="00067548"/>
    <w:rsid w:val="000B3284"/>
    <w:rsid w:val="000F719E"/>
    <w:rsid w:val="00136DA6"/>
    <w:rsid w:val="001877B6"/>
    <w:rsid w:val="002005EE"/>
    <w:rsid w:val="002036F2"/>
    <w:rsid w:val="00203825"/>
    <w:rsid w:val="0023498B"/>
    <w:rsid w:val="00255ECF"/>
    <w:rsid w:val="002C2D81"/>
    <w:rsid w:val="003012C7"/>
    <w:rsid w:val="00307A7B"/>
    <w:rsid w:val="0033388A"/>
    <w:rsid w:val="0036135C"/>
    <w:rsid w:val="003D2654"/>
    <w:rsid w:val="004A1085"/>
    <w:rsid w:val="004A6264"/>
    <w:rsid w:val="00555436"/>
    <w:rsid w:val="005F1AB2"/>
    <w:rsid w:val="00632D6B"/>
    <w:rsid w:val="00637CEB"/>
    <w:rsid w:val="00652919"/>
    <w:rsid w:val="006B6DFE"/>
    <w:rsid w:val="006C32E3"/>
    <w:rsid w:val="00737E9B"/>
    <w:rsid w:val="00764A48"/>
    <w:rsid w:val="0078341F"/>
    <w:rsid w:val="00783904"/>
    <w:rsid w:val="00790ED9"/>
    <w:rsid w:val="00794D17"/>
    <w:rsid w:val="007C0F4F"/>
    <w:rsid w:val="007E5089"/>
    <w:rsid w:val="008A453E"/>
    <w:rsid w:val="008A7C9B"/>
    <w:rsid w:val="008C1E2A"/>
    <w:rsid w:val="008C7F7D"/>
    <w:rsid w:val="00934381"/>
    <w:rsid w:val="009909E0"/>
    <w:rsid w:val="009A3C6C"/>
    <w:rsid w:val="00AA468F"/>
    <w:rsid w:val="00B176D7"/>
    <w:rsid w:val="00B2714A"/>
    <w:rsid w:val="00B4761B"/>
    <w:rsid w:val="00BC2224"/>
    <w:rsid w:val="00BD2347"/>
    <w:rsid w:val="00BD336A"/>
    <w:rsid w:val="00BD3D52"/>
    <w:rsid w:val="00C010CF"/>
    <w:rsid w:val="00C132DE"/>
    <w:rsid w:val="00C27771"/>
    <w:rsid w:val="00C41493"/>
    <w:rsid w:val="00C6180A"/>
    <w:rsid w:val="00CB0040"/>
    <w:rsid w:val="00CD7AED"/>
    <w:rsid w:val="00DB5100"/>
    <w:rsid w:val="00DE5124"/>
    <w:rsid w:val="00DF2F46"/>
    <w:rsid w:val="00E90977"/>
    <w:rsid w:val="00E95DF0"/>
    <w:rsid w:val="00EA7D9C"/>
    <w:rsid w:val="00ED7FC2"/>
    <w:rsid w:val="00EF3B42"/>
    <w:rsid w:val="00F062B3"/>
    <w:rsid w:val="00F10509"/>
    <w:rsid w:val="00F21706"/>
    <w:rsid w:val="00F24C71"/>
    <w:rsid w:val="00F46278"/>
    <w:rsid w:val="00F518CC"/>
    <w:rsid w:val="00F6504F"/>
    <w:rsid w:val="00F67A99"/>
    <w:rsid w:val="00FB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9F009-D5A8-4185-AC28-5E7D5B32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9B"/>
    <w:pPr>
      <w:spacing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A7C9B"/>
    <w:pPr>
      <w:spacing w:before="120" w:line="360" w:lineRule="auto"/>
      <w:ind w:left="720"/>
      <w:contextualSpacing/>
      <w:jc w:val="both"/>
    </w:pPr>
  </w:style>
  <w:style w:type="character" w:styleId="CommentReference">
    <w:name w:val="annotation reference"/>
    <w:uiPriority w:val="99"/>
    <w:semiHidden/>
    <w:unhideWhenUsed/>
    <w:rsid w:val="008A7C9B"/>
    <w:rPr>
      <w:sz w:val="18"/>
      <w:szCs w:val="18"/>
    </w:rPr>
  </w:style>
  <w:style w:type="paragraph" w:styleId="CommentText">
    <w:name w:val="annotation text"/>
    <w:basedOn w:val="Normal"/>
    <w:link w:val="CommentTextChar"/>
    <w:uiPriority w:val="99"/>
    <w:semiHidden/>
    <w:unhideWhenUsed/>
    <w:rsid w:val="008A7C9B"/>
    <w:pPr>
      <w:spacing w:before="120" w:line="360" w:lineRule="auto"/>
      <w:jc w:val="both"/>
    </w:pPr>
    <w:rPr>
      <w:sz w:val="20"/>
      <w:szCs w:val="20"/>
      <w:lang w:val="x-none" w:eastAsia="x-none"/>
    </w:rPr>
  </w:style>
  <w:style w:type="character" w:customStyle="1" w:styleId="CommentTextChar">
    <w:name w:val="Comment Text Char"/>
    <w:basedOn w:val="DefaultParagraphFont"/>
    <w:link w:val="CommentText"/>
    <w:uiPriority w:val="99"/>
    <w:semiHidden/>
    <w:rsid w:val="008A7C9B"/>
    <w:rPr>
      <w:rFonts w:ascii="Times New Roman" w:eastAsia="MS Mincho" w:hAnsi="Times New Roman" w:cs="Times New Roman"/>
      <w:sz w:val="20"/>
      <w:szCs w:val="20"/>
      <w:lang w:val="x-none" w:eastAsia="x-none"/>
    </w:rPr>
  </w:style>
  <w:style w:type="paragraph" w:styleId="BalloonText">
    <w:name w:val="Balloon Text"/>
    <w:basedOn w:val="Normal"/>
    <w:link w:val="BalloonTextChar"/>
    <w:uiPriority w:val="99"/>
    <w:semiHidden/>
    <w:unhideWhenUsed/>
    <w:rsid w:val="008A7C9B"/>
    <w:pPr>
      <w:spacing w:after="0"/>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8A7C9B"/>
    <w:rPr>
      <w:rFonts w:ascii="Lucida Grande" w:eastAsia="MS Mincho" w:hAnsi="Lucida Grande" w:cs="Times New Roman"/>
      <w:sz w:val="18"/>
      <w:szCs w:val="18"/>
      <w:lang w:val="x-none" w:eastAsia="x-none"/>
    </w:rPr>
  </w:style>
  <w:style w:type="paragraph" w:styleId="Header">
    <w:name w:val="header"/>
    <w:basedOn w:val="Normal"/>
    <w:link w:val="HeaderChar"/>
    <w:uiPriority w:val="99"/>
    <w:unhideWhenUsed/>
    <w:rsid w:val="008A7C9B"/>
    <w:pPr>
      <w:tabs>
        <w:tab w:val="center" w:pos="4703"/>
        <w:tab w:val="right" w:pos="9406"/>
      </w:tabs>
      <w:spacing w:after="0"/>
    </w:pPr>
    <w:rPr>
      <w:sz w:val="20"/>
      <w:szCs w:val="20"/>
      <w:lang w:val="x-none" w:eastAsia="x-none"/>
    </w:rPr>
  </w:style>
  <w:style w:type="character" w:customStyle="1" w:styleId="HeaderChar">
    <w:name w:val="Header Char"/>
    <w:basedOn w:val="DefaultParagraphFont"/>
    <w:link w:val="Header"/>
    <w:uiPriority w:val="99"/>
    <w:rsid w:val="008A7C9B"/>
    <w:rPr>
      <w:rFonts w:ascii="Times New Roman" w:eastAsia="MS Mincho" w:hAnsi="Times New Roman" w:cs="Times New Roman"/>
      <w:sz w:val="20"/>
      <w:szCs w:val="20"/>
      <w:lang w:val="x-none" w:eastAsia="x-none"/>
    </w:rPr>
  </w:style>
  <w:style w:type="paragraph" w:styleId="Footer">
    <w:name w:val="footer"/>
    <w:basedOn w:val="Normal"/>
    <w:link w:val="FooterChar"/>
    <w:uiPriority w:val="99"/>
    <w:unhideWhenUsed/>
    <w:rsid w:val="008A7C9B"/>
    <w:pPr>
      <w:tabs>
        <w:tab w:val="center" w:pos="4703"/>
        <w:tab w:val="right" w:pos="9406"/>
      </w:tabs>
      <w:spacing w:after="0"/>
    </w:pPr>
    <w:rPr>
      <w:sz w:val="20"/>
      <w:szCs w:val="20"/>
      <w:lang w:val="x-none" w:eastAsia="x-none"/>
    </w:rPr>
  </w:style>
  <w:style w:type="character" w:customStyle="1" w:styleId="FooterChar">
    <w:name w:val="Footer Char"/>
    <w:basedOn w:val="DefaultParagraphFont"/>
    <w:link w:val="Footer"/>
    <w:uiPriority w:val="99"/>
    <w:rsid w:val="008A7C9B"/>
    <w:rPr>
      <w:rFonts w:ascii="Times New Roman" w:eastAsia="MS Mincho" w:hAnsi="Times New Roman" w:cs="Times New Roman"/>
      <w:sz w:val="20"/>
      <w:szCs w:val="20"/>
      <w:lang w:val="x-none" w:eastAsia="x-none"/>
    </w:rPr>
  </w:style>
  <w:style w:type="character" w:styleId="PageNumber">
    <w:name w:val="page number"/>
    <w:basedOn w:val="DefaultParagraphFont"/>
    <w:uiPriority w:val="99"/>
    <w:semiHidden/>
    <w:unhideWhenUsed/>
    <w:rsid w:val="008A7C9B"/>
  </w:style>
  <w:style w:type="character" w:styleId="Hyperlink">
    <w:name w:val="Hyperlink"/>
    <w:uiPriority w:val="99"/>
    <w:unhideWhenUsed/>
    <w:rsid w:val="008A7C9B"/>
    <w:rPr>
      <w:color w:val="0000FF"/>
      <w:u w:val="single"/>
    </w:rPr>
  </w:style>
  <w:style w:type="paragraph" w:styleId="CommentSubject">
    <w:name w:val="annotation subject"/>
    <w:basedOn w:val="CommentText"/>
    <w:next w:val="CommentText"/>
    <w:link w:val="CommentSubjectChar"/>
    <w:uiPriority w:val="99"/>
    <w:semiHidden/>
    <w:unhideWhenUsed/>
    <w:rsid w:val="008A7C9B"/>
    <w:pPr>
      <w:spacing w:before="0" w:line="240" w:lineRule="auto"/>
      <w:jc w:val="left"/>
    </w:pPr>
    <w:rPr>
      <w:b/>
      <w:bCs/>
    </w:rPr>
  </w:style>
  <w:style w:type="character" w:customStyle="1" w:styleId="CommentSubjectChar">
    <w:name w:val="Comment Subject Char"/>
    <w:basedOn w:val="CommentTextChar"/>
    <w:link w:val="CommentSubject"/>
    <w:uiPriority w:val="99"/>
    <w:semiHidden/>
    <w:rsid w:val="008A7C9B"/>
    <w:rPr>
      <w:rFonts w:ascii="Times New Roman" w:eastAsia="MS Mincho" w:hAnsi="Times New Roman" w:cs="Times New Roman"/>
      <w:b/>
      <w:bCs/>
      <w:sz w:val="20"/>
      <w:szCs w:val="20"/>
      <w:lang w:val="x-none" w:eastAsia="x-none"/>
    </w:rPr>
  </w:style>
  <w:style w:type="paragraph" w:customStyle="1" w:styleId="MediumGrid1-Accent21">
    <w:name w:val="Medium Grid 1 - Accent 21"/>
    <w:basedOn w:val="Normal"/>
    <w:uiPriority w:val="99"/>
    <w:qFormat/>
    <w:rsid w:val="00065EEC"/>
    <w:pPr>
      <w:spacing w:before="240" w:after="120" w:line="480" w:lineRule="auto"/>
      <w:ind w:left="720"/>
      <w:contextualSpacing/>
      <w:jc w:val="both"/>
    </w:pPr>
  </w:style>
  <w:style w:type="character" w:customStyle="1" w:styleId="st1">
    <w:name w:val="st1"/>
    <w:basedOn w:val="DefaultParagraphFont"/>
    <w:rsid w:val="00F67A99"/>
  </w:style>
  <w:style w:type="paragraph" w:styleId="ListParagraph">
    <w:name w:val="List Paragraph"/>
    <w:basedOn w:val="Normal"/>
    <w:uiPriority w:val="72"/>
    <w:rsid w:val="00F67A99"/>
    <w:pPr>
      <w:spacing w:before="240" w:after="120" w:line="48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51984">
      <w:bodyDiv w:val="1"/>
      <w:marLeft w:val="0"/>
      <w:marRight w:val="0"/>
      <w:marTop w:val="0"/>
      <w:marBottom w:val="0"/>
      <w:divBdr>
        <w:top w:val="none" w:sz="0" w:space="0" w:color="auto"/>
        <w:left w:val="none" w:sz="0" w:space="0" w:color="auto"/>
        <w:bottom w:val="none" w:sz="0" w:space="0" w:color="auto"/>
        <w:right w:val="none" w:sz="0" w:space="0" w:color="auto"/>
      </w:divBdr>
    </w:div>
    <w:div w:id="880826042">
      <w:bodyDiv w:val="1"/>
      <w:marLeft w:val="0"/>
      <w:marRight w:val="0"/>
      <w:marTop w:val="0"/>
      <w:marBottom w:val="0"/>
      <w:divBdr>
        <w:top w:val="none" w:sz="0" w:space="0" w:color="auto"/>
        <w:left w:val="none" w:sz="0" w:space="0" w:color="auto"/>
        <w:bottom w:val="none" w:sz="0" w:space="0" w:color="auto"/>
        <w:right w:val="none" w:sz="0" w:space="0" w:color="auto"/>
      </w:divBdr>
    </w:div>
    <w:div w:id="980964632">
      <w:bodyDiv w:val="1"/>
      <w:marLeft w:val="0"/>
      <w:marRight w:val="0"/>
      <w:marTop w:val="0"/>
      <w:marBottom w:val="0"/>
      <w:divBdr>
        <w:top w:val="none" w:sz="0" w:space="0" w:color="auto"/>
        <w:left w:val="none" w:sz="0" w:space="0" w:color="auto"/>
        <w:bottom w:val="none" w:sz="0" w:space="0" w:color="auto"/>
        <w:right w:val="none" w:sz="0" w:space="0" w:color="auto"/>
      </w:divBdr>
    </w:div>
    <w:div w:id="20079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nsi@yahoo.com" TargetMode="External"/><Relationship Id="rId13" Type="http://schemas.openxmlformats.org/officeDocument/2006/relationships/hyperlink" Target="http://www.nphp.gov.au" TargetMode="External"/><Relationship Id="rId18" Type="http://schemas.openxmlformats.org/officeDocument/2006/relationships/hyperlink" Target="http://www.phac-aspc.gc.ca/media/nr-rp/2011/2011_1110-qc-fs-fi-eng.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ric.Tchouaket@uqo.ca" TargetMode="External"/><Relationship Id="rId12" Type="http://schemas.openxmlformats.org/officeDocument/2006/relationships/hyperlink" Target="http://www.saineshabitudesdevie.gouv.qc.ca/extranet/pag/index.php?le-pag" TargetMode="External"/><Relationship Id="rId17" Type="http://schemas.openxmlformats.org/officeDocument/2006/relationships/hyperlink" Target="http://www.mtq.gouv.qc.ca/portal/page/portal/Librairie/Publications/fr/ministere/programmes_aide/prog_aide_tc_pol_queb_transp_coll.pdf" TargetMode="External"/><Relationship Id="rId2" Type="http://schemas.openxmlformats.org/officeDocument/2006/relationships/styles" Target="styles.xml"/><Relationship Id="rId16" Type="http://schemas.openxmlformats.org/officeDocument/2006/relationships/hyperlink" Target="http://www.quebecenforme.org/media/72075/etats_financiers_3103201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ierre-alexandre.Dionne@usherbrooke.ca" TargetMode="External"/><Relationship Id="rId11" Type="http://schemas.openxmlformats.org/officeDocument/2006/relationships/hyperlink" Target="http://publications.msss.gouv.qc.ca/acrobat/f/documentation/2008/08-216-01.pdf" TargetMode="External"/><Relationship Id="rId5" Type="http://schemas.openxmlformats.org/officeDocument/2006/relationships/hyperlink" Target="mailto:tarik.benmarhnia@mcgill.ca" TargetMode="External"/><Relationship Id="rId15" Type="http://schemas.openxmlformats.org/officeDocument/2006/relationships/hyperlink" Target="http://www.nphp.gov.au" TargetMode="External"/><Relationship Id="rId10" Type="http://schemas.openxmlformats.org/officeDocument/2006/relationships/hyperlink" Target="mailto:tarik.benmarhnia@mcgill.ca" TargetMode="External"/><Relationship Id="rId19" Type="http://schemas.openxmlformats.org/officeDocument/2006/relationships/hyperlink" Target="http://www.rseq.ca/media/350825/rapport_annuel_2010-2011.pdf" TargetMode="External"/><Relationship Id="rId4" Type="http://schemas.openxmlformats.org/officeDocument/2006/relationships/webSettings" Target="webSettings.xml"/><Relationship Id="rId9" Type="http://schemas.openxmlformats.org/officeDocument/2006/relationships/hyperlink" Target="mailto:astrid.brousselle@usherbrooke.ca"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3771</Words>
  <Characters>21498</Characters>
  <Application>Microsoft Office Word</Application>
  <DocSecurity>0</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Pfizer Inc</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Pierre-Alexandre</dc:creator>
  <cp:lastModifiedBy>Tarik Benmarhnia</cp:lastModifiedBy>
  <cp:revision>39</cp:revision>
  <dcterms:created xsi:type="dcterms:W3CDTF">2016-07-18T12:12:00Z</dcterms:created>
  <dcterms:modified xsi:type="dcterms:W3CDTF">2016-08-15T22:04:00Z</dcterms:modified>
</cp:coreProperties>
</file>