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9F565F" w14:textId="77777777" w:rsidR="00F27C4D" w:rsidRPr="00935F2E" w:rsidRDefault="00F27C4D" w:rsidP="00F27C4D">
      <w:pPr>
        <w:spacing w:after="0" w:line="480" w:lineRule="auto"/>
        <w:jc w:val="center"/>
        <w:rPr>
          <w:rFonts w:ascii="Times New Roman" w:hAnsi="Times New Roman" w:cs="Times New Roman"/>
          <w:b/>
          <w:color w:val="0000FF"/>
          <w:lang w:val="en-US"/>
        </w:rPr>
      </w:pPr>
      <w:bookmarkStart w:id="0" w:name="_Hlk16500218"/>
      <w:r w:rsidRPr="00935F2E">
        <w:rPr>
          <w:rFonts w:ascii="Times New Roman" w:hAnsi="Times New Roman" w:cs="Times New Roman"/>
          <w:b/>
          <w:color w:val="0000FF"/>
          <w:lang w:val="en-US"/>
        </w:rPr>
        <w:t xml:space="preserve">Dietary intervention using (1,3)/ (1,6)-β-glucan, a fungus-derived soluble prebiotic ameliorates high-fat diet-induced metabolic distress and alters beneficially the gut microbiota in </w:t>
      </w:r>
      <w:r w:rsidRPr="00935F2E">
        <w:rPr>
          <w:rFonts w:ascii="Times New Roman" w:hAnsi="Times New Roman" w:cs="Times New Roman"/>
          <w:b/>
          <w:bCs/>
          <w:color w:val="0000FF"/>
          <w:lang w:val="en-US"/>
        </w:rPr>
        <w:t>mice</w:t>
      </w:r>
      <w:r w:rsidRPr="00935F2E">
        <w:rPr>
          <w:rFonts w:ascii="Times New Roman" w:hAnsi="Times New Roman" w:cs="Times New Roman"/>
          <w:b/>
          <w:color w:val="0000FF"/>
          <w:lang w:val="en-US"/>
        </w:rPr>
        <w:t xml:space="preserve"> model</w:t>
      </w:r>
    </w:p>
    <w:p w14:paraId="39C155C6" w14:textId="77777777" w:rsidR="00F27C4D" w:rsidRPr="001C5CEC" w:rsidRDefault="00F27C4D" w:rsidP="00F27C4D">
      <w:pPr>
        <w:spacing w:after="0" w:line="48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1C5CEC">
        <w:rPr>
          <w:rFonts w:ascii="Times New Roman" w:hAnsi="Times New Roman" w:cs="Times New Roman"/>
          <w:b/>
          <w:sz w:val="20"/>
          <w:szCs w:val="20"/>
          <w:lang w:val="en-US"/>
        </w:rPr>
        <w:t>Karthika Muthuramalingam</w:t>
      </w:r>
      <w:r w:rsidRPr="001C5CEC">
        <w:rPr>
          <w:rFonts w:ascii="Times New Roman" w:hAnsi="Times New Roman" w:cs="Times New Roman"/>
          <w:b/>
          <w:sz w:val="20"/>
          <w:szCs w:val="20"/>
          <w:vertAlign w:val="superscript"/>
          <w:lang w:val="en-US"/>
        </w:rPr>
        <w:t>1</w:t>
      </w:r>
      <w:r w:rsidRPr="001C5CEC">
        <w:rPr>
          <w:rFonts w:ascii="Times New Roman" w:hAnsi="Times New Roman" w:cs="Times New Roman"/>
          <w:b/>
          <w:sz w:val="20"/>
          <w:szCs w:val="20"/>
          <w:lang w:val="en-US"/>
        </w:rPr>
        <w:t>, Vineet Singh</w:t>
      </w:r>
      <w:r w:rsidRPr="001C5CEC">
        <w:rPr>
          <w:rFonts w:ascii="Times New Roman" w:hAnsi="Times New Roman" w:cs="Times New Roman"/>
          <w:b/>
          <w:sz w:val="20"/>
          <w:szCs w:val="20"/>
          <w:vertAlign w:val="superscript"/>
          <w:lang w:val="en-US"/>
        </w:rPr>
        <w:t>2</w:t>
      </w:r>
      <w:r w:rsidRPr="001C5CEC">
        <w:rPr>
          <w:rFonts w:ascii="Times New Roman" w:hAnsi="Times New Roman" w:cs="Times New Roman"/>
          <w:b/>
          <w:sz w:val="20"/>
          <w:szCs w:val="20"/>
          <w:lang w:val="en-US"/>
        </w:rPr>
        <w:t>, Changmin Choi</w:t>
      </w:r>
      <w:r w:rsidRPr="001C5CEC">
        <w:rPr>
          <w:rFonts w:ascii="Times New Roman" w:hAnsi="Times New Roman" w:cs="Times New Roman"/>
          <w:b/>
          <w:sz w:val="20"/>
          <w:szCs w:val="20"/>
          <w:vertAlign w:val="superscript"/>
          <w:lang w:val="en-US"/>
        </w:rPr>
        <w:t>1</w:t>
      </w:r>
      <w:r w:rsidRPr="001C5CEC">
        <w:rPr>
          <w:rFonts w:ascii="Times New Roman" w:hAnsi="Times New Roman" w:cs="Times New Roman"/>
          <w:b/>
          <w:sz w:val="20"/>
          <w:szCs w:val="20"/>
          <w:lang w:val="en-US"/>
        </w:rPr>
        <w:t>, Seung In Choi</w:t>
      </w:r>
      <w:r w:rsidRPr="001C5CEC">
        <w:rPr>
          <w:rFonts w:ascii="Times New Roman" w:hAnsi="Times New Roman" w:cs="Times New Roman"/>
          <w:b/>
          <w:sz w:val="20"/>
          <w:szCs w:val="20"/>
          <w:vertAlign w:val="superscript"/>
          <w:lang w:val="en-US"/>
        </w:rPr>
        <w:t>3</w:t>
      </w:r>
      <w:r w:rsidRPr="001C5CEC">
        <w:rPr>
          <w:rFonts w:ascii="Times New Roman" w:hAnsi="Times New Roman" w:cs="Times New Roman"/>
          <w:b/>
          <w:sz w:val="20"/>
          <w:szCs w:val="20"/>
          <w:lang w:val="en-US"/>
        </w:rPr>
        <w:t>, Young Mee Kim</w:t>
      </w:r>
      <w:r w:rsidRPr="001C5CEC">
        <w:rPr>
          <w:rFonts w:ascii="Times New Roman" w:hAnsi="Times New Roman" w:cs="Times New Roman"/>
          <w:b/>
          <w:sz w:val="20"/>
          <w:szCs w:val="20"/>
          <w:vertAlign w:val="superscript"/>
          <w:lang w:val="en-US"/>
        </w:rPr>
        <w:t>1</w:t>
      </w:r>
      <w:r w:rsidRPr="001C5CEC">
        <w:rPr>
          <w:rFonts w:ascii="Times New Roman" w:hAnsi="Times New Roman" w:cs="Times New Roman"/>
          <w:b/>
          <w:sz w:val="20"/>
          <w:szCs w:val="20"/>
          <w:lang w:val="en-US"/>
        </w:rPr>
        <w:t>, Tatsuya Unno</w:t>
      </w:r>
      <w:r w:rsidRPr="001C5CEC">
        <w:rPr>
          <w:rFonts w:ascii="Times New Roman" w:hAnsi="Times New Roman" w:cs="Times New Roman"/>
          <w:b/>
          <w:sz w:val="20"/>
          <w:szCs w:val="20"/>
          <w:vertAlign w:val="superscript"/>
          <w:lang w:val="en-US"/>
        </w:rPr>
        <w:t>2,4, *</w:t>
      </w:r>
      <w:r w:rsidRPr="001C5CEC">
        <w:rPr>
          <w:rFonts w:ascii="Times New Roman" w:hAnsi="Times New Roman" w:cs="Times New Roman"/>
          <w:b/>
          <w:sz w:val="20"/>
          <w:szCs w:val="20"/>
          <w:lang w:val="en-US"/>
        </w:rPr>
        <w:t>, Moonjae Cho</w:t>
      </w:r>
      <w:r w:rsidRPr="001C5CEC">
        <w:rPr>
          <w:rFonts w:ascii="Times New Roman" w:hAnsi="Times New Roman" w:cs="Times New Roman"/>
          <w:b/>
          <w:sz w:val="20"/>
          <w:szCs w:val="20"/>
          <w:vertAlign w:val="superscript"/>
          <w:lang w:val="en-US"/>
        </w:rPr>
        <w:t>1,5</w:t>
      </w:r>
      <w:r>
        <w:rPr>
          <w:rFonts w:ascii="Times New Roman" w:hAnsi="Times New Roman" w:cs="Times New Roman"/>
          <w:b/>
          <w:sz w:val="20"/>
          <w:szCs w:val="20"/>
          <w:vertAlign w:val="superscript"/>
          <w:lang w:val="en-US"/>
        </w:rPr>
        <w:t>,6</w:t>
      </w:r>
      <w:r w:rsidRPr="001C5CEC">
        <w:rPr>
          <w:rFonts w:ascii="Times New Roman" w:hAnsi="Times New Roman" w:cs="Times New Roman"/>
          <w:b/>
          <w:sz w:val="20"/>
          <w:szCs w:val="20"/>
          <w:vertAlign w:val="superscript"/>
          <w:lang w:val="en-US"/>
        </w:rPr>
        <w:t>, *</w:t>
      </w:r>
    </w:p>
    <w:bookmarkEnd w:id="0"/>
    <w:p w14:paraId="49046FE9" w14:textId="77777777" w:rsidR="00F27C4D" w:rsidRPr="001C5CEC" w:rsidRDefault="00F27C4D" w:rsidP="00F27C4D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1C5CE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4A461576" w14:textId="77777777" w:rsidR="00F27C4D" w:rsidRPr="001C5CEC" w:rsidRDefault="00F27C4D" w:rsidP="00F27C4D">
      <w:pPr>
        <w:spacing w:after="0" w:line="48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1C5CEC">
        <w:rPr>
          <w:rFonts w:ascii="Times New Roman" w:hAnsi="Times New Roman" w:cs="Times New Roman"/>
          <w:b/>
          <w:sz w:val="20"/>
          <w:szCs w:val="20"/>
          <w:vertAlign w:val="superscript"/>
          <w:lang w:val="en-US"/>
        </w:rPr>
        <w:t xml:space="preserve">1 </w:t>
      </w:r>
      <w:r w:rsidRPr="001C5CEC">
        <w:rPr>
          <w:rFonts w:ascii="Times New Roman" w:hAnsi="Times New Roman" w:cs="Times New Roman"/>
          <w:sz w:val="20"/>
          <w:szCs w:val="20"/>
          <w:lang w:val="en-US"/>
        </w:rPr>
        <w:t>Department of Biochemistry, School of Medicine, Jeju National University, Jeju 63243, Republic of Korea</w:t>
      </w:r>
    </w:p>
    <w:p w14:paraId="7DB22535" w14:textId="77777777" w:rsidR="00F27C4D" w:rsidRPr="001C5CEC" w:rsidRDefault="00F27C4D" w:rsidP="00F27C4D">
      <w:pPr>
        <w:spacing w:after="0" w:line="48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1C5CEC">
        <w:rPr>
          <w:rFonts w:ascii="Times New Roman" w:hAnsi="Times New Roman" w:cs="Times New Roman"/>
          <w:b/>
          <w:sz w:val="20"/>
          <w:szCs w:val="20"/>
          <w:vertAlign w:val="superscript"/>
          <w:lang w:val="en-US"/>
        </w:rPr>
        <w:t>2</w:t>
      </w:r>
      <w:r w:rsidRPr="001C5CEC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1C5CEC">
        <w:rPr>
          <w:rFonts w:ascii="Times New Roman" w:hAnsi="Times New Roman" w:cs="Times New Roman"/>
          <w:sz w:val="20"/>
          <w:szCs w:val="20"/>
          <w:lang w:val="en-US"/>
        </w:rPr>
        <w:t xml:space="preserve">Faculty of Biotechnology, </w:t>
      </w:r>
      <w:r>
        <w:rPr>
          <w:rFonts w:ascii="Times New Roman" w:hAnsi="Times New Roman" w:cs="Times New Roman"/>
          <w:sz w:val="20"/>
          <w:szCs w:val="20"/>
          <w:lang w:val="en-US"/>
        </w:rPr>
        <w:t>School</w:t>
      </w:r>
      <w:r w:rsidRPr="001C5CEC">
        <w:rPr>
          <w:rFonts w:ascii="Times New Roman" w:hAnsi="Times New Roman" w:cs="Times New Roman"/>
          <w:sz w:val="20"/>
          <w:szCs w:val="20"/>
          <w:lang w:val="en-US"/>
        </w:rPr>
        <w:t xml:space="preserve"> of Life Sciences, SARI, Jeju National University, Jeju 63243, Republic of Korea</w:t>
      </w:r>
    </w:p>
    <w:p w14:paraId="364A5E30" w14:textId="77777777" w:rsidR="00F27C4D" w:rsidRPr="001C5CEC" w:rsidRDefault="00F27C4D" w:rsidP="00F27C4D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1C5CEC">
        <w:rPr>
          <w:rFonts w:ascii="Times New Roman" w:hAnsi="Times New Roman" w:cs="Times New Roman"/>
          <w:b/>
          <w:sz w:val="20"/>
          <w:szCs w:val="20"/>
          <w:vertAlign w:val="superscript"/>
          <w:lang w:val="en-US"/>
        </w:rPr>
        <w:t>3</w:t>
      </w:r>
      <w:r w:rsidRPr="001C5CEC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1C5CEC">
        <w:rPr>
          <w:rFonts w:ascii="Times New Roman" w:hAnsi="Times New Roman" w:cs="Times New Roman"/>
          <w:sz w:val="20"/>
          <w:szCs w:val="20"/>
          <w:lang w:val="en-US"/>
        </w:rPr>
        <w:t>Department of Pharmaceutical Research Institute, Quegen Biotech Co. Ltd., Seoul 429931, Republic of Korea</w:t>
      </w:r>
    </w:p>
    <w:p w14:paraId="5E0C1BB2" w14:textId="77777777" w:rsidR="00F27C4D" w:rsidRPr="001C5CEC" w:rsidRDefault="00F27C4D" w:rsidP="00F27C4D">
      <w:pPr>
        <w:spacing w:after="0" w:line="48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1C5CEC">
        <w:rPr>
          <w:rFonts w:ascii="Times New Roman" w:hAnsi="Times New Roman" w:cs="Times New Roman"/>
          <w:b/>
          <w:sz w:val="20"/>
          <w:szCs w:val="20"/>
          <w:vertAlign w:val="superscript"/>
          <w:lang w:val="en-US"/>
        </w:rPr>
        <w:t>4</w:t>
      </w:r>
      <w:r w:rsidRPr="001C5CEC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1C5CEC">
        <w:rPr>
          <w:rFonts w:ascii="Times New Roman" w:hAnsi="Times New Roman" w:cs="Times New Roman"/>
          <w:sz w:val="20"/>
          <w:szCs w:val="20"/>
          <w:lang w:val="en-US"/>
        </w:rPr>
        <w:t>Subtropical/Tropical Organism Gene Bank, Jeju National University, Jeju 63243, Republic of Korea</w:t>
      </w:r>
    </w:p>
    <w:p w14:paraId="118F67B7" w14:textId="77777777" w:rsidR="00F27C4D" w:rsidRDefault="00F27C4D" w:rsidP="00F27C4D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5CEC">
        <w:rPr>
          <w:rFonts w:ascii="Times New Roman" w:hAnsi="Times New Roman" w:cs="Times New Roman"/>
          <w:b/>
          <w:sz w:val="20"/>
          <w:szCs w:val="20"/>
          <w:vertAlign w:val="superscript"/>
          <w:lang w:val="en-US"/>
        </w:rPr>
        <w:t>5</w:t>
      </w:r>
      <w:r w:rsidRPr="001C5CEC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A50DCB">
        <w:rPr>
          <w:rFonts w:ascii="Times New Roman" w:hAnsi="Times New Roman" w:cs="Times New Roman"/>
          <w:sz w:val="20"/>
          <w:szCs w:val="20"/>
        </w:rPr>
        <w:t>Institute of Medical Science,</w:t>
      </w:r>
      <w:r w:rsidRPr="00A50DCB">
        <w:rPr>
          <w:rFonts w:ascii="돋움" w:eastAsia="돋움" w:hAnsi="돋움" w:hint="eastAsia"/>
          <w:b/>
          <w:bCs/>
          <w:color w:val="333333"/>
          <w:sz w:val="20"/>
          <w:szCs w:val="20"/>
          <w:shd w:val="clear" w:color="auto" w:fill="FFFFFF"/>
        </w:rPr>
        <w:t xml:space="preserve"> </w:t>
      </w:r>
      <w:r w:rsidRPr="00A50DCB">
        <w:rPr>
          <w:rFonts w:ascii="Times New Roman" w:hAnsi="Times New Roman" w:cs="Times New Roman"/>
          <w:sz w:val="20"/>
          <w:szCs w:val="20"/>
        </w:rPr>
        <w:t>Jeju National University, Jeju 63241, Republic of Korea</w:t>
      </w:r>
    </w:p>
    <w:p w14:paraId="458A881C" w14:textId="77777777" w:rsidR="00F27C4D" w:rsidRPr="001C5CEC" w:rsidRDefault="00F27C4D" w:rsidP="00F27C4D">
      <w:pPr>
        <w:spacing w:after="0" w:line="48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vertAlign w:val="superscript"/>
          <w:lang w:val="en-US"/>
        </w:rPr>
        <w:t>6</w:t>
      </w:r>
      <w:r w:rsidRPr="001C5CEC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A50DCB">
        <w:rPr>
          <w:rFonts w:ascii="Times New Roman" w:eastAsia="돋움" w:hAnsi="Times New Roman" w:cs="Times New Roman"/>
          <w:sz w:val="20"/>
          <w:szCs w:val="20"/>
          <w:shd w:val="clear" w:color="auto" w:fill="FFFFFF"/>
        </w:rPr>
        <w:t>Interdisciplinary Graduate Program in Advanced Convergence Technology &amp; Science</w:t>
      </w:r>
      <w:r w:rsidRPr="00A50DCB">
        <w:rPr>
          <w:rFonts w:ascii="Times New Roman" w:hAnsi="Times New Roman" w:cs="Times New Roman"/>
          <w:sz w:val="20"/>
          <w:szCs w:val="20"/>
        </w:rPr>
        <w:t>, Jeju National University, Jeju 63241, Republic of Korea</w:t>
      </w:r>
    </w:p>
    <w:p w14:paraId="40BA3700" w14:textId="77777777" w:rsidR="00F27C4D" w:rsidRDefault="00F27C4D" w:rsidP="00D56073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vertAlign w:val="superscript"/>
          <w:lang w:val="en-US"/>
        </w:rPr>
      </w:pPr>
    </w:p>
    <w:p w14:paraId="5D247BA1" w14:textId="1F37F4E2" w:rsidR="00D56073" w:rsidRPr="001C5CEC" w:rsidRDefault="00D56073" w:rsidP="00D56073">
      <w:pPr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1C5CEC">
        <w:rPr>
          <w:rFonts w:ascii="Times New Roman" w:eastAsia="Times New Roman" w:hAnsi="Times New Roman" w:cs="Times New Roman"/>
          <w:b/>
          <w:sz w:val="20"/>
          <w:szCs w:val="20"/>
          <w:vertAlign w:val="superscript"/>
          <w:lang w:val="en-US"/>
        </w:rPr>
        <w:t>*</w:t>
      </w:r>
      <w:r w:rsidRPr="001C5CE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Authors to whom correspondence should be addressed</w:t>
      </w:r>
    </w:p>
    <w:p w14:paraId="23F5C97E" w14:textId="6B091971" w:rsidR="00D56073" w:rsidRDefault="00D56073" w:rsidP="00D56073">
      <w:pPr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1C5CE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E-mail: </w:t>
      </w: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ab/>
      </w:r>
      <w:hyperlink r:id="rId4" w:history="1">
        <w:r w:rsidRPr="00D56073">
          <w:rPr>
            <w:rStyle w:val="Hyperlink"/>
            <w:rFonts w:ascii="Times New Roman" w:eastAsia="Times New Roman" w:hAnsi="Times New Roman" w:cs="Times New Roman"/>
            <w:sz w:val="20"/>
            <w:szCs w:val="20"/>
            <w:lang w:val="en-US"/>
          </w:rPr>
          <w:t>tatsu@jejunu.ac.kr</w:t>
        </w:r>
      </w:hyperlink>
      <w:r w:rsidRPr="001C5CE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(T.U)</w:t>
      </w:r>
    </w:p>
    <w:p w14:paraId="6225C4A4" w14:textId="6A02A578" w:rsidR="000D4BA5" w:rsidRPr="000D4BA5" w:rsidRDefault="000962EC" w:rsidP="00D56073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hyperlink r:id="rId5" w:history="1">
        <w:r w:rsidR="00D56073" w:rsidRPr="00D56073">
          <w:rPr>
            <w:rStyle w:val="Hyperlink"/>
            <w:rFonts w:ascii="Times New Roman" w:eastAsia="Times New Roman" w:hAnsi="Times New Roman" w:cs="Times New Roman"/>
            <w:sz w:val="20"/>
            <w:szCs w:val="20"/>
            <w:lang w:val="en-US"/>
          </w:rPr>
          <w:t>moonjcho@jejunu.ac.kr</w:t>
        </w:r>
      </w:hyperlink>
      <w:r w:rsidR="00D56073" w:rsidRPr="001C5CE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(M.J.C)</w:t>
      </w:r>
    </w:p>
    <w:p w14:paraId="3A5B425D" w14:textId="59127B50" w:rsidR="00D22AA6" w:rsidRDefault="00D22AA6" w:rsidP="00D22AA6">
      <w:pPr>
        <w:spacing w:after="0" w:line="48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35119590" w14:textId="42C4D0A8" w:rsidR="00D56073" w:rsidRDefault="00D56073" w:rsidP="00D22AA6">
      <w:pPr>
        <w:spacing w:after="0" w:line="48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1385A5EF" w14:textId="7955F31E" w:rsidR="00D56073" w:rsidRDefault="00D56073" w:rsidP="00D22AA6">
      <w:pPr>
        <w:spacing w:after="0" w:line="48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715CBB89" w14:textId="19950190" w:rsidR="00D56073" w:rsidRDefault="00D56073" w:rsidP="00D22AA6">
      <w:pPr>
        <w:spacing w:after="0" w:line="48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0469B354" w14:textId="77777777" w:rsidR="00D56073" w:rsidRPr="000D4BA5" w:rsidRDefault="00D56073" w:rsidP="00D22AA6">
      <w:pPr>
        <w:spacing w:after="0" w:line="48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5A0DCECA" w14:textId="5A2349BC" w:rsidR="00D22AA6" w:rsidRPr="000962EC" w:rsidRDefault="000962EC" w:rsidP="00D22AA6">
      <w:pPr>
        <w:spacing w:after="0" w:line="48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14D47F5E" wp14:editId="3799D8F3">
            <wp:extent cx="5731510" cy="31864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5EC2EF87" w14:textId="7C575C0E" w:rsidR="00D22AA6" w:rsidRPr="000D4BA5" w:rsidRDefault="000D4BA5" w:rsidP="00D22AA6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D4BA5">
        <w:rPr>
          <w:rFonts w:ascii="Times New Roman" w:hAnsi="Times New Roman" w:cs="Times New Roman"/>
          <w:b/>
          <w:sz w:val="20"/>
          <w:szCs w:val="20"/>
          <w:lang w:val="en-US"/>
        </w:rPr>
        <w:t>Online Resource Fig.S1</w:t>
      </w:r>
      <w:r w:rsidR="00D22AA6" w:rsidRPr="000D4BA5">
        <w:rPr>
          <w:rFonts w:ascii="Times New Roman" w:hAnsi="Times New Roman" w:cs="Times New Roman"/>
          <w:b/>
          <w:sz w:val="20"/>
          <w:szCs w:val="20"/>
          <w:lang w:val="en-US"/>
        </w:rPr>
        <w:t xml:space="preserve">: 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Effect of dietary β-glucan on energy intake. </w:t>
      </w:r>
      <w:r w:rsidRPr="000D4BA5">
        <w:rPr>
          <w:rFonts w:ascii="Times New Roman" w:hAnsi="Times New Roman" w:cs="Times New Roman"/>
          <w:sz w:val="20"/>
          <w:szCs w:val="20"/>
          <w:lang w:val="en-US"/>
        </w:rPr>
        <w:t>a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>: Feed efficiency</w:t>
      </w:r>
      <w:r w:rsidR="00B40B83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0D4BA5">
        <w:rPr>
          <w:rFonts w:ascii="Times New Roman" w:hAnsi="Times New Roman" w:cs="Times New Roman"/>
          <w:sz w:val="20"/>
          <w:szCs w:val="20"/>
          <w:lang w:val="en-US"/>
        </w:rPr>
        <w:t>b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>: Food consumption</w:t>
      </w:r>
      <w:r w:rsidR="00B40B83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and </w:t>
      </w:r>
      <w:r w:rsidRPr="000D4BA5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>: Water consumption</w:t>
      </w:r>
      <w:r w:rsidR="00B40B83" w:rsidRPr="000D4BA5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776BE734" w14:textId="77777777" w:rsidR="00FC1398" w:rsidRPr="000D4BA5" w:rsidRDefault="00FC1398" w:rsidP="00D22AA6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0191BBF1" w14:textId="0AE272ED" w:rsidR="00FC1398" w:rsidRPr="000D4BA5" w:rsidRDefault="00CD142F" w:rsidP="00FC1398">
      <w:pPr>
        <w:spacing w:after="0" w:line="48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23BC87B1" wp14:editId="0F6DC414">
            <wp:extent cx="5731510" cy="400621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3BE61" w14:textId="3E73892F" w:rsidR="00D22AA6" w:rsidRPr="000D4BA5" w:rsidRDefault="000D4BA5" w:rsidP="00D22AA6">
      <w:pPr>
        <w:spacing w:after="0" w:line="48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0D4BA5">
        <w:rPr>
          <w:rFonts w:ascii="Times New Roman" w:hAnsi="Times New Roman" w:cs="Times New Roman"/>
          <w:b/>
          <w:sz w:val="20"/>
          <w:szCs w:val="20"/>
          <w:lang w:val="en-US"/>
        </w:rPr>
        <w:t xml:space="preserve">Online Resource Fig.S2: 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Effect of dietary β-glucan on pathophysiology of mice. A: Lung weight and </w:t>
      </w:r>
      <w:r w:rsidR="00531D8F" w:rsidRPr="000D4BA5">
        <w:rPr>
          <w:rFonts w:ascii="Times New Roman" w:hAnsi="Times New Roman" w:cs="Times New Roman"/>
          <w:sz w:val="20"/>
          <w:szCs w:val="20"/>
          <w:lang w:val="en-US"/>
        </w:rPr>
        <w:t>lung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>/</w:t>
      </w:r>
      <w:r w:rsidR="00531D8F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body 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weight and B: Liver weight and </w:t>
      </w:r>
      <w:r w:rsidR="00531D8F" w:rsidRPr="000D4BA5">
        <w:rPr>
          <w:rFonts w:ascii="Times New Roman" w:hAnsi="Times New Roman" w:cs="Times New Roman"/>
          <w:sz w:val="20"/>
          <w:szCs w:val="20"/>
          <w:lang w:val="en-US"/>
        </w:rPr>
        <w:t>l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>iver/</w:t>
      </w:r>
      <w:r w:rsidR="00531D8F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body 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>weight</w:t>
      </w:r>
      <w:r w:rsidR="00B40B83" w:rsidRPr="000D4BA5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D22AA6" w:rsidRPr="000D4BA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</w:p>
    <w:p w14:paraId="120B6110" w14:textId="06C981CB" w:rsidR="00D22AA6" w:rsidRPr="000D4BA5" w:rsidRDefault="00CD142F" w:rsidP="00D22AA6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4CB33C94" wp14:editId="7FEA32D0">
            <wp:extent cx="5731510" cy="3402330"/>
            <wp:effectExtent l="0" t="0" r="254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398" w:rsidRPr="000D4BA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0D4BA5" w:rsidRPr="000D4BA5">
        <w:rPr>
          <w:rFonts w:ascii="Times New Roman" w:hAnsi="Times New Roman" w:cs="Times New Roman"/>
          <w:b/>
          <w:sz w:val="20"/>
          <w:szCs w:val="20"/>
          <w:lang w:val="en-US"/>
        </w:rPr>
        <w:t xml:space="preserve">Online Resource Fig.S3: 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Assessment of </w:t>
      </w:r>
      <w:r w:rsidR="00531D8F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expression of 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>intestinal protein</w:t>
      </w:r>
      <w:r w:rsidR="00531D8F" w:rsidRPr="000D4BA5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 involved in colon cell proliferation, differentiation</w:t>
      </w:r>
      <w:r w:rsidR="00531D8F" w:rsidRPr="000D4BA5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 and tight junction markers</w:t>
      </w:r>
      <w:r w:rsidR="00D22AA6" w:rsidRPr="000D4BA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531D8F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in 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>HFD, HFD + BG1</w:t>
      </w:r>
      <w:r w:rsidR="00531D8F" w:rsidRPr="000D4BA5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 and HFD + BG2</w:t>
      </w:r>
      <w:r w:rsidR="00531D8F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 groups</w:t>
      </w:r>
      <w:r w:rsidR="00B40B83" w:rsidRPr="000D4BA5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59976F3D" w14:textId="77777777" w:rsidR="00FC1398" w:rsidRPr="000D4BA5" w:rsidRDefault="00FC1398" w:rsidP="00D22AA6">
      <w:pPr>
        <w:spacing w:after="0" w:line="48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21935B7E" w14:textId="4C5E055F" w:rsidR="00D22AA6" w:rsidRPr="000D4BA5" w:rsidRDefault="00CD142F" w:rsidP="00D22AA6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011ACD70" wp14:editId="0592EDD0">
            <wp:extent cx="5731510" cy="326644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398" w:rsidRPr="000D4BA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0D4BA5" w:rsidRPr="000D4BA5">
        <w:rPr>
          <w:rFonts w:ascii="Times New Roman" w:hAnsi="Times New Roman" w:cs="Times New Roman"/>
          <w:b/>
          <w:sz w:val="20"/>
          <w:szCs w:val="20"/>
          <w:lang w:val="en-US"/>
        </w:rPr>
        <w:t xml:space="preserve">Online Resource Fig.S4: 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>Evaluation of sequence depth by rarefaction curve analysis</w:t>
      </w:r>
      <w:r w:rsidR="00B40B83" w:rsidRPr="000D4BA5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2D29AC91" w14:textId="1AE035E1" w:rsidR="00D22AA6" w:rsidRPr="000D4BA5" w:rsidRDefault="00CD142F" w:rsidP="00D22AA6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56E35121" wp14:editId="5F9ECC5A">
            <wp:extent cx="5731510" cy="337312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398" w:rsidRPr="000D4BA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0D4BA5" w:rsidRPr="000D4BA5">
        <w:rPr>
          <w:rFonts w:ascii="Times New Roman" w:hAnsi="Times New Roman" w:cs="Times New Roman"/>
          <w:b/>
          <w:sz w:val="20"/>
          <w:szCs w:val="20"/>
          <w:lang w:val="en-US"/>
        </w:rPr>
        <w:t xml:space="preserve">Online Resource Fig.S5: 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>Good’s coverage obtained for each sample in this study</w:t>
      </w:r>
      <w:r w:rsidR="00B40B83" w:rsidRPr="000D4BA5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32CE0E91" w14:textId="668182DA" w:rsidR="00D22AA6" w:rsidRPr="000D4BA5" w:rsidRDefault="00CD142F" w:rsidP="00D22AA6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705A7C94" wp14:editId="2370E1E1">
            <wp:extent cx="5731510" cy="270827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398" w:rsidRPr="000D4BA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0D4BA5" w:rsidRPr="000D4BA5">
        <w:rPr>
          <w:rFonts w:ascii="Times New Roman" w:hAnsi="Times New Roman" w:cs="Times New Roman"/>
          <w:b/>
          <w:sz w:val="20"/>
          <w:szCs w:val="20"/>
          <w:lang w:val="en-US"/>
        </w:rPr>
        <w:t xml:space="preserve">Online Resource Fig.S6: 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Effects of feeding duration and diets on species richness (A) and evenness (B) </w:t>
      </w:r>
      <w:r w:rsidR="00531D8F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in the mouse 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>gut microbiota</w:t>
      </w:r>
      <w:r w:rsidR="00B40B83" w:rsidRPr="000D4BA5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2611ACFD" w14:textId="03CAF08D" w:rsidR="00D22AA6" w:rsidRPr="000D4BA5" w:rsidRDefault="00CD142F" w:rsidP="00D22AA6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1ED5709C" wp14:editId="3E382B60">
            <wp:extent cx="5731510" cy="249872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398" w:rsidRPr="000D4BA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0D4BA5" w:rsidRPr="000D4BA5">
        <w:rPr>
          <w:rFonts w:ascii="Times New Roman" w:hAnsi="Times New Roman" w:cs="Times New Roman"/>
          <w:b/>
          <w:sz w:val="20"/>
          <w:szCs w:val="20"/>
          <w:lang w:val="en-US"/>
        </w:rPr>
        <w:t xml:space="preserve">Online Resource Fig.S7: 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>Bacterial composition analysis at the phylum level</w:t>
      </w:r>
      <w:r w:rsidR="00B40B83" w:rsidRPr="000D4BA5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0F26375C" w14:textId="77777777" w:rsidR="00FC1398" w:rsidRPr="000D4BA5" w:rsidRDefault="00FC1398" w:rsidP="00D22AA6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482688E8" w14:textId="04DF52E7" w:rsidR="00D22AA6" w:rsidRPr="000D4BA5" w:rsidRDefault="00CD142F" w:rsidP="00D22AA6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4EF1CA6B" wp14:editId="12D1593F">
            <wp:extent cx="5731510" cy="4295775"/>
            <wp:effectExtent l="0" t="0" r="254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398" w:rsidRPr="000D4BA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0D4BA5" w:rsidRPr="000D4BA5">
        <w:rPr>
          <w:rFonts w:ascii="Times New Roman" w:hAnsi="Times New Roman" w:cs="Times New Roman"/>
          <w:b/>
          <w:sz w:val="20"/>
          <w:szCs w:val="20"/>
          <w:lang w:val="en-US"/>
        </w:rPr>
        <w:t xml:space="preserve">Online Resource Fig.S8: 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>Differentially abundant genera at</w:t>
      </w:r>
      <w:r w:rsidR="00B40B83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 the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 12</w:t>
      </w:r>
      <w:r w:rsidR="00D22AA6" w:rsidRPr="000D4BA5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th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 week in control and </w:t>
      </w:r>
      <w:r w:rsidR="00B40B83" w:rsidRPr="000D4BA5">
        <w:rPr>
          <w:rFonts w:ascii="Times New Roman" w:hAnsi="Times New Roman" w:cs="Times New Roman"/>
          <w:sz w:val="20"/>
          <w:szCs w:val="20"/>
          <w:lang w:val="en-US"/>
        </w:rPr>
        <w:t>β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>-glucan groups</w:t>
      </w:r>
      <w:r w:rsidR="00B40B83" w:rsidRPr="000D4BA5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095F06E0" w14:textId="2A3453E5" w:rsidR="00D22AA6" w:rsidRDefault="00CD142F" w:rsidP="00D22AA6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71AB3337" wp14:editId="0EA4A0C4">
            <wp:extent cx="5731510" cy="323850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398" w:rsidRPr="000D4BA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0D4BA5" w:rsidRPr="000D4BA5">
        <w:rPr>
          <w:rFonts w:ascii="Times New Roman" w:hAnsi="Times New Roman" w:cs="Times New Roman"/>
          <w:b/>
          <w:sz w:val="20"/>
          <w:szCs w:val="20"/>
          <w:lang w:val="en-US"/>
        </w:rPr>
        <w:t xml:space="preserve">Online Resource Fig.S9: 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Enumeration of Bifidobacterium based on qPCR for HFD group samples at </w:t>
      </w:r>
      <w:r w:rsidR="00531D8F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>12</w:t>
      </w:r>
      <w:r w:rsidR="00D22AA6" w:rsidRPr="000D4BA5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th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 week</w:t>
      </w:r>
      <w:r w:rsidR="00B40B83" w:rsidRPr="000D4BA5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5B36803E" w14:textId="204FA37A" w:rsidR="00421219" w:rsidRDefault="00413F6F" w:rsidP="00FC1398">
      <w:pPr>
        <w:spacing w:after="0" w:line="48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5E899D30" wp14:editId="4F026124">
            <wp:extent cx="5731510" cy="45446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8B43B" w14:textId="53020E27" w:rsidR="00934CE3" w:rsidRPr="000D4BA5" w:rsidRDefault="000D4BA5" w:rsidP="00FC1398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D4BA5"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>Online Resource Table S</w:t>
      </w:r>
      <w:r w:rsidR="00421219">
        <w:rPr>
          <w:rFonts w:ascii="Times New Roman" w:hAnsi="Times New Roman" w:cs="Times New Roman"/>
          <w:b/>
          <w:sz w:val="20"/>
          <w:szCs w:val="20"/>
          <w:lang w:val="en-US"/>
        </w:rPr>
        <w:t>1</w:t>
      </w:r>
      <w:r w:rsidRPr="000D4BA5">
        <w:rPr>
          <w:rFonts w:ascii="Times New Roman" w:hAnsi="Times New Roman" w:cs="Times New Roman"/>
          <w:b/>
          <w:sz w:val="20"/>
          <w:szCs w:val="20"/>
          <w:lang w:val="en-US"/>
        </w:rPr>
        <w:t xml:space="preserve">: </w:t>
      </w:r>
      <w:r w:rsidR="00D22AA6" w:rsidRPr="000D4BA5">
        <w:rPr>
          <w:rFonts w:ascii="Times New Roman" w:hAnsi="Times New Roman" w:cs="Times New Roman"/>
          <w:b/>
          <w:sz w:val="20"/>
          <w:szCs w:val="20"/>
          <w:lang w:val="en-US"/>
        </w:rPr>
        <w:t xml:space="preserve">Blood biochemical markers profiling 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>At the end of 12 weeks, mice were sacrificed using</w:t>
      </w:r>
      <w:r w:rsidR="00531D8F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 the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 cardiac puncture method</w:t>
      </w:r>
      <w:r w:rsidR="00B40B83" w:rsidRPr="000D4BA5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 and blood </w:t>
      </w:r>
      <w:r w:rsidR="00531D8F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was 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drawn using </w:t>
      </w:r>
      <w:r w:rsidR="00531D8F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a 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sterilized syringe and needles. The collected blood samples were </w:t>
      </w:r>
      <w:r w:rsidR="00EE0FF6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sent to </w:t>
      </w:r>
      <w:r w:rsidR="009D23E1">
        <w:rPr>
          <w:rFonts w:ascii="Times New Roman" w:hAnsi="Times New Roman" w:cs="Times New Roman"/>
          <w:sz w:val="20"/>
          <w:szCs w:val="20"/>
          <w:lang w:val="en-US"/>
        </w:rPr>
        <w:t>ChemOn Inc.</w:t>
      </w:r>
      <w:r w:rsidR="00EE0FF6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 for the analysis of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 different biochemical markers</w:t>
      </w:r>
      <w:r w:rsidR="00EE0FF6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 as indicated in the table</w:t>
      </w:r>
      <w:r w:rsidR="00D22AA6" w:rsidRPr="000D4BA5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EE0FF6" w:rsidRPr="000D4BA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E00108">
        <w:rPr>
          <w:rFonts w:ascii="Times New Roman" w:hAnsi="Times New Roman" w:cs="Times New Roman"/>
          <w:sz w:val="20"/>
          <w:szCs w:val="20"/>
          <w:lang w:val="en-US"/>
        </w:rPr>
        <w:t xml:space="preserve">AST-aspartate transaminase, ALT-alanine transaminase, ALP- alkaline phosphatase, TBIL- total bilirubin, GLU- blood glucose level, </w:t>
      </w:r>
      <w:r w:rsidR="00421219">
        <w:rPr>
          <w:rFonts w:ascii="Times New Roman" w:hAnsi="Times New Roman" w:cs="Times New Roman"/>
          <w:sz w:val="20"/>
          <w:szCs w:val="20"/>
          <w:lang w:val="en-US"/>
        </w:rPr>
        <w:t xml:space="preserve">TG-triglyceride, </w:t>
      </w:r>
      <w:r w:rsidR="00E00108">
        <w:rPr>
          <w:rFonts w:ascii="Times New Roman" w:hAnsi="Times New Roman" w:cs="Times New Roman"/>
          <w:sz w:val="20"/>
          <w:szCs w:val="20"/>
          <w:lang w:val="en-US"/>
        </w:rPr>
        <w:t>BUN- blood urea nitrogen and CRE- creatinine.</w:t>
      </w:r>
      <w:r w:rsidR="00EB6BF0">
        <w:rPr>
          <w:rFonts w:ascii="Times New Roman" w:hAnsi="Times New Roman" w:cs="Times New Roman"/>
          <w:sz w:val="20"/>
          <w:szCs w:val="20"/>
          <w:lang w:val="en-US"/>
        </w:rPr>
        <w:t xml:space="preserve"> (*-compared to that of </w:t>
      </w:r>
      <w:r w:rsidR="00F6132B">
        <w:rPr>
          <w:rFonts w:ascii="Times New Roman" w:hAnsi="Times New Roman" w:cs="Times New Roman"/>
          <w:sz w:val="20"/>
          <w:szCs w:val="20"/>
          <w:lang w:val="en-US"/>
        </w:rPr>
        <w:t>control diet</w:t>
      </w:r>
      <w:r w:rsidR="00EB6BF0">
        <w:rPr>
          <w:rFonts w:ascii="Times New Roman" w:hAnsi="Times New Roman" w:cs="Times New Roman"/>
          <w:sz w:val="20"/>
          <w:szCs w:val="20"/>
          <w:lang w:val="en-US"/>
        </w:rPr>
        <w:t xml:space="preserve">; </w:t>
      </w:r>
      <w:r w:rsidR="00977FF0">
        <w:rPr>
          <w:rFonts w:ascii="Times New Roman" w:hAnsi="Times New Roman" w:cs="Times New Roman"/>
          <w:sz w:val="20"/>
          <w:szCs w:val="20"/>
          <w:lang w:val="en-US"/>
        </w:rPr>
        <w:t>$</w:t>
      </w:r>
      <w:r w:rsidR="00EB6BF0">
        <w:rPr>
          <w:rFonts w:ascii="Times New Roman" w:hAnsi="Times New Roman" w:cs="Times New Roman"/>
          <w:sz w:val="20"/>
          <w:szCs w:val="20"/>
          <w:lang w:val="en-US"/>
        </w:rPr>
        <w:t>-compared to that of HFD)</w:t>
      </w:r>
    </w:p>
    <w:sectPr w:rsidR="00934CE3" w:rsidRPr="000D4BA5" w:rsidSect="00EA5699"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AA6"/>
    <w:rsid w:val="000962EC"/>
    <w:rsid w:val="000D4BA5"/>
    <w:rsid w:val="001671B4"/>
    <w:rsid w:val="00413F6F"/>
    <w:rsid w:val="00421219"/>
    <w:rsid w:val="00531D8F"/>
    <w:rsid w:val="006F7CE1"/>
    <w:rsid w:val="00711F46"/>
    <w:rsid w:val="00977FF0"/>
    <w:rsid w:val="009D23E1"/>
    <w:rsid w:val="00B2176B"/>
    <w:rsid w:val="00B40B83"/>
    <w:rsid w:val="00C444B3"/>
    <w:rsid w:val="00CD142F"/>
    <w:rsid w:val="00D22AA6"/>
    <w:rsid w:val="00D56073"/>
    <w:rsid w:val="00E00108"/>
    <w:rsid w:val="00E341B4"/>
    <w:rsid w:val="00EB6BF0"/>
    <w:rsid w:val="00EE0FF6"/>
    <w:rsid w:val="00F27C4D"/>
    <w:rsid w:val="00F6132B"/>
    <w:rsid w:val="00FC1398"/>
    <w:rsid w:val="00FC2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9B325"/>
  <w15:chartTrackingRefBased/>
  <w15:docId w15:val="{3E2E09CE-6E8F-4092-ADD4-8AB3129D5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IN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22AA6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D22AA6"/>
  </w:style>
  <w:style w:type="character" w:styleId="Hyperlink">
    <w:name w:val="Hyperlink"/>
    <w:basedOn w:val="DefaultParagraphFont"/>
    <w:uiPriority w:val="99"/>
    <w:unhideWhenUsed/>
    <w:rsid w:val="000D4BA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6073"/>
    <w:rPr>
      <w:color w:val="605E5C"/>
      <w:shd w:val="clear" w:color="auto" w:fill="E1DFDD"/>
    </w:rPr>
  </w:style>
  <w:style w:type="table" w:styleId="GridTable5Dark-Accent1">
    <w:name w:val="Grid Table 5 Dark Accent 1"/>
    <w:basedOn w:val="TableNormal"/>
    <w:uiPriority w:val="50"/>
    <w:rsid w:val="00421219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">
    <w:name w:val="Grid Table 5 Dark"/>
    <w:basedOn w:val="TableNormal"/>
    <w:uiPriority w:val="50"/>
    <w:rsid w:val="004212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moonjcho@jejunu.ac.kr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hyperlink" Target="mailto:tatsu@jejunu.ac.kr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7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Karthika Muthuramalingam</dc:creator>
  <cp:keywords/>
  <dc:description/>
  <cp:lastModifiedBy>Karthika Muthuramalingam</cp:lastModifiedBy>
  <cp:revision>18</cp:revision>
  <dcterms:created xsi:type="dcterms:W3CDTF">2019-04-22T02:37:00Z</dcterms:created>
  <dcterms:modified xsi:type="dcterms:W3CDTF">2019-09-19T07:04:00Z</dcterms:modified>
</cp:coreProperties>
</file>