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580"/>
        <w:gridCol w:w="460"/>
        <w:gridCol w:w="60"/>
        <w:gridCol w:w="960"/>
        <w:gridCol w:w="160"/>
        <w:gridCol w:w="160"/>
        <w:gridCol w:w="140"/>
        <w:gridCol w:w="20"/>
        <w:gridCol w:w="180"/>
        <w:gridCol w:w="180"/>
        <w:gridCol w:w="140"/>
        <w:gridCol w:w="180"/>
        <w:gridCol w:w="160"/>
        <w:gridCol w:w="160"/>
        <w:gridCol w:w="160"/>
        <w:gridCol w:w="180"/>
        <w:gridCol w:w="160"/>
        <w:gridCol w:w="1324"/>
        <w:gridCol w:w="1418"/>
      </w:tblGrid>
      <w:tr w:rsidR="00182172" w:rsidTr="004C57EA">
        <w:trPr>
          <w:trHeight w:val="19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90" w:lineRule="exact"/>
              <w:ind w:left="460"/>
              <w:rPr>
                <w:rFonts w:ascii="Arial" w:eastAsia="Arial" w:hAnsi="Arial"/>
                <w:b/>
                <w:color w:val="17365D"/>
                <w:sz w:val="17"/>
              </w:rPr>
            </w:pPr>
            <w:r>
              <w:rPr>
                <w:rFonts w:ascii="Arial" w:eastAsia="Arial" w:hAnsi="Arial"/>
                <w:b/>
                <w:color w:val="17365D"/>
                <w:sz w:val="17"/>
              </w:rPr>
              <w:t>Model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90" w:lineRule="exact"/>
              <w:jc w:val="center"/>
              <w:rPr>
                <w:rFonts w:ascii="Arial" w:eastAsia="Arial" w:hAnsi="Arial"/>
                <w:b/>
                <w:color w:val="17365D"/>
                <w:sz w:val="17"/>
              </w:rPr>
            </w:pPr>
            <w:r>
              <w:rPr>
                <w:rFonts w:ascii="Arial" w:eastAsia="Arial" w:hAnsi="Arial"/>
                <w:b/>
                <w:color w:val="17365D"/>
                <w:sz w:val="17"/>
              </w:rPr>
              <w:t>Study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90" w:lineRule="exact"/>
              <w:ind w:right="34"/>
              <w:jc w:val="center"/>
              <w:rPr>
                <w:rFonts w:ascii="Arial" w:eastAsia="Arial" w:hAnsi="Arial"/>
                <w:b/>
                <w:color w:val="17365D"/>
                <w:w w:val="99"/>
                <w:sz w:val="17"/>
              </w:rPr>
            </w:pPr>
            <w:r>
              <w:rPr>
                <w:rFonts w:ascii="Arial" w:eastAsia="Arial" w:hAnsi="Arial"/>
                <w:b/>
                <w:color w:val="17365D"/>
                <w:w w:val="99"/>
                <w:sz w:val="17"/>
              </w:rPr>
              <w:t>No. of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gridSpan w:val="1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90" w:lineRule="exact"/>
              <w:ind w:right="114"/>
              <w:jc w:val="center"/>
              <w:rPr>
                <w:rFonts w:ascii="Arial" w:eastAsia="Arial" w:hAnsi="Arial"/>
                <w:b/>
                <w:color w:val="17365D"/>
                <w:sz w:val="17"/>
              </w:rPr>
            </w:pPr>
            <w:r>
              <w:rPr>
                <w:rFonts w:ascii="Arial" w:eastAsia="Arial" w:hAnsi="Arial"/>
                <w:b/>
                <w:color w:val="17365D"/>
                <w:sz w:val="17"/>
              </w:rPr>
              <w:t>Candidate Variable</w:t>
            </w:r>
          </w:p>
        </w:tc>
        <w:tc>
          <w:tcPr>
            <w:tcW w:w="13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90" w:lineRule="exact"/>
              <w:ind w:left="140"/>
              <w:rPr>
                <w:rFonts w:ascii="Arial" w:eastAsia="Arial" w:hAnsi="Arial"/>
                <w:b/>
                <w:color w:val="17365D"/>
                <w:sz w:val="17"/>
              </w:rPr>
            </w:pPr>
            <w:proofErr w:type="spellStart"/>
            <w:r>
              <w:rPr>
                <w:rFonts w:ascii="Arial" w:eastAsia="Arial" w:hAnsi="Arial"/>
                <w:b/>
                <w:color w:val="17365D"/>
                <w:sz w:val="17"/>
              </w:rPr>
              <w:t>Discrim</w:t>
            </w:r>
            <w:proofErr w:type="spellEnd"/>
            <w:r>
              <w:rPr>
                <w:rFonts w:ascii="Arial" w:eastAsia="Arial" w:hAnsi="Arial"/>
                <w:b/>
                <w:color w:val="17365D"/>
                <w:sz w:val="17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4C57EA">
            <w:pPr>
              <w:spacing w:line="190" w:lineRule="exact"/>
              <w:ind w:left="100"/>
              <w:jc w:val="both"/>
              <w:rPr>
                <w:rFonts w:ascii="Arial" w:eastAsia="Arial" w:hAnsi="Arial"/>
                <w:b/>
                <w:color w:val="17365D"/>
                <w:sz w:val="17"/>
              </w:rPr>
            </w:pPr>
            <w:proofErr w:type="spellStart"/>
            <w:r>
              <w:rPr>
                <w:rFonts w:ascii="Arial" w:eastAsia="Arial" w:hAnsi="Arial"/>
                <w:b/>
                <w:color w:val="17365D"/>
                <w:sz w:val="17"/>
              </w:rPr>
              <w:t>Calib</w:t>
            </w:r>
            <w:bookmarkStart w:id="0" w:name="_GoBack"/>
            <w:bookmarkEnd w:id="0"/>
            <w:proofErr w:type="spellEnd"/>
            <w:r>
              <w:rPr>
                <w:rFonts w:ascii="Arial" w:eastAsia="Arial" w:hAnsi="Arial"/>
                <w:b/>
                <w:color w:val="17365D"/>
                <w:sz w:val="17"/>
              </w:rPr>
              <w:t>-</w:t>
            </w:r>
          </w:p>
        </w:tc>
      </w:tr>
      <w:tr w:rsidR="00182172" w:rsidTr="004C57EA">
        <w:trPr>
          <w:trHeight w:val="19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jc w:val="center"/>
              <w:rPr>
                <w:rFonts w:ascii="Arial" w:eastAsia="Arial" w:hAnsi="Arial"/>
                <w:b/>
                <w:color w:val="17365D"/>
                <w:sz w:val="17"/>
              </w:rPr>
            </w:pPr>
            <w:r>
              <w:rPr>
                <w:rFonts w:ascii="Arial" w:eastAsia="Arial" w:hAnsi="Arial"/>
                <w:b/>
                <w:color w:val="17365D"/>
                <w:sz w:val="17"/>
              </w:rPr>
              <w:t>Type &amp;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ind w:right="34"/>
              <w:jc w:val="center"/>
              <w:rPr>
                <w:rFonts w:ascii="Arial" w:eastAsia="Arial" w:hAnsi="Arial"/>
                <w:b/>
                <w:color w:val="17365D"/>
                <w:sz w:val="17"/>
              </w:rPr>
            </w:pPr>
            <w:r>
              <w:rPr>
                <w:rFonts w:ascii="Arial" w:eastAsia="Arial" w:hAnsi="Arial"/>
                <w:b/>
                <w:color w:val="17365D"/>
                <w:sz w:val="17"/>
              </w:rPr>
              <w:t>Candidate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ind w:right="554"/>
              <w:jc w:val="center"/>
              <w:rPr>
                <w:rFonts w:ascii="Arial" w:eastAsia="Arial" w:hAnsi="Arial"/>
                <w:b/>
                <w:color w:val="17365D"/>
                <w:w w:val="94"/>
                <w:sz w:val="17"/>
              </w:rPr>
            </w:pPr>
            <w:r>
              <w:rPr>
                <w:rFonts w:ascii="Arial" w:eastAsia="Arial" w:hAnsi="Arial"/>
                <w:b/>
                <w:color w:val="17365D"/>
                <w:w w:val="94"/>
                <w:sz w:val="17"/>
              </w:rPr>
              <w:t>Domains</w:t>
            </w:r>
          </w:p>
        </w:tc>
        <w:tc>
          <w:tcPr>
            <w:tcW w:w="1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ind w:left="200"/>
              <w:rPr>
                <w:rFonts w:ascii="Arial" w:eastAsia="Arial" w:hAnsi="Arial"/>
                <w:b/>
                <w:color w:val="17365D"/>
                <w:sz w:val="17"/>
              </w:rPr>
            </w:pPr>
            <w:proofErr w:type="spellStart"/>
            <w:r>
              <w:rPr>
                <w:rFonts w:ascii="Arial" w:eastAsia="Arial" w:hAnsi="Arial"/>
                <w:b/>
                <w:color w:val="17365D"/>
                <w:sz w:val="17"/>
              </w:rPr>
              <w:t>ination</w:t>
            </w:r>
            <w:proofErr w:type="spellEnd"/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4C57EA">
            <w:pPr>
              <w:spacing w:line="0" w:lineRule="atLeast"/>
              <w:ind w:left="100"/>
              <w:jc w:val="both"/>
              <w:rPr>
                <w:rFonts w:ascii="Arial" w:eastAsia="Arial" w:hAnsi="Arial"/>
                <w:b/>
                <w:color w:val="17365D"/>
                <w:sz w:val="17"/>
              </w:rPr>
            </w:pPr>
            <w:r>
              <w:rPr>
                <w:rFonts w:ascii="Arial" w:eastAsia="Arial" w:hAnsi="Arial"/>
                <w:b/>
                <w:color w:val="17365D"/>
                <w:sz w:val="17"/>
              </w:rPr>
              <w:t>ration</w:t>
            </w:r>
          </w:p>
        </w:tc>
      </w:tr>
      <w:tr w:rsidR="00182172" w:rsidTr="004C57EA">
        <w:trPr>
          <w:trHeight w:val="19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jc w:val="center"/>
              <w:rPr>
                <w:rFonts w:ascii="Arial" w:eastAsia="Arial" w:hAnsi="Arial"/>
                <w:b/>
                <w:color w:val="17365D"/>
                <w:w w:val="99"/>
                <w:sz w:val="17"/>
              </w:rPr>
            </w:pPr>
            <w:r>
              <w:rPr>
                <w:rFonts w:ascii="Arial" w:eastAsia="Arial" w:hAnsi="Arial"/>
                <w:b/>
                <w:color w:val="17365D"/>
                <w:w w:val="99"/>
                <w:sz w:val="17"/>
              </w:rPr>
              <w:t>No. of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ind w:right="34"/>
              <w:jc w:val="center"/>
              <w:rPr>
                <w:rFonts w:ascii="Arial" w:eastAsia="Arial" w:hAnsi="Arial"/>
                <w:b/>
                <w:color w:val="17365D"/>
                <w:sz w:val="17"/>
              </w:rPr>
            </w:pPr>
            <w:r>
              <w:rPr>
                <w:rFonts w:ascii="Arial" w:eastAsia="Arial" w:hAnsi="Arial"/>
                <w:b/>
                <w:color w:val="17365D"/>
                <w:sz w:val="17"/>
              </w:rPr>
              <w:t>Variables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2172" w:rsidTr="004C57EA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jc w:val="center"/>
              <w:rPr>
                <w:rFonts w:ascii="Arial" w:eastAsia="Arial" w:hAnsi="Arial"/>
                <w:b/>
                <w:color w:val="17365D"/>
                <w:sz w:val="17"/>
              </w:rPr>
            </w:pPr>
            <w:r>
              <w:rPr>
                <w:rFonts w:ascii="Arial" w:eastAsia="Arial" w:hAnsi="Arial"/>
                <w:b/>
                <w:color w:val="17365D"/>
                <w:sz w:val="17"/>
              </w:rPr>
              <w:t>Subjects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82172" w:rsidTr="004C57EA">
        <w:trPr>
          <w:trHeight w:val="18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ind w:left="20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D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jc w:val="center"/>
              <w:rPr>
                <w:rFonts w:ascii="Arial" w:eastAsia="Arial" w:hAnsi="Arial"/>
                <w:b/>
                <w:w w:val="87"/>
                <w:sz w:val="17"/>
              </w:rPr>
            </w:pPr>
            <w:r>
              <w:rPr>
                <w:rFonts w:ascii="Arial" w:eastAsia="Arial" w:hAnsi="Arial"/>
                <w:b/>
                <w:w w:val="87"/>
                <w:sz w:val="17"/>
              </w:rPr>
              <w:t>V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rPr>
                <w:rFonts w:ascii="Arial" w:eastAsia="Arial" w:hAnsi="Arial"/>
                <w:b/>
                <w:w w:val="97"/>
                <w:sz w:val="17"/>
              </w:rPr>
            </w:pPr>
            <w:r>
              <w:rPr>
                <w:rFonts w:ascii="Arial" w:eastAsia="Arial" w:hAnsi="Arial"/>
                <w:b/>
                <w:w w:val="97"/>
                <w:sz w:val="17"/>
              </w:rPr>
              <w:t>D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X</w:t>
            </w:r>
          </w:p>
        </w:tc>
        <w:tc>
          <w:tcPr>
            <w:tcW w:w="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MP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I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rPr>
                <w:rFonts w:ascii="Arial" w:eastAsia="Arial" w:hAnsi="Arial"/>
                <w:b/>
                <w:w w:val="81"/>
                <w:sz w:val="17"/>
              </w:rPr>
            </w:pPr>
            <w:r>
              <w:rPr>
                <w:rFonts w:ascii="Arial" w:eastAsia="Arial" w:hAnsi="Arial"/>
                <w:b/>
                <w:w w:val="81"/>
                <w:sz w:val="17"/>
              </w:rPr>
              <w:t>R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C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L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Y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rPr>
                <w:rFonts w:ascii="Arial" w:eastAsia="Arial" w:hAnsi="Arial"/>
                <w:b/>
                <w:w w:val="97"/>
                <w:sz w:val="17"/>
              </w:rPr>
            </w:pPr>
            <w:r>
              <w:rPr>
                <w:rFonts w:ascii="Arial" w:eastAsia="Arial" w:hAnsi="Arial"/>
                <w:b/>
                <w:w w:val="97"/>
                <w:sz w:val="17"/>
              </w:rPr>
              <w:t>U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S</w:t>
            </w:r>
          </w:p>
        </w:tc>
        <w:tc>
          <w:tcPr>
            <w:tcW w:w="13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82172" w:rsidTr="004C57EA">
        <w:trPr>
          <w:trHeight w:val="18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40"/>
              <w:rPr>
                <w:rFonts w:ascii="Arial" w:eastAsia="Arial" w:hAnsi="Arial"/>
                <w:sz w:val="21"/>
                <w:vertAlign w:val="superscript"/>
              </w:rPr>
            </w:pPr>
            <w:r>
              <w:rPr>
                <w:rFonts w:ascii="Arial" w:eastAsia="Arial" w:hAnsi="Arial"/>
                <w:sz w:val="17"/>
              </w:rPr>
              <w:t>Berman (2011)</w:t>
            </w:r>
            <w:r>
              <w:rPr>
                <w:rFonts w:ascii="Arial" w:eastAsia="Arial" w:hAnsi="Arial"/>
                <w:sz w:val="21"/>
                <w:vertAlign w:val="superscript"/>
              </w:rPr>
              <w:t>33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447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jc w:val="center"/>
              <w:rPr>
                <w:rFonts w:ascii="Arial" w:eastAsia="Arial" w:hAnsi="Arial"/>
                <w:w w:val="99"/>
                <w:sz w:val="21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17"/>
              </w:rPr>
              <w:t>836</w:t>
            </w:r>
            <w:r>
              <w:rPr>
                <w:rFonts w:ascii="Arial" w:eastAsia="Arial" w:hAnsi="Arial"/>
                <w:w w:val="99"/>
                <w:sz w:val="21"/>
                <w:vertAlign w:val="superscript"/>
              </w:rPr>
              <w:t>¥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~ 27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20"/>
              <w:rPr>
                <w:rFonts w:ascii="Arial" w:eastAsia="Arial" w:hAnsi="Arial"/>
                <w:sz w:val="21"/>
                <w:vertAlign w:val="superscript"/>
              </w:rPr>
            </w:pPr>
            <w:r>
              <w:rPr>
                <w:rFonts w:ascii="Arial" w:eastAsia="Arial" w:hAnsi="Arial"/>
                <w:sz w:val="17"/>
              </w:rPr>
              <w:t>C=0.57</w:t>
            </w:r>
            <w:r>
              <w:rPr>
                <w:rFonts w:ascii="Arial" w:eastAsia="Arial" w:hAnsi="Arial"/>
                <w:sz w:val="21"/>
                <w:vertAlign w:val="superscript"/>
              </w:rPr>
              <w:t>¥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n/a</w:t>
            </w:r>
          </w:p>
        </w:tc>
      </w:tr>
      <w:tr w:rsidR="00182172" w:rsidTr="004C57EA">
        <w:trPr>
          <w:trHeight w:val="18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40"/>
              <w:rPr>
                <w:rFonts w:ascii="Arial" w:eastAsia="Arial" w:hAnsi="Arial"/>
                <w:sz w:val="21"/>
                <w:vertAlign w:val="superscript"/>
              </w:rPr>
            </w:pPr>
            <w:r>
              <w:rPr>
                <w:rFonts w:ascii="Arial" w:eastAsia="Arial" w:hAnsi="Arial"/>
                <w:sz w:val="17"/>
              </w:rPr>
              <w:t>Bajaj (2016)</w:t>
            </w:r>
            <w:r>
              <w:rPr>
                <w:rFonts w:ascii="Arial" w:eastAsia="Arial" w:hAnsi="Arial"/>
                <w:sz w:val="21"/>
                <w:vertAlign w:val="superscript"/>
              </w:rPr>
              <w:t>35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1343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~ 25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C=0.64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n/a</w:t>
            </w:r>
          </w:p>
        </w:tc>
      </w:tr>
      <w:tr w:rsidR="00182172" w:rsidTr="004C57EA">
        <w:trPr>
          <w:trHeight w:val="18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ind w:left="40"/>
              <w:rPr>
                <w:rFonts w:ascii="Arial" w:eastAsia="Arial" w:hAnsi="Arial"/>
                <w:sz w:val="21"/>
                <w:vertAlign w:val="superscript"/>
              </w:rPr>
            </w:pPr>
            <w:r>
              <w:rPr>
                <w:rFonts w:ascii="Arial" w:eastAsia="Arial" w:hAnsi="Arial"/>
                <w:sz w:val="17"/>
              </w:rPr>
              <w:t>Morales (2017)</w:t>
            </w:r>
            <w:r>
              <w:rPr>
                <w:rFonts w:ascii="Arial" w:eastAsia="Arial" w:hAnsi="Arial"/>
                <w:sz w:val="21"/>
                <w:vertAlign w:val="superscript"/>
              </w:rPr>
              <w:t>13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112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ind w:left="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~ 34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C=0.76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HL ns</w:t>
            </w:r>
          </w:p>
        </w:tc>
      </w:tr>
      <w:tr w:rsidR="00182172" w:rsidTr="004C57EA">
        <w:trPr>
          <w:trHeight w:val="18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40"/>
              <w:rPr>
                <w:rFonts w:ascii="Arial" w:eastAsia="Arial" w:hAnsi="Arial"/>
                <w:sz w:val="21"/>
                <w:vertAlign w:val="superscript"/>
              </w:rPr>
            </w:pPr>
            <w:proofErr w:type="spellStart"/>
            <w:r>
              <w:rPr>
                <w:rFonts w:ascii="Arial" w:eastAsia="Arial" w:hAnsi="Arial"/>
                <w:sz w:val="17"/>
              </w:rPr>
              <w:t>Singal</w:t>
            </w:r>
            <w:proofErr w:type="spellEnd"/>
            <w:r>
              <w:rPr>
                <w:rFonts w:ascii="Arial" w:eastAsia="Arial" w:hAnsi="Arial"/>
                <w:sz w:val="17"/>
              </w:rPr>
              <w:t xml:space="preserve"> (2013)</w:t>
            </w:r>
            <w:r>
              <w:rPr>
                <w:rFonts w:ascii="Arial" w:eastAsia="Arial" w:hAnsi="Arial"/>
                <w:sz w:val="21"/>
                <w:vertAlign w:val="superscript"/>
              </w:rPr>
              <w:t>34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629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jc w:val="center"/>
              <w:rPr>
                <w:rFonts w:ascii="Arial" w:eastAsia="Arial" w:hAnsi="Arial"/>
                <w:w w:val="98"/>
                <w:sz w:val="21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17"/>
              </w:rPr>
              <w:t>209</w:t>
            </w:r>
            <w:r>
              <w:rPr>
                <w:rFonts w:ascii="Arial" w:eastAsia="Arial" w:hAnsi="Arial"/>
                <w:w w:val="98"/>
                <w:sz w:val="21"/>
                <w:vertAlign w:val="superscript"/>
              </w:rPr>
              <w:t>β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~ 30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C=0.66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HL ns</w:t>
            </w:r>
          </w:p>
        </w:tc>
      </w:tr>
      <w:tr w:rsidR="00182172" w:rsidTr="004C57EA">
        <w:trPr>
          <w:trHeight w:val="18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40"/>
              <w:rPr>
                <w:rFonts w:ascii="Arial" w:eastAsia="Arial" w:hAnsi="Arial"/>
                <w:sz w:val="21"/>
                <w:vertAlign w:val="superscript"/>
              </w:rPr>
            </w:pPr>
            <w:r>
              <w:rPr>
                <w:rFonts w:ascii="Arial" w:eastAsia="Arial" w:hAnsi="Arial"/>
                <w:sz w:val="17"/>
              </w:rPr>
              <w:t>Tapper (2015)</w:t>
            </w:r>
            <w:r>
              <w:rPr>
                <w:rFonts w:ascii="Arial" w:eastAsia="Arial" w:hAnsi="Arial"/>
                <w:sz w:val="21"/>
                <w:vertAlign w:val="superscript"/>
              </w:rPr>
              <w:t>37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489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jc w:val="center"/>
              <w:rPr>
                <w:rFonts w:ascii="Arial" w:eastAsia="Arial" w:hAnsi="Arial"/>
                <w:w w:val="98"/>
                <w:sz w:val="21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17"/>
              </w:rPr>
              <w:t>245</w:t>
            </w:r>
            <w:r>
              <w:rPr>
                <w:rFonts w:ascii="Arial" w:eastAsia="Arial" w:hAnsi="Arial"/>
                <w:w w:val="98"/>
                <w:sz w:val="21"/>
                <w:vertAlign w:val="superscript"/>
              </w:rPr>
              <w:t>β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~ 22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AUC=0.69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n/a</w:t>
            </w:r>
          </w:p>
        </w:tc>
      </w:tr>
      <w:tr w:rsidR="00182172" w:rsidTr="004C57EA">
        <w:trPr>
          <w:trHeight w:val="18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ind w:left="40"/>
              <w:rPr>
                <w:rFonts w:ascii="Arial" w:eastAsia="Arial" w:hAnsi="Arial"/>
                <w:sz w:val="21"/>
                <w:vertAlign w:val="superscript"/>
              </w:rPr>
            </w:pPr>
            <w:r>
              <w:rPr>
                <w:rFonts w:ascii="Arial" w:eastAsia="Arial" w:hAnsi="Arial"/>
                <w:sz w:val="17"/>
              </w:rPr>
              <w:t>Volk (2012)</w:t>
            </w:r>
            <w:r>
              <w:rPr>
                <w:rFonts w:ascii="Arial" w:eastAsia="Arial" w:hAnsi="Arial"/>
                <w:sz w:val="21"/>
                <w:vertAlign w:val="superscript"/>
              </w:rPr>
              <w:t>36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402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ind w:left="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~ 22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C=0.65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n/a</w:t>
            </w:r>
          </w:p>
        </w:tc>
      </w:tr>
      <w:tr w:rsidR="00182172" w:rsidTr="004C57EA">
        <w:trPr>
          <w:trHeight w:val="18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82172" w:rsidRDefault="004C57EA" w:rsidP="00D3513C">
            <w:pPr>
              <w:spacing w:line="186" w:lineRule="exact"/>
              <w:ind w:left="40"/>
              <w:rPr>
                <w:rFonts w:ascii="Arial" w:eastAsia="Arial" w:hAnsi="Arial"/>
                <w:sz w:val="17"/>
              </w:rPr>
            </w:pPr>
            <w:proofErr w:type="spellStart"/>
            <w:r w:rsidRPr="004C57EA">
              <w:rPr>
                <w:rFonts w:ascii="Times New Roman" w:eastAsia="Times New Roman" w:hAnsi="Times New Roman"/>
                <w:sz w:val="24"/>
                <w:szCs w:val="24"/>
              </w:rPr>
              <w:t>Koola</w:t>
            </w:r>
            <w:proofErr w:type="spellEnd"/>
            <w:r w:rsidRPr="004C57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17"/>
              </w:rPr>
              <w:t>(2020)</w:t>
            </w:r>
            <w:r w:rsidRPr="004C57EA">
              <w:rPr>
                <w:rFonts w:ascii="Arial" w:eastAsia="Arial" w:hAnsi="Arial"/>
                <w:sz w:val="17"/>
                <w:vertAlign w:val="superscript"/>
              </w:rPr>
              <w:t>22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182172" w:rsidRDefault="00182172" w:rsidP="00D3513C">
            <w:pPr>
              <w:spacing w:line="186" w:lineRule="exact"/>
              <w:ind w:left="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67,749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82172" w:rsidRDefault="00182172" w:rsidP="00D3513C">
            <w:pPr>
              <w:spacing w:line="186" w:lineRule="exac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208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72" w:rsidRDefault="00182172" w:rsidP="00D351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182172" w:rsidRPr="00182172" w:rsidRDefault="00182172" w:rsidP="003C58AA">
      <w:pPr>
        <w:spacing w:line="360" w:lineRule="auto"/>
        <w:ind w:right="80"/>
        <w:jc w:val="both"/>
        <w:rPr>
          <w:rFonts w:ascii="Times New Roman" w:eastAsia="Times New Roman" w:hAnsi="Times New Roman"/>
          <w:sz w:val="24"/>
          <w:szCs w:val="24"/>
        </w:rPr>
      </w:pPr>
      <w:r w:rsidRPr="00182172">
        <w:rPr>
          <w:rFonts w:ascii="Times New Roman" w:eastAsia="Times New Roman" w:hAnsi="Times New Roman"/>
          <w:sz w:val="24"/>
          <w:szCs w:val="24"/>
        </w:rPr>
        <w:t xml:space="preserve">Study type = validation (V) and development (D). </w:t>
      </w:r>
      <w:r w:rsidR="003C58AA">
        <w:rPr>
          <w:rFonts w:ascii="Times New Roman" w:eastAsia="Times New Roman" w:hAnsi="Times New Roman"/>
          <w:sz w:val="24"/>
          <w:szCs w:val="24"/>
        </w:rPr>
        <w:t>when</w:t>
      </w:r>
      <w:r w:rsidRPr="00182172">
        <w:rPr>
          <w:rFonts w:ascii="Times New Roman" w:eastAsia="Times New Roman" w:hAnsi="Times New Roman"/>
          <w:sz w:val="24"/>
          <w:szCs w:val="24"/>
        </w:rPr>
        <w:t xml:space="preserve"> a study </w:t>
      </w:r>
      <w:r w:rsidR="003C58AA" w:rsidRPr="00182172">
        <w:rPr>
          <w:rFonts w:ascii="Times New Roman" w:eastAsia="Times New Roman" w:hAnsi="Times New Roman"/>
          <w:sz w:val="24"/>
          <w:szCs w:val="24"/>
        </w:rPr>
        <w:t>evaluated</w:t>
      </w:r>
      <w:r w:rsidRPr="00182172">
        <w:rPr>
          <w:rFonts w:ascii="Times New Roman" w:eastAsia="Times New Roman" w:hAnsi="Times New Roman"/>
          <w:sz w:val="24"/>
          <w:szCs w:val="24"/>
        </w:rPr>
        <w:t xml:space="preserve"> performance in a </w:t>
      </w:r>
      <w:r w:rsidR="003C58AA" w:rsidRPr="00182172">
        <w:rPr>
          <w:rFonts w:ascii="Times New Roman" w:eastAsia="Times New Roman" w:hAnsi="Times New Roman"/>
          <w:sz w:val="24"/>
          <w:szCs w:val="24"/>
        </w:rPr>
        <w:t>dispersed</w:t>
      </w:r>
      <w:r w:rsidRPr="00182172">
        <w:rPr>
          <w:rFonts w:ascii="Times New Roman" w:eastAsia="Times New Roman" w:hAnsi="Times New Roman"/>
          <w:sz w:val="24"/>
          <w:szCs w:val="24"/>
        </w:rPr>
        <w:t xml:space="preserve"> validation coho</w:t>
      </w:r>
      <w:r>
        <w:rPr>
          <w:rFonts w:ascii="Times New Roman" w:eastAsia="Times New Roman" w:hAnsi="Times New Roman"/>
          <w:sz w:val="24"/>
          <w:szCs w:val="24"/>
        </w:rPr>
        <w:t>rt, the perfor</w:t>
      </w:r>
      <w:r w:rsidRPr="00182172">
        <w:rPr>
          <w:rFonts w:ascii="Times New Roman" w:eastAsia="Times New Roman" w:hAnsi="Times New Roman"/>
          <w:sz w:val="24"/>
          <w:szCs w:val="24"/>
        </w:rPr>
        <w:t xml:space="preserve">mance </w:t>
      </w:r>
      <w:r w:rsidR="003C58AA">
        <w:rPr>
          <w:rFonts w:ascii="Times New Roman" w:eastAsia="Times New Roman" w:hAnsi="Times New Roman"/>
          <w:sz w:val="24"/>
          <w:szCs w:val="24"/>
        </w:rPr>
        <w:t xml:space="preserve">is stated </w:t>
      </w:r>
      <w:r w:rsidRPr="00182172">
        <w:rPr>
          <w:rFonts w:ascii="Times New Roman" w:eastAsia="Times New Roman" w:hAnsi="Times New Roman"/>
          <w:sz w:val="24"/>
          <w:szCs w:val="24"/>
        </w:rPr>
        <w:t xml:space="preserve">in the validation cohort. The number of candidate variables had to be </w:t>
      </w:r>
      <w:r w:rsidR="003C58AA" w:rsidRPr="00182172">
        <w:rPr>
          <w:rFonts w:ascii="Times New Roman" w:eastAsia="Times New Roman" w:hAnsi="Times New Roman"/>
          <w:sz w:val="24"/>
          <w:szCs w:val="24"/>
        </w:rPr>
        <w:t>concluded</w:t>
      </w:r>
      <w:r w:rsidRPr="001821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8AA">
        <w:rPr>
          <w:rFonts w:ascii="Times New Roman" w:eastAsia="Times New Roman" w:hAnsi="Times New Roman"/>
          <w:i/>
          <w:iCs/>
          <w:sz w:val="24"/>
          <w:szCs w:val="24"/>
        </w:rPr>
        <w:t>based on</w:t>
      </w:r>
      <w:r w:rsidRPr="00182172">
        <w:rPr>
          <w:rFonts w:ascii="Times New Roman" w:eastAsia="Times New Roman" w:hAnsi="Times New Roman"/>
          <w:sz w:val="24"/>
          <w:szCs w:val="24"/>
        </w:rPr>
        <w:t xml:space="preserve"> the written methods and the cohort summary table as this number was not explicitly reported. Model discrimination reported as either C-statistic or area under the curve (AUC), which can be considered equivalent. Risk variable domains coding: D: demographics; X: medical/surgical </w:t>
      </w:r>
      <w:proofErr w:type="spellStart"/>
      <w:r w:rsidRPr="00182172">
        <w:rPr>
          <w:rFonts w:ascii="Times New Roman" w:eastAsia="Times New Roman" w:hAnsi="Times New Roman"/>
          <w:sz w:val="24"/>
          <w:szCs w:val="24"/>
        </w:rPr>
        <w:t>Hx</w:t>
      </w:r>
      <w:proofErr w:type="spellEnd"/>
      <w:r w:rsidRPr="00182172">
        <w:rPr>
          <w:rFonts w:ascii="Times New Roman" w:eastAsia="Times New Roman" w:hAnsi="Times New Roman"/>
          <w:sz w:val="24"/>
          <w:szCs w:val="24"/>
        </w:rPr>
        <w:t>; M: meds; P: inpatient procedures; I: physical impairment; R: risk scores; C: cirrhosis-related complications; L: laboratories; Y: psychosocial; U: healthcare utilization; T: transplant status; S: discharge disposition</w:t>
      </w:r>
    </w:p>
    <w:p w:rsidR="00182172" w:rsidRPr="00182172" w:rsidRDefault="00182172" w:rsidP="0018217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82172">
        <w:rPr>
          <w:rFonts w:ascii="Times New Roman" w:eastAsia="Times New Roman" w:hAnsi="Times New Roman"/>
          <w:sz w:val="24"/>
          <w:szCs w:val="24"/>
          <w:vertAlign w:val="superscript"/>
        </w:rPr>
        <w:t>a</w:t>
      </w:r>
      <w:r w:rsidRPr="00182172">
        <w:rPr>
          <w:rFonts w:ascii="Times New Roman" w:eastAsia="Times New Roman" w:hAnsi="Times New Roman"/>
          <w:sz w:val="24"/>
          <w:szCs w:val="24"/>
        </w:rPr>
        <w:t>Validation</w:t>
      </w:r>
      <w:proofErr w:type="spellEnd"/>
      <w:r w:rsidRPr="00182172">
        <w:rPr>
          <w:rFonts w:ascii="Times New Roman" w:eastAsia="Times New Roman" w:hAnsi="Times New Roman"/>
          <w:sz w:val="24"/>
          <w:szCs w:val="24"/>
        </w:rPr>
        <w:t xml:space="preserve"> performed in separate study (</w:t>
      </w:r>
      <w:proofErr w:type="spellStart"/>
      <w:r w:rsidRPr="00182172">
        <w:rPr>
          <w:rFonts w:ascii="Times New Roman" w:eastAsia="Times New Roman" w:hAnsi="Times New Roman"/>
          <w:sz w:val="24"/>
          <w:szCs w:val="24"/>
        </w:rPr>
        <w:t>Singal</w:t>
      </w:r>
      <w:proofErr w:type="spellEnd"/>
      <w:r w:rsidRPr="00182172">
        <w:rPr>
          <w:rFonts w:ascii="Times New Roman" w:eastAsia="Times New Roman" w:hAnsi="Times New Roman"/>
          <w:sz w:val="24"/>
          <w:szCs w:val="24"/>
        </w:rPr>
        <w:t>) [</w:t>
      </w:r>
      <w:r>
        <w:rPr>
          <w:rFonts w:ascii="Times New Roman" w:eastAsia="Times New Roman" w:hAnsi="Times New Roman"/>
          <w:color w:val="0000FF"/>
          <w:sz w:val="24"/>
          <w:szCs w:val="24"/>
        </w:rPr>
        <w:t>18</w:t>
      </w:r>
      <w:r w:rsidRPr="00182172">
        <w:rPr>
          <w:rFonts w:ascii="Times New Roman" w:eastAsia="Times New Roman" w:hAnsi="Times New Roman"/>
          <w:sz w:val="24"/>
          <w:szCs w:val="24"/>
        </w:rPr>
        <w:t xml:space="preserve">]; β: validation cohorts were </w:t>
      </w:r>
      <w:r w:rsidR="009C2A11" w:rsidRPr="00182172">
        <w:rPr>
          <w:rFonts w:ascii="Times New Roman" w:eastAsia="Times New Roman" w:hAnsi="Times New Roman"/>
          <w:sz w:val="24"/>
          <w:szCs w:val="24"/>
        </w:rPr>
        <w:t>made</w:t>
      </w:r>
      <w:r w:rsidRPr="00182172">
        <w:rPr>
          <w:rFonts w:ascii="Times New Roman" w:eastAsia="Times New Roman" w:hAnsi="Times New Roman"/>
          <w:sz w:val="24"/>
          <w:szCs w:val="24"/>
        </w:rPr>
        <w:t xml:space="preserve"> by random train–test split of the original cohort; HL: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2172">
        <w:rPr>
          <w:rFonts w:ascii="Times New Roman" w:eastAsia="Times New Roman" w:hAnsi="Times New Roman"/>
          <w:sz w:val="24"/>
          <w:szCs w:val="24"/>
        </w:rPr>
        <w:t>Hosmer</w:t>
      </w:r>
      <w:proofErr w:type="spellEnd"/>
      <w:r w:rsidRPr="00182172">
        <w:rPr>
          <w:rFonts w:ascii="Times New Roman" w:eastAsia="Times New Roman" w:hAnsi="Times New Roman"/>
          <w:sz w:val="24"/>
          <w:szCs w:val="24"/>
        </w:rPr>
        <w:t>–</w:t>
      </w:r>
      <w:proofErr w:type="spellStart"/>
      <w:r w:rsidRPr="00182172">
        <w:rPr>
          <w:rFonts w:ascii="Times New Roman" w:eastAsia="Times New Roman" w:hAnsi="Times New Roman"/>
          <w:sz w:val="24"/>
          <w:szCs w:val="24"/>
        </w:rPr>
        <w:t>Lemeshow</w:t>
      </w:r>
      <w:proofErr w:type="spellEnd"/>
      <w:r w:rsidRPr="00182172">
        <w:rPr>
          <w:rFonts w:ascii="Times New Roman" w:eastAsia="Times New Roman" w:hAnsi="Times New Roman"/>
          <w:sz w:val="24"/>
          <w:szCs w:val="24"/>
        </w:rPr>
        <w:t xml:space="preserve"> test for goodness of fit</w:t>
      </w:r>
    </w:p>
    <w:p w:rsidR="00583E05" w:rsidRPr="00182172" w:rsidRDefault="00583E05" w:rsidP="00182172">
      <w:pPr>
        <w:spacing w:line="360" w:lineRule="auto"/>
        <w:rPr>
          <w:sz w:val="24"/>
          <w:szCs w:val="24"/>
          <w:lang w:bidi="ar-EG"/>
        </w:rPr>
      </w:pPr>
    </w:p>
    <w:sectPr w:rsidR="00583E05" w:rsidRPr="00182172" w:rsidSect="00DB19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72"/>
    <w:rsid w:val="000841D2"/>
    <w:rsid w:val="00182172"/>
    <w:rsid w:val="003C58AA"/>
    <w:rsid w:val="004C57EA"/>
    <w:rsid w:val="00583E05"/>
    <w:rsid w:val="009C2A11"/>
    <w:rsid w:val="00D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</dc:creator>
  <cp:lastModifiedBy>rehab</cp:lastModifiedBy>
  <cp:revision>5</cp:revision>
  <dcterms:created xsi:type="dcterms:W3CDTF">2023-02-20T10:22:00Z</dcterms:created>
  <dcterms:modified xsi:type="dcterms:W3CDTF">2023-02-21T09:54:00Z</dcterms:modified>
</cp:coreProperties>
</file>