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641AF" w14:textId="13578F69" w:rsidR="00CA381B" w:rsidRDefault="00153C92" w:rsidP="00970502">
      <w:pPr>
        <w:jc w:val="left"/>
        <w:rPr>
          <w:rFonts w:ascii="Arial" w:hAnsi="Arial" w:cs="Arial"/>
          <w:sz w:val="2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22"/>
        </w:rPr>
        <w:t xml:space="preserve">Additional file </w:t>
      </w:r>
      <w:r w:rsidR="008301BC">
        <w:rPr>
          <w:rFonts w:ascii="Arial" w:hAnsi="Arial" w:cs="Arial"/>
          <w:b/>
          <w:color w:val="000000" w:themeColor="text1"/>
          <w:sz w:val="22"/>
        </w:rPr>
        <w:t>1</w:t>
      </w:r>
      <w:r>
        <w:rPr>
          <w:rFonts w:ascii="Arial" w:hAnsi="Arial" w:cs="Arial"/>
          <w:b/>
          <w:color w:val="000000" w:themeColor="text1"/>
          <w:sz w:val="22"/>
        </w:rPr>
        <w:t xml:space="preserve">: </w:t>
      </w:r>
      <w:r w:rsidR="00EA081D">
        <w:rPr>
          <w:rFonts w:ascii="Arial" w:hAnsi="Arial" w:cs="Arial"/>
          <w:b/>
          <w:color w:val="000000" w:themeColor="text1"/>
          <w:sz w:val="22"/>
        </w:rPr>
        <w:t xml:space="preserve">Table </w:t>
      </w:r>
      <w:r>
        <w:rPr>
          <w:rFonts w:ascii="Arial" w:hAnsi="Arial" w:cs="Arial"/>
          <w:b/>
          <w:color w:val="000000" w:themeColor="text1"/>
          <w:sz w:val="22"/>
        </w:rPr>
        <w:t>S</w:t>
      </w:r>
      <w:r w:rsidR="00EA081D">
        <w:rPr>
          <w:rFonts w:ascii="Arial" w:hAnsi="Arial" w:cs="Arial"/>
          <w:b/>
          <w:color w:val="000000" w:themeColor="text1"/>
          <w:sz w:val="22"/>
        </w:rPr>
        <w:t>1</w:t>
      </w:r>
      <w:r w:rsidR="00CA381B">
        <w:rPr>
          <w:rFonts w:ascii="Arial" w:hAnsi="Arial" w:cs="Arial" w:hint="eastAsia"/>
          <w:sz w:val="22"/>
        </w:rPr>
        <w:t xml:space="preserve"> Eligibility criteria for the </w:t>
      </w:r>
      <w:r w:rsidR="00CA381B">
        <w:rPr>
          <w:rFonts w:ascii="Arial" w:hAnsi="Arial" w:cs="Arial"/>
          <w:sz w:val="22"/>
        </w:rPr>
        <w:t>DIANA</w:t>
      </w:r>
      <w:r w:rsidR="00CA381B">
        <w:rPr>
          <w:rFonts w:ascii="Arial" w:hAnsi="Arial" w:cs="Arial" w:hint="eastAsia"/>
          <w:sz w:val="22"/>
        </w:rPr>
        <w:t xml:space="preserve"> </w:t>
      </w:r>
      <w:r w:rsidR="00CA381B">
        <w:rPr>
          <w:rFonts w:ascii="Arial" w:hAnsi="Arial" w:cs="Arial"/>
          <w:sz w:val="22"/>
        </w:rPr>
        <w:t>study</w:t>
      </w:r>
    </w:p>
    <w:p w14:paraId="5622AD91" w14:textId="77777777" w:rsidR="00CA381B" w:rsidRDefault="00CA381B" w:rsidP="00970502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589"/>
        <w:gridCol w:w="6589"/>
      </w:tblGrid>
      <w:tr w:rsidR="00CA381B" w14:paraId="00B795F8" w14:textId="77777777" w:rsidTr="00BD4EE6">
        <w:tc>
          <w:tcPr>
            <w:tcW w:w="6589" w:type="dxa"/>
            <w:shd w:val="clear" w:color="auto" w:fill="D0CECE" w:themeFill="background2" w:themeFillShade="E6"/>
          </w:tcPr>
          <w:p w14:paraId="0B696919" w14:textId="77777777" w:rsidR="00CA381B" w:rsidRPr="00950570" w:rsidRDefault="00CA381B" w:rsidP="00970502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950570">
              <w:rPr>
                <w:rFonts w:ascii="Arial" w:hAnsi="Arial" w:cs="Arial" w:hint="eastAsia"/>
                <w:b/>
                <w:sz w:val="22"/>
              </w:rPr>
              <w:t>Inclusion</w:t>
            </w:r>
          </w:p>
        </w:tc>
        <w:tc>
          <w:tcPr>
            <w:tcW w:w="6589" w:type="dxa"/>
            <w:shd w:val="clear" w:color="auto" w:fill="D0CECE" w:themeFill="background2" w:themeFillShade="E6"/>
          </w:tcPr>
          <w:p w14:paraId="65F19A41" w14:textId="77777777" w:rsidR="00CA381B" w:rsidRPr="00950570" w:rsidRDefault="00CA381B" w:rsidP="00970502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950570">
              <w:rPr>
                <w:rFonts w:ascii="Arial" w:hAnsi="Arial" w:cs="Arial" w:hint="eastAsia"/>
                <w:b/>
                <w:sz w:val="22"/>
              </w:rPr>
              <w:t>Exclusion</w:t>
            </w:r>
          </w:p>
        </w:tc>
      </w:tr>
      <w:tr w:rsidR="00CA381B" w14:paraId="0A014712" w14:textId="77777777" w:rsidTr="00BD4EE6">
        <w:tc>
          <w:tcPr>
            <w:tcW w:w="6589" w:type="dxa"/>
          </w:tcPr>
          <w:p w14:paraId="530C9F82" w14:textId="6CB619F2" w:rsidR="00970502" w:rsidRPr="00970502" w:rsidRDefault="00970502" w:rsidP="00970502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22"/>
              </w:rPr>
            </w:pPr>
            <w:r w:rsidRPr="00970502">
              <w:rPr>
                <w:rFonts w:ascii="Arial" w:hAnsi="Arial" w:cs="Arial"/>
                <w:sz w:val="22"/>
              </w:rPr>
              <w:t xml:space="preserve">Patients aged </w:t>
            </w:r>
            <w:r w:rsidR="001B7968">
              <w:rPr>
                <w:rFonts w:ascii="Arial" w:hAnsi="Arial" w:cs="Arial"/>
                <w:sz w:val="22"/>
              </w:rPr>
              <w:t>≥</w:t>
            </w:r>
            <w:r w:rsidRPr="00970502">
              <w:rPr>
                <w:rFonts w:ascii="Arial" w:hAnsi="Arial" w:cs="Arial"/>
                <w:sz w:val="22"/>
              </w:rPr>
              <w:t>20 years at the time when consent was</w:t>
            </w:r>
            <w:r w:rsidR="00570CBE">
              <w:rPr>
                <w:rFonts w:ascii="Arial" w:hAnsi="Arial" w:cs="Arial"/>
                <w:sz w:val="22"/>
              </w:rPr>
              <w:t xml:space="preserve"> </w:t>
            </w:r>
            <w:r w:rsidRPr="00970502">
              <w:rPr>
                <w:rFonts w:ascii="Arial" w:hAnsi="Arial" w:cs="Arial"/>
                <w:sz w:val="22"/>
              </w:rPr>
              <w:t xml:space="preserve">obtained (regardless of </w:t>
            </w:r>
            <w:r w:rsidR="00D73671">
              <w:rPr>
                <w:rFonts w:ascii="Arial" w:hAnsi="Arial" w:cs="Arial"/>
                <w:sz w:val="22"/>
              </w:rPr>
              <w:t>sex</w:t>
            </w:r>
            <w:r w:rsidRPr="00970502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265021A9" w14:textId="506058E7" w:rsidR="00970502" w:rsidRPr="00970502" w:rsidRDefault="00970502" w:rsidP="00970502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22"/>
              </w:rPr>
            </w:pPr>
            <w:r w:rsidRPr="00970502">
              <w:rPr>
                <w:rFonts w:ascii="Arial" w:hAnsi="Arial" w:cs="Arial"/>
                <w:sz w:val="22"/>
              </w:rPr>
              <w:t xml:space="preserve">Patients with hyperuricemia and a serum uric acid level of </w:t>
            </w:r>
            <w:r w:rsidR="007B4CC2">
              <w:rPr>
                <w:rFonts w:ascii="Arial" w:hAnsi="Arial" w:cs="Arial"/>
                <w:sz w:val="22"/>
              </w:rPr>
              <w:t>&gt;</w:t>
            </w:r>
            <w:r w:rsidRPr="00970502">
              <w:rPr>
                <w:rFonts w:ascii="Arial" w:hAnsi="Arial" w:cs="Arial"/>
                <w:sz w:val="22"/>
              </w:rPr>
              <w:t>7.0 mg/dL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6B28054B" w14:textId="3174A4B4" w:rsidR="00970502" w:rsidRPr="00970502" w:rsidRDefault="00970502" w:rsidP="00970502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22"/>
              </w:rPr>
            </w:pPr>
            <w:r w:rsidRPr="00970502">
              <w:rPr>
                <w:rFonts w:ascii="Arial" w:hAnsi="Arial" w:cs="Arial"/>
                <w:sz w:val="22"/>
              </w:rPr>
              <w:t xml:space="preserve">Patients with hypertension, who meet the </w:t>
            </w:r>
            <w:r>
              <w:rPr>
                <w:rFonts w:ascii="Arial" w:hAnsi="Arial" w:cs="Arial"/>
                <w:sz w:val="22"/>
              </w:rPr>
              <w:t>diagnos</w:t>
            </w:r>
            <w:r w:rsidR="003D77A6">
              <w:rPr>
                <w:rFonts w:ascii="Arial" w:hAnsi="Arial" w:cs="Arial"/>
                <w:sz w:val="22"/>
              </w:rPr>
              <w:t xml:space="preserve">tic </w:t>
            </w:r>
            <w:r>
              <w:rPr>
                <w:rFonts w:ascii="Arial" w:hAnsi="Arial" w:cs="Arial"/>
                <w:sz w:val="22"/>
              </w:rPr>
              <w:t xml:space="preserve">criteria based on the guidelines* for the management of hypertension </w:t>
            </w:r>
            <w:r w:rsidRPr="00970502">
              <w:rPr>
                <w:rFonts w:ascii="Arial" w:hAnsi="Arial" w:cs="Arial"/>
                <w:sz w:val="22"/>
              </w:rPr>
              <w:t>2019</w:t>
            </w:r>
            <w:r>
              <w:rPr>
                <w:rFonts w:ascii="Arial" w:hAnsi="Arial" w:cs="Arial"/>
                <w:sz w:val="22"/>
              </w:rPr>
              <w:t xml:space="preserve"> by the Japanese Society of Hypertension</w:t>
            </w:r>
            <w:r w:rsidRPr="00970502">
              <w:rPr>
                <w:rFonts w:ascii="Arial" w:hAnsi="Arial" w:cs="Arial"/>
                <w:sz w:val="22"/>
              </w:rPr>
              <w:t xml:space="preserve">, without change in the pharmacological and/or non-pharmacological treatment for hypertension within 4 weeks </w:t>
            </w:r>
            <w:r w:rsidR="00A96C3C">
              <w:rPr>
                <w:rFonts w:ascii="Arial" w:hAnsi="Arial" w:cs="Arial"/>
                <w:sz w:val="22"/>
              </w:rPr>
              <w:t xml:space="preserve">before </w:t>
            </w:r>
            <w:r w:rsidRPr="00970502">
              <w:rPr>
                <w:rFonts w:ascii="Arial" w:hAnsi="Arial" w:cs="Arial"/>
                <w:sz w:val="22"/>
              </w:rPr>
              <w:t>eligibility assessment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60B11CCA" w14:textId="55107221" w:rsidR="00CA381B" w:rsidRPr="00950570" w:rsidRDefault="00970502" w:rsidP="00A96C3C">
            <w:pPr>
              <w:pStyle w:val="ListParagraph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22"/>
              </w:rPr>
            </w:pPr>
            <w:r w:rsidRPr="00970502">
              <w:rPr>
                <w:rFonts w:ascii="Arial" w:hAnsi="Arial" w:cs="Arial"/>
                <w:sz w:val="22"/>
              </w:rPr>
              <w:t>Patients who provided written consent to participate in th</w:t>
            </w:r>
            <w:r>
              <w:rPr>
                <w:rFonts w:ascii="Arial" w:hAnsi="Arial" w:cs="Arial"/>
                <w:sz w:val="22"/>
              </w:rPr>
              <w:t>e study.</w:t>
            </w:r>
          </w:p>
        </w:tc>
        <w:tc>
          <w:tcPr>
            <w:tcW w:w="6589" w:type="dxa"/>
          </w:tcPr>
          <w:p w14:paraId="637CE01B" w14:textId="01509CC9" w:rsidR="00970502" w:rsidRPr="00970502" w:rsidRDefault="00970502" w:rsidP="00970502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Patients with active</w:t>
            </w:r>
            <w:r w:rsidRPr="00970502">
              <w:rPr>
                <w:rFonts w:ascii="Arial" w:hAnsi="Arial" w:cs="Arial"/>
                <w:sz w:val="22"/>
              </w:rPr>
              <w:t xml:space="preserve"> gouty arthritis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48AE5801" w14:textId="5BC5223B" w:rsidR="00970502" w:rsidRPr="00970502" w:rsidRDefault="00970502" w:rsidP="00970502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</w:rPr>
            </w:pPr>
            <w:r w:rsidRPr="00970502">
              <w:rPr>
                <w:rFonts w:ascii="Arial" w:hAnsi="Arial" w:cs="Arial"/>
                <w:sz w:val="22"/>
              </w:rPr>
              <w:t>Patients who are currently suffering from urolithiasis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4E52216C" w14:textId="7FF1ECAC" w:rsidR="00970502" w:rsidRPr="00970502" w:rsidRDefault="00970502" w:rsidP="00970502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</w:rPr>
            </w:pPr>
            <w:r w:rsidRPr="00970502">
              <w:rPr>
                <w:rFonts w:ascii="Arial" w:hAnsi="Arial" w:cs="Arial"/>
                <w:sz w:val="22"/>
              </w:rPr>
              <w:t>Patients with known secondary hyperuricemia who are suffering from any of the following diseases: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Pr="00970502">
              <w:rPr>
                <w:rFonts w:ascii="Arial" w:hAnsi="Arial" w:cs="Arial"/>
                <w:sz w:val="22"/>
              </w:rPr>
              <w:t>Lesch</w:t>
            </w:r>
            <w:r w:rsidR="00165DD8">
              <w:rPr>
                <w:rFonts w:ascii="Arial" w:hAnsi="Arial" w:cs="Arial"/>
                <w:sz w:val="22"/>
              </w:rPr>
              <w:t>–</w:t>
            </w:r>
            <w:r w:rsidRPr="00970502">
              <w:rPr>
                <w:rFonts w:ascii="Arial" w:hAnsi="Arial" w:cs="Arial"/>
                <w:sz w:val="22"/>
              </w:rPr>
              <w:t>Nyhan syndrome, phosphoribosyl pyrophosphate synth</w:t>
            </w:r>
            <w:r>
              <w:rPr>
                <w:rFonts w:ascii="Arial" w:hAnsi="Arial" w:cs="Arial"/>
                <w:sz w:val="22"/>
              </w:rPr>
              <w:t>etase superactivity, congenital</w:t>
            </w:r>
            <w:r w:rsidRPr="00970502">
              <w:rPr>
                <w:rFonts w:ascii="Arial" w:hAnsi="Arial" w:cs="Arial"/>
                <w:sz w:val="22"/>
              </w:rPr>
              <w:t xml:space="preserve"> myogenic hyperuricemia, hematopoietic organ tumor (acute leukemia, malignant lymphoma, myeloproliferative disorder, </w:t>
            </w:r>
            <w:r w:rsidR="00CA4F82">
              <w:rPr>
                <w:rFonts w:ascii="Arial" w:hAnsi="Arial" w:cs="Arial"/>
                <w:sz w:val="22"/>
              </w:rPr>
              <w:t xml:space="preserve">and </w:t>
            </w:r>
            <w:r w:rsidRPr="00970502">
              <w:rPr>
                <w:rFonts w:ascii="Arial" w:hAnsi="Arial" w:cs="Arial"/>
                <w:sz w:val="22"/>
              </w:rPr>
              <w:t xml:space="preserve">myelodysplastic syndrome), solid tumor (breast cancer, seminoma, sarcoma, Wilms tumor, </w:t>
            </w:r>
            <w:r w:rsidR="00D04140">
              <w:rPr>
                <w:rFonts w:ascii="Arial" w:hAnsi="Arial" w:cs="Arial"/>
                <w:sz w:val="22"/>
              </w:rPr>
              <w:t xml:space="preserve">and </w:t>
            </w:r>
            <w:r w:rsidRPr="00970502">
              <w:rPr>
                <w:rFonts w:ascii="Arial" w:hAnsi="Arial" w:cs="Arial"/>
                <w:sz w:val="22"/>
              </w:rPr>
              <w:t xml:space="preserve">small cell lung cancer), non-neoplastic disease (psoriasis vulgaris, secondary polycythemia, </w:t>
            </w:r>
            <w:r w:rsidR="00D04140">
              <w:rPr>
                <w:rFonts w:ascii="Arial" w:hAnsi="Arial" w:cs="Arial"/>
                <w:sz w:val="22"/>
              </w:rPr>
              <w:t xml:space="preserve">and </w:t>
            </w:r>
            <w:r w:rsidRPr="00970502">
              <w:rPr>
                <w:rFonts w:ascii="Arial" w:hAnsi="Arial" w:cs="Arial"/>
                <w:sz w:val="22"/>
              </w:rPr>
              <w:t>hemolytic anemia), tumor lysis syndrome, rhabdomyolysis, hypothyroidism, polycystic kidney, lead poisoning/lead nephropathy, Down</w:t>
            </w:r>
            <w:r w:rsidR="00692126">
              <w:rPr>
                <w:rFonts w:ascii="Arial" w:hAnsi="Arial" w:cs="Arial"/>
                <w:sz w:val="22"/>
              </w:rPr>
              <w:t>’</w:t>
            </w:r>
            <w:r w:rsidRPr="00970502">
              <w:rPr>
                <w:rFonts w:ascii="Arial" w:hAnsi="Arial" w:cs="Arial"/>
                <w:sz w:val="22"/>
              </w:rPr>
              <w:t>s syndrome, familial juvenile gouty nephropathy, hyperlactacidemia, or glycogen storage disease type I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3FD90985" w14:textId="1D868378" w:rsidR="00970502" w:rsidRPr="00970502" w:rsidRDefault="00970502" w:rsidP="00970502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</w:rPr>
            </w:pPr>
            <w:r w:rsidRPr="00970502">
              <w:rPr>
                <w:rFonts w:ascii="Arial" w:hAnsi="Arial" w:cs="Arial"/>
                <w:sz w:val="22"/>
              </w:rPr>
              <w:t>Patients with hypertensive emergency and urgency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044F12A1" w14:textId="0C59F2DF" w:rsidR="00970502" w:rsidRPr="00970502" w:rsidRDefault="00970502" w:rsidP="00970502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</w:rPr>
            </w:pPr>
            <w:r w:rsidRPr="00970502">
              <w:rPr>
                <w:rFonts w:ascii="Arial" w:hAnsi="Arial" w:cs="Arial"/>
                <w:sz w:val="22"/>
              </w:rPr>
              <w:t>Patients with active malignancy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688A5FC3" w14:textId="162A6FE9" w:rsidR="00970502" w:rsidRPr="00970502" w:rsidRDefault="00970502" w:rsidP="00970502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</w:rPr>
            </w:pPr>
            <w:r w:rsidRPr="00970502">
              <w:rPr>
                <w:rFonts w:ascii="Arial" w:hAnsi="Arial" w:cs="Arial"/>
                <w:sz w:val="22"/>
              </w:rPr>
              <w:t>Patients with se</w:t>
            </w:r>
            <w:r>
              <w:rPr>
                <w:rFonts w:ascii="Arial" w:hAnsi="Arial" w:cs="Arial"/>
                <w:sz w:val="22"/>
              </w:rPr>
              <w:t>vere</w:t>
            </w:r>
            <w:r w:rsidRPr="00970502">
              <w:rPr>
                <w:rFonts w:ascii="Arial" w:hAnsi="Arial" w:cs="Arial"/>
                <w:sz w:val="22"/>
              </w:rPr>
              <w:t xml:space="preserve"> hepatic dysfunction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1F889B4D" w14:textId="3E79B7A1" w:rsidR="00970502" w:rsidRPr="00970502" w:rsidRDefault="00970502" w:rsidP="00970502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</w:rPr>
            </w:pPr>
            <w:r w:rsidRPr="00970502">
              <w:rPr>
                <w:rFonts w:ascii="Arial" w:hAnsi="Arial" w:cs="Arial"/>
                <w:sz w:val="22"/>
              </w:rPr>
              <w:t>Patients with severe renal dysfunction with oliguria or anuria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56BA9C2F" w14:textId="44005365" w:rsidR="00970502" w:rsidRPr="00970502" w:rsidRDefault="00970502" w:rsidP="00970502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</w:rPr>
            </w:pPr>
            <w:r w:rsidRPr="00970502">
              <w:rPr>
                <w:rFonts w:ascii="Arial" w:hAnsi="Arial" w:cs="Arial"/>
                <w:sz w:val="22"/>
              </w:rPr>
              <w:t>Patients who are pregnant, suspected to be pregnant, or breastfeeding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7A6BF35C" w14:textId="3600D91E" w:rsidR="00970502" w:rsidRPr="00970502" w:rsidRDefault="00970502" w:rsidP="00970502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</w:rPr>
            </w:pPr>
            <w:r w:rsidRPr="00970502">
              <w:rPr>
                <w:rFonts w:ascii="Arial" w:hAnsi="Arial" w:cs="Arial"/>
                <w:sz w:val="22"/>
              </w:rPr>
              <w:t>Patients with a history of hypersensitivity to the ingredients contained in dotinurad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34F083E9" w14:textId="00F2C86E" w:rsidR="00CA381B" w:rsidRPr="000D0A10" w:rsidRDefault="00970502" w:rsidP="00970502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</w:rPr>
            </w:pPr>
            <w:r w:rsidRPr="00970502">
              <w:rPr>
                <w:rFonts w:ascii="Arial" w:hAnsi="Arial" w:cs="Arial"/>
                <w:sz w:val="22"/>
              </w:rPr>
              <w:t xml:space="preserve">Patients </w:t>
            </w:r>
            <w:r>
              <w:rPr>
                <w:rFonts w:ascii="Arial" w:hAnsi="Arial" w:cs="Arial"/>
                <w:sz w:val="22"/>
              </w:rPr>
              <w:t xml:space="preserve">considered by </w:t>
            </w:r>
            <w:r w:rsidRPr="00970502"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sz w:val="22"/>
              </w:rPr>
              <w:t xml:space="preserve">study </w:t>
            </w:r>
            <w:r w:rsidRPr="00970502">
              <w:rPr>
                <w:rFonts w:ascii="Arial" w:hAnsi="Arial" w:cs="Arial"/>
                <w:sz w:val="22"/>
              </w:rPr>
              <w:t>investigator</w:t>
            </w:r>
            <w:r>
              <w:rPr>
                <w:rFonts w:ascii="Arial" w:hAnsi="Arial" w:cs="Arial"/>
                <w:sz w:val="22"/>
              </w:rPr>
              <w:t>s</w:t>
            </w:r>
            <w:r w:rsidRPr="00970502">
              <w:rPr>
                <w:rFonts w:ascii="Arial" w:hAnsi="Arial" w:cs="Arial"/>
                <w:sz w:val="22"/>
              </w:rPr>
              <w:t xml:space="preserve"> not suitable for </w:t>
            </w:r>
            <w:r>
              <w:rPr>
                <w:rFonts w:ascii="Arial" w:hAnsi="Arial" w:cs="Arial"/>
                <w:sz w:val="22"/>
              </w:rPr>
              <w:t>participation in the</w:t>
            </w:r>
            <w:r w:rsidRPr="00970502">
              <w:rPr>
                <w:rFonts w:ascii="Arial" w:hAnsi="Arial" w:cs="Arial"/>
                <w:sz w:val="22"/>
              </w:rPr>
              <w:t xml:space="preserve"> study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6BD7533A" w14:textId="4B3D571A" w:rsidR="004276D9" w:rsidRDefault="00970502" w:rsidP="00970502">
      <w:pPr>
        <w:jc w:val="left"/>
        <w:rPr>
          <w:rFonts w:ascii="Arial" w:hAnsi="Arial" w:cs="Arial"/>
          <w:color w:val="000000" w:themeColor="text1"/>
          <w:sz w:val="22"/>
        </w:rPr>
      </w:pPr>
      <w:r w:rsidRPr="00970502">
        <w:rPr>
          <w:rFonts w:ascii="Arial" w:hAnsi="Arial" w:cs="Arial" w:hint="eastAsia"/>
          <w:color w:val="000000" w:themeColor="text1"/>
          <w:sz w:val="22"/>
        </w:rPr>
        <w:t>*</w:t>
      </w:r>
      <w:r w:rsidRPr="00970502">
        <w:rPr>
          <w:rFonts w:ascii="Arial" w:hAnsi="Arial" w:cs="Arial"/>
          <w:color w:val="000000" w:themeColor="text1"/>
          <w:sz w:val="22"/>
        </w:rPr>
        <w:t xml:space="preserve"> Umemura S, Arima H, Arima S, et al. The Japanese Society of Hypertension Guidelines for the Management of Hypertension (JSH 2019). Hypertens Res. 2019;42(9):1235-1481.</w:t>
      </w:r>
    </w:p>
    <w:bookmarkEnd w:id="0"/>
    <w:p w14:paraId="5BE81B19" w14:textId="0E9FD4DE" w:rsidR="00714ACE" w:rsidRPr="00807DEE" w:rsidRDefault="00714ACE" w:rsidP="00153C92">
      <w:pPr>
        <w:widowControl/>
        <w:jc w:val="left"/>
        <w:rPr>
          <w:rFonts w:ascii="Arial" w:hAnsi="Arial" w:cs="Arial"/>
          <w:i/>
          <w:sz w:val="22"/>
        </w:rPr>
      </w:pPr>
    </w:p>
    <w:sectPr w:rsidR="00714ACE" w:rsidRPr="00807DEE" w:rsidSect="003102D9">
      <w:headerReference w:type="default" r:id="rId9"/>
      <w:pgSz w:w="16838" w:h="11906" w:orient="landscape" w:code="9"/>
      <w:pgMar w:top="1701" w:right="1985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660B2" w14:textId="77777777" w:rsidR="00351556" w:rsidRDefault="00351556" w:rsidP="008810D3">
      <w:r>
        <w:separator/>
      </w:r>
    </w:p>
  </w:endnote>
  <w:endnote w:type="continuationSeparator" w:id="0">
    <w:p w14:paraId="1D0BAAB5" w14:textId="77777777" w:rsidR="00351556" w:rsidRDefault="00351556" w:rsidP="008810D3">
      <w:r>
        <w:continuationSeparator/>
      </w:r>
    </w:p>
  </w:endnote>
  <w:endnote w:type="continuationNotice" w:id="1">
    <w:p w14:paraId="2746D388" w14:textId="77777777" w:rsidR="00351556" w:rsidRDefault="00351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3DF33" w14:textId="77777777" w:rsidR="00351556" w:rsidRDefault="00351556" w:rsidP="008810D3">
      <w:r>
        <w:separator/>
      </w:r>
    </w:p>
  </w:footnote>
  <w:footnote w:type="continuationSeparator" w:id="0">
    <w:p w14:paraId="063851B3" w14:textId="77777777" w:rsidR="00351556" w:rsidRDefault="00351556" w:rsidP="008810D3">
      <w:r>
        <w:continuationSeparator/>
      </w:r>
    </w:p>
  </w:footnote>
  <w:footnote w:type="continuationNotice" w:id="1">
    <w:p w14:paraId="3CEB5BF3" w14:textId="77777777" w:rsidR="00351556" w:rsidRDefault="003515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958036"/>
      <w:docPartObj>
        <w:docPartGallery w:val="Page Numbers (Top of Page)"/>
        <w:docPartUnique/>
      </w:docPartObj>
    </w:sdtPr>
    <w:sdtEndPr/>
    <w:sdtContent>
      <w:p w14:paraId="5CF8C17D" w14:textId="3B95577A" w:rsidR="00BD4EE6" w:rsidRDefault="00BD4EE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1BC" w:rsidRPr="008301BC">
          <w:rPr>
            <w:noProof/>
            <w:lang w:val="ja-JP"/>
          </w:rPr>
          <w:t>1</w:t>
        </w:r>
        <w:r>
          <w:fldChar w:fldCharType="end"/>
        </w:r>
      </w:p>
    </w:sdtContent>
  </w:sdt>
  <w:p w14:paraId="4E23C92D" w14:textId="77777777" w:rsidR="00BD4EE6" w:rsidRDefault="00BD4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988"/>
    <w:multiLevelType w:val="hybridMultilevel"/>
    <w:tmpl w:val="69B0FC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F0493A"/>
    <w:multiLevelType w:val="hybridMultilevel"/>
    <w:tmpl w:val="01207E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D72C65"/>
    <w:multiLevelType w:val="hybridMultilevel"/>
    <w:tmpl w:val="01207E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D7"/>
    <w:rsid w:val="00007A30"/>
    <w:rsid w:val="0006218A"/>
    <w:rsid w:val="00064324"/>
    <w:rsid w:val="0006570E"/>
    <w:rsid w:val="00087669"/>
    <w:rsid w:val="00096A41"/>
    <w:rsid w:val="000F31D0"/>
    <w:rsid w:val="000F71A7"/>
    <w:rsid w:val="001177ED"/>
    <w:rsid w:val="00143028"/>
    <w:rsid w:val="00153C92"/>
    <w:rsid w:val="00165DD8"/>
    <w:rsid w:val="0019375B"/>
    <w:rsid w:val="00196CD7"/>
    <w:rsid w:val="001B7968"/>
    <w:rsid w:val="001E6A47"/>
    <w:rsid w:val="001F1803"/>
    <w:rsid w:val="001F3D74"/>
    <w:rsid w:val="00203D4E"/>
    <w:rsid w:val="00216ECF"/>
    <w:rsid w:val="00233FE3"/>
    <w:rsid w:val="00241416"/>
    <w:rsid w:val="00255DC8"/>
    <w:rsid w:val="00262518"/>
    <w:rsid w:val="00263C25"/>
    <w:rsid w:val="002770E2"/>
    <w:rsid w:val="00282BD9"/>
    <w:rsid w:val="00291CE7"/>
    <w:rsid w:val="00294498"/>
    <w:rsid w:val="002973EF"/>
    <w:rsid w:val="002B57F8"/>
    <w:rsid w:val="002E685F"/>
    <w:rsid w:val="002F47EF"/>
    <w:rsid w:val="003058C3"/>
    <w:rsid w:val="003102D9"/>
    <w:rsid w:val="00314FC7"/>
    <w:rsid w:val="00334A5D"/>
    <w:rsid w:val="0034568E"/>
    <w:rsid w:val="00351556"/>
    <w:rsid w:val="00361A64"/>
    <w:rsid w:val="00366D95"/>
    <w:rsid w:val="00373C49"/>
    <w:rsid w:val="003930CD"/>
    <w:rsid w:val="00395253"/>
    <w:rsid w:val="003B0278"/>
    <w:rsid w:val="003C57FF"/>
    <w:rsid w:val="003D0F50"/>
    <w:rsid w:val="003D6A85"/>
    <w:rsid w:val="003D77A6"/>
    <w:rsid w:val="004171BC"/>
    <w:rsid w:val="00420F44"/>
    <w:rsid w:val="004276D9"/>
    <w:rsid w:val="00430B24"/>
    <w:rsid w:val="00431953"/>
    <w:rsid w:val="00433290"/>
    <w:rsid w:val="00440033"/>
    <w:rsid w:val="00456CF1"/>
    <w:rsid w:val="00456D7F"/>
    <w:rsid w:val="00466E12"/>
    <w:rsid w:val="004A194B"/>
    <w:rsid w:val="004B1A4F"/>
    <w:rsid w:val="004B538C"/>
    <w:rsid w:val="004C0E6A"/>
    <w:rsid w:val="004E0497"/>
    <w:rsid w:val="004E35E8"/>
    <w:rsid w:val="004F2F85"/>
    <w:rsid w:val="005040B2"/>
    <w:rsid w:val="00515A1A"/>
    <w:rsid w:val="005475D6"/>
    <w:rsid w:val="00570CBE"/>
    <w:rsid w:val="005752D2"/>
    <w:rsid w:val="00590AE2"/>
    <w:rsid w:val="005B589E"/>
    <w:rsid w:val="005C0251"/>
    <w:rsid w:val="005C2365"/>
    <w:rsid w:val="005D0144"/>
    <w:rsid w:val="005F1356"/>
    <w:rsid w:val="00600380"/>
    <w:rsid w:val="00607F8F"/>
    <w:rsid w:val="0062633B"/>
    <w:rsid w:val="006405E8"/>
    <w:rsid w:val="006419C7"/>
    <w:rsid w:val="00650DE4"/>
    <w:rsid w:val="006620C6"/>
    <w:rsid w:val="00662A2B"/>
    <w:rsid w:val="00681116"/>
    <w:rsid w:val="00692126"/>
    <w:rsid w:val="006A110C"/>
    <w:rsid w:val="006E3FBB"/>
    <w:rsid w:val="006F71C6"/>
    <w:rsid w:val="00714ACE"/>
    <w:rsid w:val="00735AF7"/>
    <w:rsid w:val="007416AB"/>
    <w:rsid w:val="007531AA"/>
    <w:rsid w:val="00782F3E"/>
    <w:rsid w:val="007B1FAF"/>
    <w:rsid w:val="007B4CC2"/>
    <w:rsid w:val="007C7235"/>
    <w:rsid w:val="007D0C36"/>
    <w:rsid w:val="007D40DB"/>
    <w:rsid w:val="007E6433"/>
    <w:rsid w:val="007F49B6"/>
    <w:rsid w:val="00807DEE"/>
    <w:rsid w:val="00810431"/>
    <w:rsid w:val="0082525B"/>
    <w:rsid w:val="008301BC"/>
    <w:rsid w:val="008349F5"/>
    <w:rsid w:val="008475B2"/>
    <w:rsid w:val="008810D3"/>
    <w:rsid w:val="00893D1F"/>
    <w:rsid w:val="00897DFA"/>
    <w:rsid w:val="008A535B"/>
    <w:rsid w:val="008C2857"/>
    <w:rsid w:val="008C64BD"/>
    <w:rsid w:val="008C6D31"/>
    <w:rsid w:val="008D170E"/>
    <w:rsid w:val="008D271A"/>
    <w:rsid w:val="008D3AB5"/>
    <w:rsid w:val="008F3030"/>
    <w:rsid w:val="008F7E89"/>
    <w:rsid w:val="0090210B"/>
    <w:rsid w:val="0090335F"/>
    <w:rsid w:val="0093099A"/>
    <w:rsid w:val="00932403"/>
    <w:rsid w:val="00940FAC"/>
    <w:rsid w:val="00957F90"/>
    <w:rsid w:val="00960A7D"/>
    <w:rsid w:val="00966B8F"/>
    <w:rsid w:val="00970502"/>
    <w:rsid w:val="00984C65"/>
    <w:rsid w:val="009C1792"/>
    <w:rsid w:val="009E0330"/>
    <w:rsid w:val="009F5F80"/>
    <w:rsid w:val="00A06E6F"/>
    <w:rsid w:val="00A126DB"/>
    <w:rsid w:val="00A33F72"/>
    <w:rsid w:val="00A55C55"/>
    <w:rsid w:val="00A57B6D"/>
    <w:rsid w:val="00A729AD"/>
    <w:rsid w:val="00A904D0"/>
    <w:rsid w:val="00A96C3C"/>
    <w:rsid w:val="00AA31C1"/>
    <w:rsid w:val="00AA366A"/>
    <w:rsid w:val="00AA4D17"/>
    <w:rsid w:val="00AD3360"/>
    <w:rsid w:val="00B22F48"/>
    <w:rsid w:val="00B310F1"/>
    <w:rsid w:val="00B42008"/>
    <w:rsid w:val="00B449E0"/>
    <w:rsid w:val="00B51434"/>
    <w:rsid w:val="00B562E7"/>
    <w:rsid w:val="00B62218"/>
    <w:rsid w:val="00B655BC"/>
    <w:rsid w:val="00B803CF"/>
    <w:rsid w:val="00B8274A"/>
    <w:rsid w:val="00BA2D72"/>
    <w:rsid w:val="00BB4935"/>
    <w:rsid w:val="00BB73A8"/>
    <w:rsid w:val="00BD4EE6"/>
    <w:rsid w:val="00BF46FE"/>
    <w:rsid w:val="00C35648"/>
    <w:rsid w:val="00C41F98"/>
    <w:rsid w:val="00C62B01"/>
    <w:rsid w:val="00C71797"/>
    <w:rsid w:val="00C72772"/>
    <w:rsid w:val="00C82879"/>
    <w:rsid w:val="00C85B72"/>
    <w:rsid w:val="00CA0FE1"/>
    <w:rsid w:val="00CA381B"/>
    <w:rsid w:val="00CA4F82"/>
    <w:rsid w:val="00CA63F4"/>
    <w:rsid w:val="00CF2D6A"/>
    <w:rsid w:val="00D04140"/>
    <w:rsid w:val="00D05E06"/>
    <w:rsid w:val="00D343F0"/>
    <w:rsid w:val="00D6263E"/>
    <w:rsid w:val="00D62726"/>
    <w:rsid w:val="00D714CF"/>
    <w:rsid w:val="00D73671"/>
    <w:rsid w:val="00D805DD"/>
    <w:rsid w:val="00D84023"/>
    <w:rsid w:val="00D95363"/>
    <w:rsid w:val="00DB3CDA"/>
    <w:rsid w:val="00DD1592"/>
    <w:rsid w:val="00DE6006"/>
    <w:rsid w:val="00E44EB9"/>
    <w:rsid w:val="00E5459A"/>
    <w:rsid w:val="00E67E5A"/>
    <w:rsid w:val="00E820E3"/>
    <w:rsid w:val="00E965E6"/>
    <w:rsid w:val="00EA081D"/>
    <w:rsid w:val="00EA3597"/>
    <w:rsid w:val="00EA3BB3"/>
    <w:rsid w:val="00EB10AD"/>
    <w:rsid w:val="00F12011"/>
    <w:rsid w:val="00F2542D"/>
    <w:rsid w:val="00F26B06"/>
    <w:rsid w:val="00F46A6E"/>
    <w:rsid w:val="00F55FC5"/>
    <w:rsid w:val="00F61C87"/>
    <w:rsid w:val="00F7045A"/>
    <w:rsid w:val="00F70A47"/>
    <w:rsid w:val="00F85ADE"/>
    <w:rsid w:val="00F9305D"/>
    <w:rsid w:val="00FA4D42"/>
    <w:rsid w:val="00FA5C29"/>
    <w:rsid w:val="00FB1A72"/>
    <w:rsid w:val="00FB44BE"/>
    <w:rsid w:val="00FC1297"/>
    <w:rsid w:val="00F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7203DD"/>
  <w15:docId w15:val="{81071258-7597-4431-9733-05E91425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0D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0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810D3"/>
  </w:style>
  <w:style w:type="paragraph" w:styleId="Footer">
    <w:name w:val="footer"/>
    <w:basedOn w:val="Normal"/>
    <w:link w:val="FooterChar"/>
    <w:uiPriority w:val="99"/>
    <w:unhideWhenUsed/>
    <w:rsid w:val="008810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810D3"/>
  </w:style>
  <w:style w:type="character" w:styleId="CommentReference">
    <w:name w:val="annotation reference"/>
    <w:basedOn w:val="DefaultParagraphFont"/>
    <w:uiPriority w:val="99"/>
    <w:semiHidden/>
    <w:unhideWhenUsed/>
    <w:rsid w:val="00BA2D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A2D7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A2D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72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1F3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1803"/>
  </w:style>
  <w:style w:type="paragraph" w:styleId="ListParagraph">
    <w:name w:val="List Paragraph"/>
    <w:basedOn w:val="Normal"/>
    <w:uiPriority w:val="34"/>
    <w:qFormat/>
    <w:rsid w:val="00CA38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6A4E-3FB1-4B05-AA23-897263FF13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B35889-CB08-480A-B982-21093B5C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Jenifer M.</cp:lastModifiedBy>
  <cp:revision>6</cp:revision>
  <dcterms:created xsi:type="dcterms:W3CDTF">2023-04-22T04:39:00Z</dcterms:created>
  <dcterms:modified xsi:type="dcterms:W3CDTF">2023-07-06T04:39:00Z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Prop">
    <vt:lpwstr>cd9ba1f577e749ce8ad6f55ff4cafbe3</vt:lpwstr>
  </property>
</Properties>
</file>