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87827" w14:textId="3444FD06" w:rsidR="00C50FA2" w:rsidRPr="005B0DA3" w:rsidRDefault="007E2F62" w:rsidP="007E2F62">
      <w:pPr>
        <w:spacing w:line="480" w:lineRule="auto"/>
        <w:rPr>
          <w:rFonts w:eastAsiaTheme="minorEastAsia"/>
          <w:b/>
          <w:lang w:val="en-GB" w:eastAsia="zh-CN"/>
        </w:rPr>
      </w:pPr>
      <w:r w:rsidRPr="005B0DA3">
        <w:rPr>
          <w:rFonts w:eastAsiaTheme="minorEastAsia" w:hint="eastAsia"/>
          <w:b/>
          <w:lang w:val="en-GB" w:eastAsia="zh-CN"/>
        </w:rPr>
        <w:t>A</w:t>
      </w:r>
      <w:r w:rsidRPr="005B0DA3">
        <w:rPr>
          <w:rFonts w:eastAsiaTheme="minorEastAsia"/>
          <w:b/>
          <w:lang w:val="en-GB" w:eastAsia="zh-CN"/>
        </w:rPr>
        <w:t>dditional file 1</w:t>
      </w:r>
    </w:p>
    <w:p w14:paraId="33FB4DE6" w14:textId="7B8CAE16" w:rsidR="00810584" w:rsidRDefault="00810584" w:rsidP="00202DFC">
      <w:pPr>
        <w:spacing w:line="480" w:lineRule="auto"/>
        <w:jc w:val="both"/>
        <w:rPr>
          <w:b/>
          <w:lang w:val="en-US"/>
        </w:rPr>
      </w:pPr>
    </w:p>
    <w:p w14:paraId="0EEE0632" w14:textId="685903D1" w:rsidR="00CD3044" w:rsidRDefault="000979FB" w:rsidP="00994D30">
      <w:pPr>
        <w:spacing w:line="480" w:lineRule="auto"/>
        <w:jc w:val="center"/>
        <w:rPr>
          <w:b/>
          <w:lang w:val="en-US"/>
        </w:rPr>
      </w:pPr>
      <w:r>
        <w:rPr>
          <w:b/>
          <w:noProof/>
        </w:rPr>
        <w:drawing>
          <wp:inline distT="0" distB="0" distL="0" distR="0" wp14:anchorId="5F298544" wp14:editId="0D80A7D2">
            <wp:extent cx="6557645" cy="206910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7645" cy="2069100"/>
                    </a:xfrm>
                    <a:prstGeom prst="rect">
                      <a:avLst/>
                    </a:prstGeom>
                    <a:noFill/>
                  </pic:spPr>
                </pic:pic>
              </a:graphicData>
            </a:graphic>
          </wp:inline>
        </w:drawing>
      </w:r>
    </w:p>
    <w:p w14:paraId="6BC06A64" w14:textId="6EA34071" w:rsidR="00564C6D" w:rsidRDefault="00564C6D" w:rsidP="00564C6D">
      <w:pPr>
        <w:pStyle w:val="Acknowledgement"/>
        <w:spacing w:line="480" w:lineRule="auto"/>
        <w:ind w:left="0" w:firstLine="0"/>
        <w:jc w:val="both"/>
        <w:rPr>
          <w:b/>
        </w:rPr>
      </w:pPr>
      <w:r w:rsidRPr="001B052B">
        <w:rPr>
          <w:b/>
        </w:rPr>
        <w:t>Figure S1.</w:t>
      </w:r>
      <w:r w:rsidRPr="00E229D7">
        <w:t xml:space="preserve"> Biochemical analyses of Aβ</w:t>
      </w:r>
      <w:r w:rsidRPr="00E229D7">
        <w:rPr>
          <w:vertAlign w:val="subscript"/>
        </w:rPr>
        <w:t>1-40</w:t>
      </w:r>
      <w:r w:rsidRPr="00E229D7">
        <w:t xml:space="preserve"> peptide used as a SAA reaction substrate and picture of a </w:t>
      </w:r>
      <w:proofErr w:type="spellStart"/>
      <w:r w:rsidRPr="00E229D7">
        <w:t>AgNWs@PTFE</w:t>
      </w:r>
      <w:proofErr w:type="spellEnd"/>
      <w:r w:rsidRPr="00E229D7">
        <w:t xml:space="preserve"> substrate used to study SAA products. a) Western blot of Aβ</w:t>
      </w:r>
      <w:r w:rsidRPr="005B0DA3">
        <w:rPr>
          <w:vertAlign w:val="subscript"/>
        </w:rPr>
        <w:t>1-40</w:t>
      </w:r>
      <w:r w:rsidRPr="00E229D7">
        <w:t xml:space="preserve"> peptide after its dissolution in </w:t>
      </w:r>
      <w:proofErr w:type="spellStart"/>
      <w:r>
        <w:t>NaOH</w:t>
      </w:r>
      <w:proofErr w:type="spellEnd"/>
      <w:r>
        <w:t xml:space="preserve"> 10mM</w:t>
      </w:r>
      <w:r w:rsidRPr="00E229D7">
        <w:t>. The membrane was probed with the 6E10 monoclonal antibody, showing the monomeric form of the peptide migrating at 4kDa. Dashed lines indicate cropped images. b) Silver stain analysis of Aβ</w:t>
      </w:r>
      <w:r w:rsidRPr="00E229D7">
        <w:rPr>
          <w:vertAlign w:val="subscript"/>
        </w:rPr>
        <w:t>1-40</w:t>
      </w:r>
      <w:r w:rsidRPr="00E229D7">
        <w:t xml:space="preserve"> peptide after its dissolution in </w:t>
      </w:r>
      <w:proofErr w:type="spellStart"/>
      <w:r>
        <w:t>NaOH</w:t>
      </w:r>
      <w:proofErr w:type="spellEnd"/>
      <w:r>
        <w:t xml:space="preserve"> 10mM</w:t>
      </w:r>
      <w:r w:rsidRPr="00E229D7">
        <w:t>. Pierce silver stain kit (</w:t>
      </w:r>
      <w:proofErr w:type="spellStart"/>
      <w:r w:rsidRPr="00E229D7">
        <w:t>Thermo</w:t>
      </w:r>
      <w:proofErr w:type="spellEnd"/>
      <w:r w:rsidRPr="00E229D7">
        <w:t xml:space="preserve"> scientific) was used and shows the presence of a band corresponding to the monomeric form of the peptide, also migrating at 4kDa. Molecular weight markers are reported on the left side of the Western blot and silver staining images. c) Representative picture of a </w:t>
      </w:r>
      <w:proofErr w:type="spellStart"/>
      <w:r w:rsidRPr="00E229D7">
        <w:t>AgNWs@PTFE</w:t>
      </w:r>
      <w:proofErr w:type="spellEnd"/>
      <w:r w:rsidRPr="00E229D7">
        <w:t xml:space="preserve"> substrate including 10-patterned silver spots. Each spot measures 1 mm in diameter and allows the deposition of </w:t>
      </w:r>
      <w:r w:rsidR="0010409C">
        <w:t>SAA products</w:t>
      </w:r>
      <w:r w:rsidRPr="00E229D7">
        <w:t xml:space="preserve">. An AFM topography image of the </w:t>
      </w:r>
      <w:proofErr w:type="spellStart"/>
      <w:r w:rsidRPr="00E229D7">
        <w:t>AgNWs</w:t>
      </w:r>
      <w:proofErr w:type="spellEnd"/>
      <w:r w:rsidRPr="00E229D7">
        <w:t xml:space="preserve"> layer is reported on the right. </w:t>
      </w:r>
      <w:proofErr w:type="spellStart"/>
      <w:r w:rsidRPr="00E229D7">
        <w:t>AgNWs</w:t>
      </w:r>
      <w:proofErr w:type="spellEnd"/>
      <w:r w:rsidRPr="00E229D7">
        <w:t xml:space="preserve"> with length ranging from a few to tens of µm and a diameter of 80 nm form a network with multiple intersections behaving as efficient SERS hotspots under a visible/NIR laser excitation wavelength </w:t>
      </w:r>
      <w:r w:rsidR="00637930">
        <w:fldChar w:fldCharType="begin" w:fldLock="1"/>
      </w:r>
      <w:r w:rsidR="00637930">
        <w:instrText>ADDIN CSL_CITATION {"citationItems":[{"id":"ITEM-1","itemData":{"DOI":"10.1002/cnma.201900035","ISSN":"2199692X","abstract":"Unique characteristics of SERS including the possibility to reveal the compositional and structural content of trace amounts of biological samples without any pre-treatment, depict this technique as a promising label-free alternative to standard analytical methods. Despite significant advancements, current SERS substrates for biomolecule detection suffer from a number of issues still impeding their routine usage and commercial exploitation, including complex and expensive fabrication procedures and scarce standardization perspectives. Herein a combined bottom up/top down scheme based on flow-through method plus laser patterning is proposed to prepare dot arrays of silver nanowires on a hydrophobic substrate for catching the analyte content from a minute amount of liquid sample and its rapid SERS inspection. As a consequence, a simple spot-on analysis specifically adapted for reliable identification and characterization of molecules of biomedical interest is made possible. Our attempt may represent a concrete chance for progressing SERS toward widespread commercially viable sensing applications including diagnostics at the point-of-need settings and on-site analyses.","author":[{"dropping-particle":"","family":"Banchelli","given":"Martina","non-dropping-particle":"","parse-names":false,"suffix":""},{"dropping-particle":"","family":"Amicucci","given":"Chiara","non-dropping-particle":"","parse-names":false,"suffix":""},{"dropping-particle":"","family":"Ruggiero","given":"Emmanuel","non-dropping-particle":"","parse-names":false,"suffix":""},{"dropping-particle":"","family":"D'Andrea","given":"Cristiano","non-dropping-particle":"","parse-names":false,"suffix":""},{"dropping-particle":"","family":"Cottat","given":"Maximilien","non-dropping-particle":"","parse-names":false,"suffix":""},{"dropping-particle":"","family":"Ciofini","given":"Daniele","non-dropping-particle":"","parse-names":false,"suffix":""},{"dropping-particle":"","family":"Osticioli","given":"Iacopo","non-dropping-particle":"","parse-names":false,"suffix":""},{"dropping-particle":"","family":"Ghini","given":"Giacomo","non-dropping-particle":"","parse-names":false,"suffix":""},{"dropping-particle":"","family":"Siano","given":"Salvatore","non-dropping-particle":"","parse-names":false,"suffix":""},{"dropping-particle":"","family":"Pini","given":"Roberto","non-dropping-particle":"","parse-names":false,"suffix":""},{"dropping-particle":"","family":"Angelis","given":"Marella","non-dropping-particle":"de","parse-names":false,"suffix":""},{"dropping-particle":"","family":"Matteini","given":"Paolo","non-dropping-particle":"","parse-names":false,"suffix":""}],"container-title":"ChemNanoMat","id":"ITEM-1","issued":{"date-parts":[["2019"]]},"title":"Spot-on SERS Detection of Biomolecules with Laser-Patterned Dot Arrays of Assembled Silver Nanowires","type":"article-journal"},"uris":["http://www.mendeley.com/documents/?uuid=5a303a44-f646-42b8-902b-ff16f1861bc2"]},{"id":"ITEM-2","itemData":{"DOI":"10.1039/d0an02137g","ISSN":"13645528","PMID":"33210104","abstract":"Establishing standardized methods for a consistent analysis of spectral data remains a largely underexplored aspect in surface-enhanced Raman spectroscopy (SERS), particularly applied to biological and biomedical research. Here we propose an effective machine learning classification of protein species with closely resembled spectral profiles by a mixed data processing based on principal component analysis (PCA) applied to multipeak fitting on SERS spectra. This strategy simultaneously assures a successful discrimination of proteins and a thorough characterization of the chemostructural differences among them, ultimately opening up new routes for SERS evolution toward sensing applications and diagnostics of interest in life sciences.","author":[{"dropping-particle":"","family":"Barucci","given":"Andrea","non-dropping-particle":"","parse-names":false,"suffix":""},{"dropping-particle":"","family":"D'Andrea","given":"Cristiano","non-dropping-particle":"","parse-names":false,"suffix":""},{"dropping-particle":"","family":"Farnesi","given":"Edoardo","non-dropping-particle":"","parse-names":false,"suffix":""},{"dropping-particle":"","family":"Banchelli","given":"Martina","non-dropping-particle":"","parse-names":false,"suffix":""},{"dropping-particle":"","family":"Amicucci","given":"Chiara","non-dropping-particle":"","parse-names":false,"suffix":""},{"dropping-particle":"","family":"Angelis","given":"Marella","non-dropping-particle":"De","parse-names":false,"suffix":""},{"dropping-particle":"","family":"Hwang","given":"Byungil","non-dropping-particle":"","parse-names":false,"suffix":""},{"dropping-particle":"","family":"Matteini","given":"Paolo","non-dropping-particle":"","parse-names":false,"suffix":""}],"container-title":"Analyst","id":"ITEM-2","issued":{"date-parts":[["2021"]]},"title":"Label-free SERS detection of proteins based on machine learning classification of chemo-structural determinants","type":"article-journal"},"uris":["http://www.mendeley.com/documents/?uuid=6d25883d-2f70-4e5c-aef9-d26d0f181619"]}],"mendeley":{"formattedCitation":"[1,2]","plainTextFormattedCitation":"[1,2]","previouslyFormattedCitation":"[1,2]"},"properties":{"noteIndex":0},"schema":"https://github.com/citation-style-language/schema/raw/master/csl-citation.json"}</w:instrText>
      </w:r>
      <w:r w:rsidR="00637930">
        <w:fldChar w:fldCharType="separate"/>
      </w:r>
      <w:r w:rsidR="00637930" w:rsidRPr="00637930">
        <w:rPr>
          <w:noProof/>
        </w:rPr>
        <w:t>[1,2]</w:t>
      </w:r>
      <w:r w:rsidR="00637930">
        <w:fldChar w:fldCharType="end"/>
      </w:r>
      <w:r w:rsidR="005B0DA3">
        <w:rPr>
          <w:b/>
        </w:rPr>
        <w:t xml:space="preserve"> </w:t>
      </w:r>
    </w:p>
    <w:p w14:paraId="57E4A95D" w14:textId="77777777" w:rsidR="00CD3044" w:rsidRDefault="00CD3044" w:rsidP="00564C6D">
      <w:pPr>
        <w:spacing w:line="480" w:lineRule="auto"/>
        <w:jc w:val="both"/>
        <w:rPr>
          <w:b/>
          <w:lang w:val="en-US"/>
        </w:rPr>
      </w:pPr>
    </w:p>
    <w:p w14:paraId="62809B1F" w14:textId="7ACBE600" w:rsidR="00994D30" w:rsidRDefault="00994D30">
      <w:pPr>
        <w:spacing w:after="200" w:line="276" w:lineRule="auto"/>
        <w:rPr>
          <w:b/>
          <w:lang w:val="en-US"/>
        </w:rPr>
      </w:pPr>
      <w:r>
        <w:rPr>
          <w:b/>
          <w:lang w:val="en-US"/>
        </w:rPr>
        <w:br w:type="page"/>
      </w:r>
    </w:p>
    <w:p w14:paraId="20DFE21F" w14:textId="77777777" w:rsidR="00C50FA2" w:rsidRDefault="00C50FA2" w:rsidP="009B6EDD">
      <w:pPr>
        <w:spacing w:line="480" w:lineRule="auto"/>
        <w:jc w:val="both"/>
        <w:rPr>
          <w:b/>
          <w:lang w:val="en-US"/>
        </w:rPr>
      </w:pPr>
      <w:r w:rsidRPr="00154CF8">
        <w:rPr>
          <w:b/>
          <w:noProof/>
        </w:rPr>
        <w:lastRenderedPageBreak/>
        <w:drawing>
          <wp:inline distT="0" distB="0" distL="0" distR="0" wp14:anchorId="40339205" wp14:editId="15759E1D">
            <wp:extent cx="6120130" cy="468503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8" cstate="email">
                      <a:extLst>
                        <a:ext uri="{28A0092B-C50C-407E-A947-70E740481C1C}">
                          <a14:useLocalDpi xmlns:a14="http://schemas.microsoft.com/office/drawing/2010/main"/>
                        </a:ext>
                      </a:extLst>
                    </a:blip>
                    <a:stretch>
                      <a:fillRect/>
                    </a:stretch>
                  </pic:blipFill>
                  <pic:spPr>
                    <a:xfrm>
                      <a:off x="0" y="0"/>
                      <a:ext cx="6120130" cy="4685030"/>
                    </a:xfrm>
                    <a:prstGeom prst="rect">
                      <a:avLst/>
                    </a:prstGeom>
                  </pic:spPr>
                </pic:pic>
              </a:graphicData>
            </a:graphic>
          </wp:inline>
        </w:drawing>
      </w:r>
    </w:p>
    <w:p w14:paraId="47F280AD" w14:textId="55047BFB" w:rsidR="00C50FA2" w:rsidRDefault="00CD3044" w:rsidP="009B6EDD">
      <w:pPr>
        <w:spacing w:line="480" w:lineRule="auto"/>
        <w:jc w:val="both"/>
        <w:rPr>
          <w:b/>
          <w:lang w:val="en-US"/>
        </w:rPr>
      </w:pPr>
      <w:r>
        <w:rPr>
          <w:b/>
          <w:lang w:val="en-US"/>
        </w:rPr>
        <w:t>Figure S2</w:t>
      </w:r>
      <w:r w:rsidR="00C50FA2">
        <w:rPr>
          <w:b/>
          <w:lang w:val="en-US"/>
        </w:rPr>
        <w:t xml:space="preserve">. </w:t>
      </w:r>
      <w:r w:rsidR="00C50FA2" w:rsidRPr="008E7468">
        <w:rPr>
          <w:bCs/>
          <w:lang w:val="en-US"/>
        </w:rPr>
        <w:t>Comparison between raw (top panel) and post</w:t>
      </w:r>
      <w:r w:rsidR="00C50FA2">
        <w:rPr>
          <w:bCs/>
          <w:lang w:val="en-US"/>
        </w:rPr>
        <w:t>-processed</w:t>
      </w:r>
      <w:r w:rsidR="00C50FA2" w:rsidRPr="008E7468">
        <w:rPr>
          <w:bCs/>
          <w:lang w:val="en-US"/>
        </w:rPr>
        <w:t xml:space="preserve"> (bottom panel) SERS spectra acquired </w:t>
      </w:r>
      <w:r w:rsidR="00C50FA2">
        <w:rPr>
          <w:bCs/>
          <w:lang w:val="en-US"/>
        </w:rPr>
        <w:t>from</w:t>
      </w:r>
      <w:r w:rsidR="00C50FA2" w:rsidRPr="008E7468">
        <w:rPr>
          <w:bCs/>
          <w:lang w:val="en-US"/>
        </w:rPr>
        <w:t xml:space="preserve"> </w:t>
      </w:r>
      <w:r w:rsidR="00C50FA2">
        <w:rPr>
          <w:bCs/>
          <w:lang w:val="en-US"/>
        </w:rPr>
        <w:t xml:space="preserve">the </w:t>
      </w:r>
      <w:r w:rsidR="00C50FA2" w:rsidRPr="008E7468">
        <w:rPr>
          <w:bCs/>
          <w:lang w:val="en-US"/>
        </w:rPr>
        <w:t>SAA product</w:t>
      </w:r>
      <w:r w:rsidR="00C50FA2">
        <w:rPr>
          <w:bCs/>
          <w:lang w:val="en-US"/>
        </w:rPr>
        <w:t>s</w:t>
      </w:r>
      <w:r w:rsidR="00C50FA2" w:rsidRPr="008E7468">
        <w:rPr>
          <w:bCs/>
          <w:lang w:val="en-US"/>
        </w:rPr>
        <w:t xml:space="preserve"> of </w:t>
      </w:r>
      <w:r w:rsidR="00C50FA2">
        <w:rPr>
          <w:bCs/>
          <w:lang w:val="en-US"/>
        </w:rPr>
        <w:t>CSF of an</w:t>
      </w:r>
      <w:r w:rsidR="00C50FA2" w:rsidRPr="008E7468">
        <w:rPr>
          <w:bCs/>
          <w:lang w:val="en-US"/>
        </w:rPr>
        <w:t xml:space="preserve"> AD patien</w:t>
      </w:r>
      <w:r w:rsidR="00C50FA2">
        <w:rPr>
          <w:bCs/>
          <w:lang w:val="en-US"/>
        </w:rPr>
        <w:t>t</w:t>
      </w:r>
      <w:r w:rsidR="00C50FA2" w:rsidRPr="008E7468">
        <w:rPr>
          <w:bCs/>
          <w:lang w:val="en-US"/>
        </w:rPr>
        <w:t xml:space="preserve">. </w:t>
      </w:r>
      <w:r w:rsidR="00C50FA2">
        <w:rPr>
          <w:bCs/>
          <w:lang w:val="en-US"/>
        </w:rPr>
        <w:t>Processing</w:t>
      </w:r>
      <w:r w:rsidR="00C50FA2" w:rsidRPr="008E7468">
        <w:rPr>
          <w:bCs/>
          <w:lang w:val="en-US"/>
        </w:rPr>
        <w:t xml:space="preserve"> consist</w:t>
      </w:r>
      <w:r w:rsidR="00C50FA2">
        <w:rPr>
          <w:bCs/>
          <w:lang w:val="en-US"/>
        </w:rPr>
        <w:t>ed</w:t>
      </w:r>
      <w:r w:rsidR="00C50FA2" w:rsidRPr="008E7468">
        <w:rPr>
          <w:bCs/>
          <w:lang w:val="en-US"/>
        </w:rPr>
        <w:t xml:space="preserve"> in</w:t>
      </w:r>
      <w:r w:rsidR="00C50FA2">
        <w:rPr>
          <w:bCs/>
          <w:lang w:val="en-US"/>
        </w:rPr>
        <w:t xml:space="preserve"> a sequence of mathematical functions</w:t>
      </w:r>
      <w:r w:rsidR="00637930">
        <w:rPr>
          <w:bCs/>
          <w:lang w:val="en-US"/>
        </w:rPr>
        <w:t xml:space="preserve"> </w:t>
      </w:r>
      <w:r w:rsidR="00637930">
        <w:rPr>
          <w:bCs/>
          <w:lang w:val="en-US"/>
        </w:rPr>
        <w:fldChar w:fldCharType="begin" w:fldLock="1"/>
      </w:r>
      <w:r w:rsidR="00637930">
        <w:rPr>
          <w:bCs/>
          <w:lang w:val="en-US"/>
        </w:rPr>
        <w:instrText>ADDIN CSL_CITATION {"citationItems":[{"id":"ITEM-1","itemData":{"DOI":"10.1039/d0an02137g","ISSN":"13645528","PMID":"33210104","abstract":"Establishing standardized methods for a consistent analysis of spectral data remains a largely underexplored aspect in surface-enhanced Raman spectroscopy (SERS), particularly applied to biological and biomedical research. Here we propose an effective machine learning classification of protein species with closely resembled spectral profiles by a mixed data processing based on principal component analysis (PCA) applied to multipeak fitting on SERS spectra. This strategy simultaneously assures a successful discrimination of proteins and a thorough characterization of the chemostructural differences among them, ultimately opening up new routes for SERS evolution toward sensing applications and diagnostics of interest in life sciences.","author":[{"dropping-particle":"","family":"Barucci","given":"Andrea","non-dropping-particle":"","parse-names":false,"suffix":""},{"dropping-particle":"","family":"D'Andrea","given":"Cristiano","non-dropping-particle":"","parse-names":false,"suffix":""},{"dropping-particle":"","family":"Farnesi","given":"Edoardo","non-dropping-particle":"","parse-names":false,"suffix":""},{"dropping-particle":"","family":"Banchelli","given":"Martina","non-dropping-particle":"","parse-names":false,"suffix":""},{"dropping-particle":"","family":"Amicucci","given":"Chiara","non-dropping-particle":"","parse-names":false,"suffix":""},{"dropping-particle":"","family":"Angelis","given":"Marella","non-dropping-particle":"De","parse-names":false,"suffix":""},{"dropping-particle":"","family":"Hwang","given":"Byungil","non-dropping-particle":"","parse-names":false,"suffix":""},{"dropping-particle":"","family":"Matteini","given":"Paolo","non-dropping-particle":"","parse-names":false,"suffix":""}],"container-title":"Analyst","id":"ITEM-1","issued":{"date-parts":[["2021"]]},"title":"Label-free SERS detection of proteins based on machine learning classification of chemo-structural determinants","type":"article-journal"},"uris":["http://www.mendeley.com/documents/?uuid=6d25883d-2f70-4e5c-aef9-d26d0f181619"]},{"id":"ITEM-2","itemData":{"DOI":"10.1002/anie.201607604","ISSN":"15213773","PMID":"27862751","abstract":"Raman spectroscopy is an emerging technique in bioanalysis and imaging of biomaterials owing to its unique capability of generating spectroscopic fingerprints. Imaging cells and tissues by Raman microspectroscopy represents a nondestructive and label-free approach. All components of cells or tissues contribute to the Raman signals, giving rise to complex spectral signatures. Resonance Raman scattering and surface-enhanced Raman scattering can be used to enhance the signals and reduce the spectral complexity. Raman-active labels can be introduced to increase specificity and multimodality. In addition, nonlinear coherent Raman scattering methods offer higher sensitivities, which enable the rapid imaging of larger sampling areas. Finally, fiber-based imaging techniques pave the way towards in vivo applications of Raman spectroscopy. This Review summarizes the basic principles behind medical Raman imaging and its progress since 2012.","author":[{"dropping-particle":"","family":"Krafft","given":"Christoph","non-dropping-particle":"","parse-names":false,"suffix":""},{"dropping-particle":"","family":"Schmitt","given":"Michael","non-dropping-particle":"","parse-names":false,"suffix":""},{"dropping-particle":"","family":"Schie","given":"Iwan W.","non-dropping-particle":"","parse-names":false,"suffix":""},{"dropping-particle":"","family":"Cialla-May","given":"Dana","non-dropping-particle":"","parse-names":false,"suffix":""},{"dropping-particle":"","family":"Matthäus","given":"Christian","non-dropping-particle":"","parse-names":false,"suffix":""},{"dropping-particle":"","family":"Bocklitz","given":"Thomas","non-dropping-particle":"","parse-names":false,"suffix":""},{"dropping-particle":"","family":"Popp","given":"Jürgen","non-dropping-particle":"","parse-names":false,"suffix":""}],"container-title":"Angewandte Chemie - International Edition","id":"ITEM-2","issued":{"date-parts":[["2017"]]},"title":"Label-Free Molecular Imaging of Biological Cells and Tissues by Linear and Nonlinear Raman Spectroscopic Approaches","type":"article"},"uris":["http://www.mendeley.com/documents/?uuid=fd3d6f83-fd60-4386-969b-a0787bc1fecd"]}],"mendeley":{"formattedCitation":"[2,3]","plainTextFormattedCitation":"[2,3]","previouslyFormattedCitation":"[2,3]"},"properties":{"noteIndex":0},"schema":"https://github.com/citation-style-language/schema/raw/master/csl-citation.json"}</w:instrText>
      </w:r>
      <w:r w:rsidR="00637930">
        <w:rPr>
          <w:bCs/>
          <w:lang w:val="en-US"/>
        </w:rPr>
        <w:fldChar w:fldCharType="separate"/>
      </w:r>
      <w:r w:rsidR="00637930" w:rsidRPr="00637930">
        <w:rPr>
          <w:bCs/>
          <w:noProof/>
          <w:lang w:val="en-US"/>
        </w:rPr>
        <w:t>[2,3]</w:t>
      </w:r>
      <w:r w:rsidR="00637930">
        <w:rPr>
          <w:bCs/>
          <w:lang w:val="en-US"/>
        </w:rPr>
        <w:fldChar w:fldCharType="end"/>
      </w:r>
      <w:r w:rsidR="00637930">
        <w:rPr>
          <w:bCs/>
          <w:lang w:val="en-US"/>
        </w:rPr>
        <w:t xml:space="preserve">, </w:t>
      </w:r>
      <w:r w:rsidR="00C50FA2">
        <w:rPr>
          <w:bCs/>
          <w:lang w:val="en-US"/>
        </w:rPr>
        <w:t>in which t</w:t>
      </w:r>
      <w:r w:rsidR="00C50FA2" w:rsidRPr="00A32D03">
        <w:rPr>
          <w:bCs/>
          <w:lang w:val="en-US"/>
        </w:rPr>
        <w:t xml:space="preserve">he spectra </w:t>
      </w:r>
      <w:r w:rsidR="00C50FA2">
        <w:rPr>
          <w:bCs/>
          <w:lang w:val="en-US"/>
        </w:rPr>
        <w:t>were</w:t>
      </w:r>
      <w:r w:rsidR="00C50FA2" w:rsidRPr="00A32D03">
        <w:rPr>
          <w:bCs/>
          <w:lang w:val="en-US"/>
        </w:rPr>
        <w:t xml:space="preserve"> corrected for cosmic ray spikes, baselined (polynomial fit), smoothed and area normalized</w:t>
      </w:r>
      <w:r w:rsidR="00C50FA2">
        <w:rPr>
          <w:bCs/>
          <w:lang w:val="en-US"/>
        </w:rPr>
        <w:t xml:space="preserve"> by using </w:t>
      </w:r>
      <w:proofErr w:type="spellStart"/>
      <w:r w:rsidR="00C50FA2">
        <w:rPr>
          <w:bCs/>
          <w:lang w:val="en-US"/>
        </w:rPr>
        <w:t>Labspec</w:t>
      </w:r>
      <w:proofErr w:type="spellEnd"/>
      <w:r w:rsidR="00C50FA2">
        <w:rPr>
          <w:bCs/>
          <w:lang w:val="en-US"/>
        </w:rPr>
        <w:t xml:space="preserve"> 6 software </w:t>
      </w:r>
      <w:r w:rsidR="00C50FA2" w:rsidRPr="003258A3">
        <w:rPr>
          <w:bCs/>
          <w:lang w:val="en-US"/>
        </w:rPr>
        <w:t>(Horiba</w:t>
      </w:r>
      <w:r w:rsidR="00C50FA2">
        <w:rPr>
          <w:bCs/>
          <w:lang w:val="en-US"/>
        </w:rPr>
        <w:t>, France</w:t>
      </w:r>
      <w:r w:rsidR="00C50FA2" w:rsidRPr="003258A3">
        <w:rPr>
          <w:bCs/>
          <w:lang w:val="en-US"/>
        </w:rPr>
        <w:t>)</w:t>
      </w:r>
      <w:r w:rsidR="00C50FA2">
        <w:rPr>
          <w:bCs/>
          <w:lang w:val="en-US"/>
        </w:rPr>
        <w:t>.</w:t>
      </w:r>
    </w:p>
    <w:p w14:paraId="3D3F3647" w14:textId="77777777" w:rsidR="00C50FA2" w:rsidRDefault="00C50FA2" w:rsidP="009B6EDD">
      <w:pPr>
        <w:spacing w:after="160" w:line="480" w:lineRule="auto"/>
        <w:rPr>
          <w:b/>
          <w:lang w:val="en-US"/>
        </w:rPr>
      </w:pPr>
      <w:r>
        <w:rPr>
          <w:b/>
          <w:lang w:val="en-US"/>
        </w:rPr>
        <w:br w:type="page"/>
      </w:r>
    </w:p>
    <w:p w14:paraId="7AC66701" w14:textId="1353E5FF" w:rsidR="00C50FA2" w:rsidRDefault="00990451" w:rsidP="009B6EDD">
      <w:pPr>
        <w:spacing w:line="480" w:lineRule="auto"/>
        <w:jc w:val="center"/>
        <w:rPr>
          <w:b/>
          <w:lang w:val="en-US"/>
        </w:rPr>
      </w:pPr>
      <w:r>
        <w:rPr>
          <w:b/>
          <w:noProof/>
        </w:rPr>
        <w:lastRenderedPageBreak/>
        <w:drawing>
          <wp:inline distT="0" distB="0" distL="0" distR="0" wp14:anchorId="354B2223" wp14:editId="4C25E19F">
            <wp:extent cx="5471202" cy="62579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1677" cy="6258469"/>
                    </a:xfrm>
                    <a:prstGeom prst="rect">
                      <a:avLst/>
                    </a:prstGeom>
                    <a:noFill/>
                  </pic:spPr>
                </pic:pic>
              </a:graphicData>
            </a:graphic>
          </wp:inline>
        </w:drawing>
      </w:r>
    </w:p>
    <w:p w14:paraId="286A80A2" w14:textId="77777777" w:rsidR="00C50FA2" w:rsidRPr="004B59B2" w:rsidRDefault="00C50FA2" w:rsidP="009B6EDD">
      <w:pPr>
        <w:spacing w:line="480" w:lineRule="auto"/>
        <w:jc w:val="center"/>
        <w:rPr>
          <w:b/>
          <w:lang w:val="en-GB"/>
        </w:rPr>
      </w:pPr>
    </w:p>
    <w:p w14:paraId="18D596A7" w14:textId="24304088" w:rsidR="00C50FA2" w:rsidRPr="00D563D5" w:rsidRDefault="00C50FA2" w:rsidP="009B6EDD">
      <w:pPr>
        <w:spacing w:line="480" w:lineRule="auto"/>
        <w:jc w:val="both"/>
        <w:rPr>
          <w:lang w:val="en-US"/>
        </w:rPr>
      </w:pPr>
      <w:r w:rsidRPr="00CE727B">
        <w:rPr>
          <w:b/>
          <w:lang w:val="en-GB"/>
        </w:rPr>
        <w:t xml:space="preserve">Figure </w:t>
      </w:r>
      <w:r w:rsidRPr="004B59B2">
        <w:rPr>
          <w:b/>
          <w:lang w:val="en-GB"/>
        </w:rPr>
        <w:t>S</w:t>
      </w:r>
      <w:r w:rsidR="00CD3044">
        <w:rPr>
          <w:b/>
          <w:lang w:val="en-GB"/>
        </w:rPr>
        <w:t>3</w:t>
      </w:r>
      <w:r w:rsidRPr="00CE727B">
        <w:rPr>
          <w:b/>
          <w:lang w:val="en-GB"/>
        </w:rPr>
        <w:t xml:space="preserve">. </w:t>
      </w:r>
      <w:r>
        <w:rPr>
          <w:lang w:val="en-GB"/>
        </w:rPr>
        <w:t>Seed amplification assay of CSF samples collected from AD-dementia, MCI-AD (top panel) and ONC (bottom panel). A seeding activity is observed in 9/16 AD-dementia samples (AD#1,</w:t>
      </w:r>
      <w:r w:rsidRPr="00AD5697">
        <w:rPr>
          <w:lang w:val="en-GB"/>
        </w:rPr>
        <w:t xml:space="preserve"> </w:t>
      </w:r>
      <w:r>
        <w:rPr>
          <w:lang w:val="en-GB"/>
        </w:rPr>
        <w:t>AD#2, AD#6, AD#8, AD#11, AD#12, AD#15, AD#16, AD#18), in 3/4 MCI-AD (AD#7, AD#13, AD#14) but also in 4/11 ONC (#1, #3, #5, #7)</w:t>
      </w:r>
      <w:r w:rsidR="008F2B08">
        <w:rPr>
          <w:lang w:val="en-GB"/>
        </w:rPr>
        <w:t>.</w:t>
      </w:r>
    </w:p>
    <w:p w14:paraId="5501494D" w14:textId="77777777" w:rsidR="00C50FA2" w:rsidRPr="004B59B2" w:rsidRDefault="00C50FA2" w:rsidP="009B6EDD">
      <w:pPr>
        <w:spacing w:line="480" w:lineRule="auto"/>
        <w:jc w:val="center"/>
        <w:rPr>
          <w:b/>
          <w:lang w:val="en-GB"/>
        </w:rPr>
      </w:pPr>
    </w:p>
    <w:p w14:paraId="2D65F780" w14:textId="77777777" w:rsidR="00C50FA2" w:rsidRDefault="00C50FA2" w:rsidP="009B6EDD">
      <w:pPr>
        <w:spacing w:after="160" w:line="480" w:lineRule="auto"/>
        <w:rPr>
          <w:b/>
          <w:lang w:val="en-GB"/>
        </w:rPr>
      </w:pPr>
      <w:r>
        <w:rPr>
          <w:b/>
          <w:lang w:val="en-GB"/>
        </w:rPr>
        <w:br w:type="page"/>
      </w:r>
    </w:p>
    <w:p w14:paraId="00EAAF69" w14:textId="77777777" w:rsidR="00C50FA2" w:rsidRDefault="00C50FA2" w:rsidP="009B6EDD">
      <w:pPr>
        <w:spacing w:line="480" w:lineRule="auto"/>
        <w:jc w:val="both"/>
        <w:rPr>
          <w:rFonts w:ascii="Book Antiqua" w:hAnsi="Book Antiqua"/>
          <w:lang w:val="en-GB"/>
        </w:rPr>
      </w:pPr>
      <w:r w:rsidRPr="00154CF8">
        <w:rPr>
          <w:rFonts w:ascii="Book Antiqua" w:hAnsi="Book Antiqua"/>
          <w:noProof/>
        </w:rPr>
        <w:lastRenderedPageBreak/>
        <w:drawing>
          <wp:inline distT="0" distB="0" distL="0" distR="0" wp14:anchorId="78BD7EE0" wp14:editId="18B9418D">
            <wp:extent cx="6120130" cy="5361233"/>
            <wp:effectExtent l="0" t="0" r="127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120130" cy="5361233"/>
                    </a:xfrm>
                    <a:prstGeom prst="rect">
                      <a:avLst/>
                    </a:prstGeom>
                    <a:noFill/>
                    <a:ln>
                      <a:noFill/>
                    </a:ln>
                  </pic:spPr>
                </pic:pic>
              </a:graphicData>
            </a:graphic>
          </wp:inline>
        </w:drawing>
      </w:r>
    </w:p>
    <w:p w14:paraId="4657F4D5" w14:textId="69BA8552" w:rsidR="00C50FA2" w:rsidRPr="00594865" w:rsidRDefault="00C50FA2" w:rsidP="009B6EDD">
      <w:pPr>
        <w:spacing w:line="480" w:lineRule="auto"/>
        <w:jc w:val="both"/>
        <w:rPr>
          <w:lang w:val="en-GB"/>
        </w:rPr>
      </w:pPr>
      <w:r w:rsidRPr="00594865">
        <w:rPr>
          <w:b/>
          <w:bCs/>
          <w:lang w:val="en-GB"/>
        </w:rPr>
        <w:t>Figure S</w:t>
      </w:r>
      <w:r w:rsidR="00CD3044">
        <w:rPr>
          <w:b/>
          <w:bCs/>
          <w:lang w:val="en-GB"/>
        </w:rPr>
        <w:t>4</w:t>
      </w:r>
      <w:r w:rsidRPr="00594865">
        <w:rPr>
          <w:b/>
          <w:bCs/>
          <w:lang w:val="en-GB"/>
        </w:rPr>
        <w:t>.</w:t>
      </w:r>
      <w:r w:rsidRPr="00594865">
        <w:rPr>
          <w:lang w:val="en-GB"/>
        </w:rPr>
        <w:t xml:space="preserve"> AFM imaging. Tapping-mode height images acquired on the CSF of </w:t>
      </w:r>
      <w:r w:rsidRPr="00154CF8">
        <w:rPr>
          <w:lang w:val="en-GB"/>
        </w:rPr>
        <w:t xml:space="preserve">a </w:t>
      </w:r>
      <w:r>
        <w:rPr>
          <w:lang w:val="en-GB"/>
        </w:rPr>
        <w:t>ONC</w:t>
      </w:r>
      <w:r w:rsidRPr="00154CF8">
        <w:rPr>
          <w:lang w:val="en-GB"/>
        </w:rPr>
        <w:t xml:space="preserve"> (</w:t>
      </w:r>
      <w:r w:rsidRPr="00154CF8">
        <w:rPr>
          <w:bCs/>
          <w:lang w:val="en-GB"/>
        </w:rPr>
        <w:t>a</w:t>
      </w:r>
      <w:r w:rsidRPr="00154CF8">
        <w:rPr>
          <w:lang w:val="en-GB"/>
        </w:rPr>
        <w:t>) and an AD sample (</w:t>
      </w:r>
      <w:r w:rsidRPr="00154CF8">
        <w:rPr>
          <w:bCs/>
          <w:lang w:val="en-GB"/>
        </w:rPr>
        <w:t>b</w:t>
      </w:r>
      <w:r w:rsidRPr="00154CF8">
        <w:rPr>
          <w:lang w:val="en-GB"/>
        </w:rPr>
        <w:t xml:space="preserve">), before the </w:t>
      </w:r>
      <w:r>
        <w:rPr>
          <w:lang w:val="en-GB"/>
        </w:rPr>
        <w:t>SAA</w:t>
      </w:r>
      <w:r w:rsidRPr="00154CF8">
        <w:rPr>
          <w:lang w:val="en-GB"/>
        </w:rPr>
        <w:t xml:space="preserve"> treatment (the height bar is shown on the right). (</w:t>
      </w:r>
      <w:r w:rsidRPr="00154CF8">
        <w:rPr>
          <w:bCs/>
          <w:lang w:val="en-GB"/>
        </w:rPr>
        <w:t>c</w:t>
      </w:r>
      <w:r w:rsidRPr="00154CF8">
        <w:rPr>
          <w:lang w:val="en-GB"/>
        </w:rPr>
        <w:t>) Higher resolution magnification of the white panel highlighted in figure (</w:t>
      </w:r>
      <w:r w:rsidRPr="00154CF8">
        <w:rPr>
          <w:bCs/>
          <w:lang w:val="en-GB"/>
        </w:rPr>
        <w:t>b</w:t>
      </w:r>
      <w:r w:rsidRPr="00154CF8">
        <w:rPr>
          <w:lang w:val="en-GB"/>
        </w:rPr>
        <w:t>), showing</w:t>
      </w:r>
      <w:r w:rsidRPr="00594865">
        <w:rPr>
          <w:lang w:val="en-GB"/>
        </w:rPr>
        <w:t xml:space="preserve"> Αβ </w:t>
      </w:r>
      <w:r>
        <w:rPr>
          <w:lang w:val="en-GB"/>
        </w:rPr>
        <w:t>oligomers</w:t>
      </w:r>
      <w:r w:rsidRPr="00594865">
        <w:rPr>
          <w:lang w:val="en-GB"/>
        </w:rPr>
        <w:t xml:space="preserve">. The red </w:t>
      </w:r>
      <w:r>
        <w:rPr>
          <w:lang w:val="en-GB"/>
        </w:rPr>
        <w:t xml:space="preserve">dotted line represents the </w:t>
      </w:r>
      <w:r w:rsidRPr="00594865">
        <w:rPr>
          <w:lang w:val="en-GB"/>
        </w:rPr>
        <w:t xml:space="preserve">axis </w:t>
      </w:r>
      <w:r>
        <w:rPr>
          <w:lang w:val="en-GB"/>
        </w:rPr>
        <w:t>along which the</w:t>
      </w:r>
      <w:r w:rsidRPr="00594865">
        <w:rPr>
          <w:lang w:val="en-GB"/>
        </w:rPr>
        <w:t xml:space="preserve"> height profile of the Αβ </w:t>
      </w:r>
      <w:r>
        <w:rPr>
          <w:lang w:val="en-GB"/>
        </w:rPr>
        <w:t>oligomers</w:t>
      </w:r>
      <w:r w:rsidRPr="00594865">
        <w:rPr>
          <w:lang w:val="en-GB"/>
        </w:rPr>
        <w:t xml:space="preserve"> </w:t>
      </w:r>
      <w:r w:rsidRPr="00154CF8">
        <w:rPr>
          <w:lang w:val="en-GB"/>
        </w:rPr>
        <w:t xml:space="preserve">shown in </w:t>
      </w:r>
      <w:r w:rsidRPr="00B117D5">
        <w:rPr>
          <w:lang w:val="en-GB"/>
        </w:rPr>
        <w:t>(d)</w:t>
      </w:r>
      <w:r>
        <w:rPr>
          <w:lang w:val="en-GB"/>
        </w:rPr>
        <w:t xml:space="preserve"> has been measured</w:t>
      </w:r>
      <w:r w:rsidRPr="00154CF8">
        <w:rPr>
          <w:lang w:val="en-GB"/>
        </w:rPr>
        <w:t>.</w:t>
      </w:r>
      <w:r>
        <w:rPr>
          <w:lang w:val="en-GB"/>
        </w:rPr>
        <w:t xml:space="preserve"> Correcting the measured widths for the tip-induced broadening in the image plane as previously reported</w:t>
      </w:r>
      <w:r w:rsidR="00637930">
        <w:rPr>
          <w:lang w:val="en-GB"/>
        </w:rPr>
        <w:t xml:space="preserve"> </w:t>
      </w:r>
      <w:r w:rsidR="00637930">
        <w:rPr>
          <w:lang w:val="en-GB"/>
        </w:rPr>
        <w:fldChar w:fldCharType="begin" w:fldLock="1"/>
      </w:r>
      <w:r w:rsidR="00637930">
        <w:rPr>
          <w:lang w:val="en-GB"/>
        </w:rPr>
        <w:instrText>ADDIN CSL_CITATION {"citationItems":[{"id":"ITEM-1","itemData":{"DOI":"10.1002/smll.201800890","ISSN":"16136829","PMID":"30091859","abstract":"Highly toxic protein misfolded oligomers associated with neurological disorders such as Alzheimer's and Parkinson's diseases are nowadays considered primarily responsible for promoting synaptic failure and neuronal death. Unraveling the relationship between structure and neurotoxicity of protein oligomers appears pivotal in understanding the causes of the pathological process, as well as in designing novel diagnostic and therapeutic strategies tuned toward the earliest and presymptomatic stages of the disease. Here, it is benefited from tip-enhanced Raman spectroscopy (TERS) as a surface-sensitive tool with spatial resolution on the nanoscale, to inspect the spatial organization and surface character of individual protein oligomers from two samples formed by the same polypeptide sequence and different toxicity levels. TERS provides direct assignment of specific amino acid residues that are exposed to a large extent on the surface of toxic species and buried in nontoxic oligomers. These residues, thanks to their outward disposition, might represent structural factors driving the pathogenic behavior exhibited by protein misfolded oligomers, including affecting cell membrane integrity and specific signaling pathways in neurodegenerative conditions.","author":[{"dropping-particle":"","family":"D'Andrea","given":"Cristiano","non-dropping-particle":"","parse-names":false,"suffix":""},{"dropping-particle":"","family":"Foti","given":"Antonino","non-dropping-particle":"","parse-names":false,"suffix":""},{"dropping-particle":"","family":"Cottat","given":"Maximilien","non-dropping-particle":"","parse-names":false,"suffix":""},{"dropping-particle":"","family":"Banchelli","given":"Martina","non-dropping-particle":"","parse-names":false,"suffix":""},{"dropping-particle":"","family":"Capitini","given":"Claudia","non-dropping-particle":"","parse-names":false,"suffix":""},{"dropping-particle":"","family":"Barreca","given":"Francesco","non-dropping-particle":"","parse-names":false,"suffix":""},{"dropping-particle":"","family":"Canale","given":"Claudio","non-dropping-particle":"","parse-names":false,"suffix":""},{"dropping-particle":"","family":"Angelis","given":"Marella","non-dropping-particle":"de","parse-names":false,"suffix":""},{"dropping-particle":"","family":"Relini","given":"Annalisa","non-dropping-particle":"","parse-names":false,"suffix":""},{"dropping-particle":"","family":"Maragò","given":"Onofrio M.","non-dropping-particle":"","parse-names":false,"suffix":""},{"dropping-particle":"","family":"Pini","given":"Roberto","non-dropping-particle":"","parse-names":false,"suffix":""},{"dropping-particle":"","family":"Chiti","given":"Fabrizio","non-dropping-particle":"","parse-names":false,"suffix":""},{"dropping-particle":"","family":"Gucciardi","given":"Pietro G.","non-dropping-particle":"","parse-names":false,"suffix":""},{"dropping-particle":"","family":"Matteini","given":"Paolo","non-dropping-particle":"","parse-names":false,"suffix":""}],"container-title":"Small","id":"ITEM-1","issued":{"date-parts":[["2018"]]},"title":"Nanoscale Discrimination between Toxic and Nontoxic Protein Misfolded Oligomers with Tip-Enhanced Raman Spectroscopy","type":"article-journal"},"uris":["http://www.mendeley.com/documents/?uuid=0ccf4d79-ad44-4b4a-b40f-78d7fee7ac37"]}],"mendeley":{"formattedCitation":"[4]","plainTextFormattedCitation":"[4]","previouslyFormattedCitation":"[4]"},"properties":{"noteIndex":0},"schema":"https://github.com/citation-style-language/schema/raw/master/csl-citation.json"}</w:instrText>
      </w:r>
      <w:r w:rsidR="00637930">
        <w:rPr>
          <w:lang w:val="en-GB"/>
        </w:rPr>
        <w:fldChar w:fldCharType="separate"/>
      </w:r>
      <w:r w:rsidR="00637930" w:rsidRPr="00637930">
        <w:rPr>
          <w:noProof/>
          <w:lang w:val="en-GB"/>
        </w:rPr>
        <w:t>[4]</w:t>
      </w:r>
      <w:r w:rsidR="00637930">
        <w:rPr>
          <w:lang w:val="en-GB"/>
        </w:rPr>
        <w:fldChar w:fldCharType="end"/>
      </w:r>
      <w:r w:rsidR="00637930">
        <w:rPr>
          <w:lang w:val="en-GB"/>
        </w:rPr>
        <w:t>,</w:t>
      </w:r>
      <w:r>
        <w:rPr>
          <w:lang w:val="en-GB"/>
        </w:rPr>
        <w:t xml:space="preserve"> the estimated diameter of the </w:t>
      </w:r>
      <w:proofErr w:type="spellStart"/>
      <w:r>
        <w:rPr>
          <w:lang w:val="en-GB"/>
        </w:rPr>
        <w:t>oligomeric</w:t>
      </w:r>
      <w:proofErr w:type="spellEnd"/>
      <w:r>
        <w:rPr>
          <w:lang w:val="en-GB"/>
        </w:rPr>
        <w:t xml:space="preserve"> aggregates is </w:t>
      </w:r>
      <w:r w:rsidRPr="000273B3">
        <w:rPr>
          <w:lang w:val="en-GB"/>
        </w:rPr>
        <w:t>~</w:t>
      </w:r>
      <w:r>
        <w:rPr>
          <w:lang w:val="en-GB"/>
        </w:rPr>
        <w:t>30</w:t>
      </w:r>
      <w:r w:rsidRPr="000273B3">
        <w:rPr>
          <w:lang w:val="en-GB"/>
        </w:rPr>
        <w:t xml:space="preserve"> nm</w:t>
      </w:r>
      <w:r>
        <w:rPr>
          <w:lang w:val="en-GB"/>
        </w:rPr>
        <w:t>, in accordance with previous studies</w:t>
      </w:r>
      <w:r w:rsidR="00637930">
        <w:rPr>
          <w:lang w:val="en-GB"/>
        </w:rPr>
        <w:t xml:space="preserve"> </w:t>
      </w:r>
      <w:r w:rsidR="00637930">
        <w:rPr>
          <w:lang w:val="en-GB"/>
        </w:rPr>
        <w:fldChar w:fldCharType="begin" w:fldLock="1"/>
      </w:r>
      <w:r w:rsidR="00637930">
        <w:rPr>
          <w:lang w:val="en-GB"/>
        </w:rPr>
        <w:instrText>ADDIN CSL_CITATION {"citationItems":[{"id":"ITEM-1","itemData":{"DOI":"10.1371/journal.pone.0025954","ISSN":"1932-6203","PMID":"22016789","abstract":"Using atomic force microscopy (AFM) we investigated the interaction of amyloid beta (Aβ) (1-42) peptide with chemically modified surfaces in order to better understand the mechanism of amyloid toxicity, which involves interaction of amyloid with cell membrane surfaces. We compared the structure and density of Aβ fibrils on positively and negatively charged as well as hydrophobic chemically-modified surfaces at physiologically relevant conditions. We report that due to the complex distribution of charge and hydrophobicity amyloid oligomers bind to all types of surfaces investigated (CH 3, COOH, and NH 2) although the charge and hydrophobicity of surfaces affected the structure and size of amyloid deposits as well as surface coverage. Hydrophobic surfaces promote formation of spherical amorphous clusters, while charged surfaces promote protofibril formation. We used the nonlinear Poisson-Boltzmann equation (PBE) approach to analyze the electrostatic interactions of amyloid monomers and oligomers with modified surfaces to complement our AFM data. © 2011 Moores et al.","author":[{"dropping-particle":"","family":"Moores","given":"Bradley","non-dropping-particle":"","parse-names":false,"suffix":""},{"dropping-particle":"","family":"Drolle","given":"Elizabeth","non-dropping-particle":"","parse-names":false,"suffix":""},{"dropping-particle":"","family":"Attwood","given":"Simon J.","non-dropping-particle":"","parse-names":false,"suffix":""},{"dropping-particle":"","family":"Simons","given":"Janet","non-dropping-particle":"","parse-names":false,"suffix":""},{"dropping-particle":"","family":"Leonenko","given":"Zoya","non-dropping-particle":"","parse-names":false,"suffix":""}],"container-title":"PLoS ONE","editor":[{"dropping-particle":"","family":"Sokolov","given":"Igor","non-dropping-particle":"","parse-names":false,"suffix":""}],"id":"ITEM-1","issue":"10","issued":{"date-parts":[["2011","10"]]},"page":"e25954","title":"Effect of Surfaces on Amyloid Fibril Formation","type":"article-journal","volume":"6"},"uris":["http://www.mendeley.com/documents/?uuid=d608007d-b7fe-40a5-834f-0a93e9f8aec1"]},{"id":"ITEM-2","itemData":{"DOI":"10.1006/exnr.1999.7114","ISSN":"00144886","PMID":"10415150","abstract":"The Alzheimer's disease-related peptide β(1.40) amyloid self-associates to form fibrils exhibiting a morphology characteristic of amyloidogenic proteins. The mechanism of this fibrillization process has yet to be fully elucidated. In this study we have immobilized the β(1-40) amyloid to fiat gold surfaces using thiol-based self-assembled monolayers. Atomic force microscopy reveals the presence of spherical units of β(1-40) amyloid immediately following the initiation of fibrillization. Short fibrillar structures, termed nascent fibrils, which appear to be formed by the association of these units are also present at this time point. At later time points extended, branching networks of fibrils are observed. Some fibrils exhibit a more beaded appearance and greater axial periodicity than others. No nascent fibrils are seen to be present. We believe that these data identify an early fibril structure which could act as an intermediate in β- amyloid fibrillization. The oligomeric units of which these nascent fibrils are comprised are also determined.","author":[{"dropping-particle":"","family":"Blackley","given":"H. K.L.","non-dropping-particle":"","parse-names":false,"suffix":""},{"dropping-particle":"","family":"Patel","given":"N.","non-dropping-particle":"","parse-names":false,"suffix":""},{"dropping-particle":"","family":"Davies","given":"M. C.","non-dropping-particle":"","parse-names":false,"suffix":""},{"dropping-particle":"","family":"Roberts","given":"C. J.","non-dropping-particle":"","parse-names":false,"suffix":""},{"dropping-particle":"","family":"Tendler","given":"S. J.B.","non-dropping-particle":"","parse-names":false,"suffix":""},{"dropping-particle":"","family":"Wilkinson","given":"M. J.","non-dropping-particle":"","parse-names":false,"suffix":""},{"dropping-particle":"","family":"Williams","given":"P. M.","non-dropping-particle":"","parse-names":false,"suffix":""}],"container-title":"Experimental Neurology","id":"ITEM-2","issued":{"date-parts":[["1999"]]},"title":"Morphological development of β(1-40) amyloid fibrils","type":"article-journal"},"uris":["http://www.mendeley.com/documents/?uuid=0da7c4c0-b80b-49ed-ab53-554323b7f559"]}],"mendeley":{"formattedCitation":"[5,6]","plainTextFormattedCitation":"[5,6]","previouslyFormattedCitation":"[5,6]"},"properties":{"noteIndex":0},"schema":"https://github.com/citation-style-language/schema/raw/master/csl-citation.json"}</w:instrText>
      </w:r>
      <w:r w:rsidR="00637930">
        <w:rPr>
          <w:lang w:val="en-GB"/>
        </w:rPr>
        <w:fldChar w:fldCharType="separate"/>
      </w:r>
      <w:r w:rsidR="00637930" w:rsidRPr="00637930">
        <w:rPr>
          <w:noProof/>
          <w:lang w:val="en-GB"/>
        </w:rPr>
        <w:t>[5,6]</w:t>
      </w:r>
      <w:r w:rsidR="00637930">
        <w:rPr>
          <w:lang w:val="en-GB"/>
        </w:rPr>
        <w:fldChar w:fldCharType="end"/>
      </w:r>
      <w:r w:rsidR="00637930">
        <w:rPr>
          <w:lang w:val="en-GB"/>
        </w:rPr>
        <w:t>.</w:t>
      </w:r>
    </w:p>
    <w:p w14:paraId="3758773B" w14:textId="5E19E085" w:rsidR="00C50FA2" w:rsidRPr="006D4580" w:rsidRDefault="00C50FA2" w:rsidP="009B6EDD">
      <w:pPr>
        <w:spacing w:after="160" w:line="276" w:lineRule="auto"/>
        <w:rPr>
          <w:b/>
          <w:lang w:val="en-US"/>
        </w:rPr>
      </w:pPr>
      <w:r>
        <w:rPr>
          <w:b/>
          <w:lang w:val="en-US"/>
        </w:rPr>
        <w:br w:type="page"/>
      </w:r>
    </w:p>
    <w:p w14:paraId="57E2EE4B" w14:textId="77777777" w:rsidR="00C50FA2" w:rsidRDefault="00C50FA2" w:rsidP="009B6EDD">
      <w:pPr>
        <w:spacing w:line="480" w:lineRule="auto"/>
        <w:jc w:val="center"/>
        <w:rPr>
          <w:b/>
          <w:lang w:val="en-US"/>
        </w:rPr>
      </w:pPr>
      <w:r>
        <w:rPr>
          <w:b/>
          <w:noProof/>
        </w:rPr>
        <w:lastRenderedPageBreak/>
        <w:drawing>
          <wp:inline distT="0" distB="0" distL="0" distR="0" wp14:anchorId="16148089" wp14:editId="2B93D818">
            <wp:extent cx="4569635" cy="8639996"/>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a:stretch>
                      <a:fillRect/>
                    </a:stretch>
                  </pic:blipFill>
                  <pic:spPr bwMode="auto">
                    <a:xfrm>
                      <a:off x="0" y="0"/>
                      <a:ext cx="4569635" cy="863999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a:ext>
                    </a:extLst>
                  </pic:spPr>
                </pic:pic>
              </a:graphicData>
            </a:graphic>
          </wp:inline>
        </w:drawing>
      </w:r>
    </w:p>
    <w:p w14:paraId="2716E8E2" w14:textId="1AA79691" w:rsidR="00C50FA2" w:rsidRDefault="00C50FA2" w:rsidP="009B6EDD">
      <w:pPr>
        <w:spacing w:line="480" w:lineRule="auto"/>
        <w:jc w:val="both"/>
        <w:rPr>
          <w:bCs/>
          <w:lang w:val="en-US"/>
        </w:rPr>
      </w:pPr>
      <w:r w:rsidRPr="00907412">
        <w:rPr>
          <w:b/>
          <w:lang w:val="en-US"/>
        </w:rPr>
        <w:lastRenderedPageBreak/>
        <w:t>Figure S</w:t>
      </w:r>
      <w:r w:rsidR="00CD3044">
        <w:rPr>
          <w:b/>
          <w:lang w:val="en-US"/>
        </w:rPr>
        <w:t>5</w:t>
      </w:r>
      <w:r>
        <w:rPr>
          <w:bCs/>
          <w:lang w:val="en-US"/>
        </w:rPr>
        <w:t>.</w:t>
      </w:r>
      <w:r w:rsidRPr="00200C8C">
        <w:rPr>
          <w:bCs/>
          <w:lang w:val="en-US"/>
        </w:rPr>
        <w:t xml:space="preserve"> SERS </w:t>
      </w:r>
      <w:r>
        <w:rPr>
          <w:bCs/>
          <w:lang w:val="en-US"/>
        </w:rPr>
        <w:t>spectra of SAA products of CSF samples from 16 AD and 4 MCI-AD patients. For each sample 50 SERS spectra were acquired, elaborated (as reported in Materials and Methods section) and the average spectrum and the standard deviation were plotted (black l</w:t>
      </w:r>
      <w:r w:rsidR="00C226F3">
        <w:rPr>
          <w:bCs/>
          <w:lang w:val="en-US"/>
        </w:rPr>
        <w:t>ine and red area, respectively)</w:t>
      </w:r>
    </w:p>
    <w:p w14:paraId="2A480A93" w14:textId="09315ACA" w:rsidR="0031215A" w:rsidRDefault="0031215A" w:rsidP="009B6EDD">
      <w:pPr>
        <w:spacing w:line="480" w:lineRule="auto"/>
        <w:jc w:val="both"/>
        <w:rPr>
          <w:bCs/>
          <w:lang w:val="en-US"/>
        </w:rPr>
      </w:pPr>
    </w:p>
    <w:p w14:paraId="4574B965" w14:textId="57EDB052" w:rsidR="0031215A" w:rsidRDefault="0031215A" w:rsidP="009B6EDD">
      <w:pPr>
        <w:spacing w:line="480" w:lineRule="auto"/>
        <w:jc w:val="both"/>
        <w:rPr>
          <w:bCs/>
          <w:lang w:val="en-US"/>
        </w:rPr>
      </w:pPr>
    </w:p>
    <w:p w14:paraId="54922B28" w14:textId="0F4F50EC" w:rsidR="0031215A" w:rsidRDefault="0031215A" w:rsidP="009B6EDD">
      <w:pPr>
        <w:spacing w:line="480" w:lineRule="auto"/>
        <w:jc w:val="both"/>
        <w:rPr>
          <w:bCs/>
          <w:lang w:val="en-US"/>
        </w:rPr>
      </w:pPr>
    </w:p>
    <w:p w14:paraId="70E0301E" w14:textId="576AEB62" w:rsidR="0031215A" w:rsidRDefault="0031215A" w:rsidP="009B6EDD">
      <w:pPr>
        <w:spacing w:line="480" w:lineRule="auto"/>
        <w:jc w:val="both"/>
        <w:rPr>
          <w:bCs/>
          <w:lang w:val="en-US"/>
        </w:rPr>
      </w:pPr>
    </w:p>
    <w:p w14:paraId="3BD50271" w14:textId="5E83C8CA" w:rsidR="0031215A" w:rsidRDefault="0031215A" w:rsidP="009B6EDD">
      <w:pPr>
        <w:spacing w:line="480" w:lineRule="auto"/>
        <w:jc w:val="both"/>
        <w:rPr>
          <w:bCs/>
          <w:lang w:val="en-US"/>
        </w:rPr>
      </w:pPr>
    </w:p>
    <w:p w14:paraId="00BADE01" w14:textId="2EFC63C9" w:rsidR="0031215A" w:rsidRDefault="0031215A" w:rsidP="009B6EDD">
      <w:pPr>
        <w:spacing w:line="480" w:lineRule="auto"/>
        <w:jc w:val="both"/>
        <w:rPr>
          <w:bCs/>
          <w:lang w:val="en-US"/>
        </w:rPr>
      </w:pPr>
    </w:p>
    <w:p w14:paraId="238CDCAE" w14:textId="1D91C71C" w:rsidR="0031215A" w:rsidRDefault="0031215A" w:rsidP="009B6EDD">
      <w:pPr>
        <w:spacing w:line="480" w:lineRule="auto"/>
        <w:jc w:val="both"/>
        <w:rPr>
          <w:bCs/>
          <w:lang w:val="en-US"/>
        </w:rPr>
      </w:pPr>
    </w:p>
    <w:p w14:paraId="7C904493" w14:textId="374400EF" w:rsidR="0031215A" w:rsidRDefault="0031215A" w:rsidP="009B6EDD">
      <w:pPr>
        <w:spacing w:line="480" w:lineRule="auto"/>
        <w:jc w:val="both"/>
        <w:rPr>
          <w:bCs/>
          <w:lang w:val="en-US"/>
        </w:rPr>
      </w:pPr>
    </w:p>
    <w:p w14:paraId="46E4A87D" w14:textId="0D17A9F0" w:rsidR="0031215A" w:rsidRDefault="0031215A" w:rsidP="009B6EDD">
      <w:pPr>
        <w:spacing w:line="480" w:lineRule="auto"/>
        <w:jc w:val="both"/>
        <w:rPr>
          <w:bCs/>
          <w:lang w:val="en-US"/>
        </w:rPr>
      </w:pPr>
    </w:p>
    <w:p w14:paraId="5FDF17E7" w14:textId="49F9D97E" w:rsidR="0031215A" w:rsidRDefault="0031215A" w:rsidP="009B6EDD">
      <w:pPr>
        <w:spacing w:line="480" w:lineRule="auto"/>
        <w:jc w:val="both"/>
        <w:rPr>
          <w:bCs/>
          <w:lang w:val="en-US"/>
        </w:rPr>
      </w:pPr>
    </w:p>
    <w:p w14:paraId="11198D65" w14:textId="6BB766F9" w:rsidR="0031215A" w:rsidRDefault="0031215A" w:rsidP="009B6EDD">
      <w:pPr>
        <w:spacing w:line="480" w:lineRule="auto"/>
        <w:jc w:val="both"/>
        <w:rPr>
          <w:bCs/>
          <w:lang w:val="en-US"/>
        </w:rPr>
      </w:pPr>
    </w:p>
    <w:p w14:paraId="75F64063" w14:textId="48EF5058" w:rsidR="0031215A" w:rsidRDefault="0031215A" w:rsidP="009B6EDD">
      <w:pPr>
        <w:spacing w:line="480" w:lineRule="auto"/>
        <w:jc w:val="both"/>
        <w:rPr>
          <w:bCs/>
          <w:lang w:val="en-US"/>
        </w:rPr>
      </w:pPr>
    </w:p>
    <w:p w14:paraId="1FEA1218" w14:textId="4BF34645" w:rsidR="0031215A" w:rsidRDefault="0031215A" w:rsidP="009B6EDD">
      <w:pPr>
        <w:spacing w:line="480" w:lineRule="auto"/>
        <w:jc w:val="both"/>
        <w:rPr>
          <w:bCs/>
          <w:lang w:val="en-US"/>
        </w:rPr>
      </w:pPr>
    </w:p>
    <w:p w14:paraId="4EDBAD4B" w14:textId="7779C10A" w:rsidR="0031215A" w:rsidRDefault="0031215A" w:rsidP="009B6EDD">
      <w:pPr>
        <w:spacing w:line="480" w:lineRule="auto"/>
        <w:jc w:val="both"/>
        <w:rPr>
          <w:bCs/>
          <w:lang w:val="en-US"/>
        </w:rPr>
      </w:pPr>
    </w:p>
    <w:p w14:paraId="14EF9678" w14:textId="43A400A4" w:rsidR="0031215A" w:rsidRDefault="0031215A" w:rsidP="009B6EDD">
      <w:pPr>
        <w:spacing w:line="480" w:lineRule="auto"/>
        <w:jc w:val="both"/>
        <w:rPr>
          <w:bCs/>
          <w:lang w:val="en-US"/>
        </w:rPr>
      </w:pPr>
    </w:p>
    <w:p w14:paraId="05B97E94" w14:textId="77777777" w:rsidR="0031215A" w:rsidRPr="00C226F3" w:rsidRDefault="0031215A" w:rsidP="009B6EDD">
      <w:pPr>
        <w:spacing w:line="480" w:lineRule="auto"/>
        <w:jc w:val="both"/>
        <w:rPr>
          <w:bCs/>
          <w:lang w:val="en-US"/>
        </w:rPr>
      </w:pPr>
    </w:p>
    <w:p w14:paraId="34F0FE71" w14:textId="23088FF5" w:rsidR="00C50FA2" w:rsidRDefault="00C50FA2" w:rsidP="009B6EDD">
      <w:pPr>
        <w:spacing w:line="480" w:lineRule="auto"/>
        <w:jc w:val="center"/>
        <w:rPr>
          <w:b/>
          <w:lang w:val="en-US"/>
        </w:rPr>
      </w:pPr>
      <w:r>
        <w:rPr>
          <w:b/>
          <w:noProof/>
        </w:rPr>
        <w:lastRenderedPageBreak/>
        <w:drawing>
          <wp:inline distT="0" distB="0" distL="0" distR="0" wp14:anchorId="61D5DFC4" wp14:editId="64F6543E">
            <wp:extent cx="5040000" cy="5550479"/>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2" cstate="print">
                      <a:extLst>
                        <a:ext uri="{28A0092B-C50C-407E-A947-70E740481C1C}">
                          <a14:useLocalDpi xmlns:a14="http://schemas.microsoft.com/office/drawing/2010/main"/>
                        </a:ext>
                      </a:extLst>
                    </a:blip>
                    <a:srcRect l="-10" t="2886" r="10" b="20872"/>
                    <a:stretch/>
                  </pic:blipFill>
                  <pic:spPr bwMode="auto">
                    <a:xfrm>
                      <a:off x="0" y="0"/>
                      <a:ext cx="5040000" cy="5550479"/>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a:ext>
                    </a:extLst>
                  </pic:spPr>
                </pic:pic>
              </a:graphicData>
            </a:graphic>
          </wp:inline>
        </w:drawing>
      </w:r>
    </w:p>
    <w:p w14:paraId="1A877E9A" w14:textId="798A1CB0" w:rsidR="0031215A" w:rsidRDefault="0031215A" w:rsidP="0031215A">
      <w:pPr>
        <w:spacing w:line="480" w:lineRule="auto"/>
        <w:jc w:val="both"/>
        <w:rPr>
          <w:b/>
          <w:lang w:val="en-US"/>
        </w:rPr>
      </w:pPr>
      <w:r w:rsidRPr="00907412">
        <w:rPr>
          <w:b/>
          <w:lang w:val="en-US"/>
        </w:rPr>
        <w:t>Figure S</w:t>
      </w:r>
      <w:r>
        <w:rPr>
          <w:b/>
          <w:lang w:val="en-US"/>
        </w:rPr>
        <w:t>6</w:t>
      </w:r>
      <w:r>
        <w:rPr>
          <w:bCs/>
          <w:lang w:val="en-US"/>
        </w:rPr>
        <w:t>.</w:t>
      </w:r>
      <w:r w:rsidRPr="00516B8F">
        <w:rPr>
          <w:bCs/>
          <w:lang w:val="en-US"/>
        </w:rPr>
        <w:t xml:space="preserve"> SERS </w:t>
      </w:r>
      <w:r>
        <w:rPr>
          <w:bCs/>
          <w:lang w:val="en-US"/>
        </w:rPr>
        <w:t>spectra of SAA products of CSF samples from 11 ONC patients. For each sample 50 SERS spectra were acquired, elaborated (as reported in Materials and Methods section) and the average spectrum and the standard deviation were plotted (black line and red area, respectively).</w:t>
      </w:r>
    </w:p>
    <w:p w14:paraId="056DE366" w14:textId="630448A9" w:rsidR="0031215A" w:rsidRDefault="0031215A" w:rsidP="009B6EDD">
      <w:pPr>
        <w:spacing w:line="480" w:lineRule="auto"/>
        <w:jc w:val="center"/>
        <w:rPr>
          <w:b/>
          <w:lang w:val="en-US"/>
        </w:rPr>
      </w:pPr>
    </w:p>
    <w:p w14:paraId="36645CF4" w14:textId="149B70A3" w:rsidR="0031215A" w:rsidRDefault="0031215A" w:rsidP="009B6EDD">
      <w:pPr>
        <w:spacing w:line="480" w:lineRule="auto"/>
        <w:jc w:val="center"/>
        <w:rPr>
          <w:b/>
          <w:lang w:val="en-US"/>
        </w:rPr>
      </w:pPr>
    </w:p>
    <w:p w14:paraId="2A3CE7EC" w14:textId="24CAA2CE" w:rsidR="0031215A" w:rsidRDefault="0031215A" w:rsidP="009B6EDD">
      <w:pPr>
        <w:spacing w:line="480" w:lineRule="auto"/>
        <w:jc w:val="center"/>
        <w:rPr>
          <w:b/>
          <w:lang w:val="en-US"/>
        </w:rPr>
      </w:pPr>
    </w:p>
    <w:p w14:paraId="0CD471C9" w14:textId="2CFC208D" w:rsidR="0031215A" w:rsidRDefault="0031215A" w:rsidP="009B6EDD">
      <w:pPr>
        <w:spacing w:line="480" w:lineRule="auto"/>
        <w:jc w:val="center"/>
        <w:rPr>
          <w:b/>
          <w:lang w:val="en-US"/>
        </w:rPr>
      </w:pPr>
    </w:p>
    <w:p w14:paraId="5F797E4A" w14:textId="23524AB8" w:rsidR="0031215A" w:rsidRDefault="0031215A" w:rsidP="009B6EDD">
      <w:pPr>
        <w:spacing w:line="480" w:lineRule="auto"/>
        <w:jc w:val="center"/>
        <w:rPr>
          <w:b/>
          <w:lang w:val="en-US"/>
        </w:rPr>
      </w:pPr>
    </w:p>
    <w:p w14:paraId="2709391B" w14:textId="5ED2D957" w:rsidR="0031215A" w:rsidRDefault="0031215A" w:rsidP="009B6EDD">
      <w:pPr>
        <w:spacing w:line="480" w:lineRule="auto"/>
        <w:jc w:val="center"/>
        <w:rPr>
          <w:b/>
          <w:lang w:val="en-US"/>
        </w:rPr>
      </w:pPr>
    </w:p>
    <w:p w14:paraId="59E8BF7D" w14:textId="636A88A0" w:rsidR="0031215A" w:rsidRDefault="0031215A" w:rsidP="009B6EDD">
      <w:pPr>
        <w:spacing w:line="480" w:lineRule="auto"/>
        <w:jc w:val="center"/>
        <w:rPr>
          <w:b/>
          <w:lang w:val="en-US"/>
        </w:rPr>
      </w:pPr>
    </w:p>
    <w:p w14:paraId="2FB65D69" w14:textId="1AF694E3" w:rsidR="0031215A" w:rsidRDefault="0031215A" w:rsidP="009B6EDD">
      <w:pPr>
        <w:spacing w:after="160" w:line="480" w:lineRule="auto"/>
        <w:rPr>
          <w:bCs/>
          <w:lang w:val="en-US"/>
        </w:rPr>
      </w:pPr>
      <w:r>
        <w:rPr>
          <w:noProof/>
        </w:rPr>
        <w:lastRenderedPageBreak/>
        <w:drawing>
          <wp:anchor distT="0" distB="0" distL="114300" distR="114300" simplePos="0" relativeHeight="251658240" behindDoc="1" locked="0" layoutInCell="1" allowOverlap="1" wp14:anchorId="79681671" wp14:editId="0BE8E85D">
            <wp:simplePos x="0" y="0"/>
            <wp:positionH relativeFrom="column">
              <wp:posOffset>13671</wp:posOffset>
            </wp:positionH>
            <wp:positionV relativeFrom="paragraph">
              <wp:posOffset>485</wp:posOffset>
            </wp:positionV>
            <wp:extent cx="6120130" cy="4300855"/>
            <wp:effectExtent l="0" t="0" r="0" b="0"/>
            <wp:wrapTight wrapText="bothSides">
              <wp:wrapPolygon edited="0">
                <wp:start x="2084" y="1818"/>
                <wp:lineTo x="2017" y="2392"/>
                <wp:lineTo x="2488" y="3062"/>
                <wp:lineTo x="3093" y="3540"/>
                <wp:lineTo x="3093" y="5071"/>
                <wp:lineTo x="2084" y="5071"/>
                <wp:lineTo x="1009" y="5932"/>
                <wp:lineTo x="941" y="7845"/>
                <wp:lineTo x="1546" y="8419"/>
                <wp:lineTo x="1009" y="8802"/>
                <wp:lineTo x="941" y="12151"/>
                <wp:lineTo x="1210" y="12629"/>
                <wp:lineTo x="1009" y="12725"/>
                <wp:lineTo x="1009" y="14255"/>
                <wp:lineTo x="3093" y="14255"/>
                <wp:lineTo x="2017" y="14829"/>
                <wp:lineTo x="2017" y="15499"/>
                <wp:lineTo x="3093" y="15786"/>
                <wp:lineTo x="3093" y="17317"/>
                <wp:lineTo x="2017" y="18082"/>
                <wp:lineTo x="2017" y="18752"/>
                <wp:lineTo x="3429" y="18848"/>
                <wp:lineTo x="3294" y="19422"/>
                <wp:lineTo x="4303" y="19613"/>
                <wp:lineTo x="13111" y="20379"/>
                <wp:lineTo x="7934" y="20379"/>
                <wp:lineTo x="7934" y="21144"/>
                <wp:lineTo x="11900" y="21431"/>
                <wp:lineTo x="13716" y="21431"/>
                <wp:lineTo x="13716" y="20474"/>
                <wp:lineTo x="14657" y="20379"/>
                <wp:lineTo x="16607" y="19422"/>
                <wp:lineTo x="16540" y="18848"/>
                <wp:lineTo x="18153" y="18848"/>
                <wp:lineTo x="18758" y="18369"/>
                <wp:lineTo x="18825" y="2296"/>
                <wp:lineTo x="2958" y="1818"/>
                <wp:lineTo x="2084" y="1818"/>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3">
                      <a:extLst>
                        <a:ext uri="{28A0092B-C50C-407E-A947-70E740481C1C}">
                          <a14:useLocalDpi xmlns:a14="http://schemas.microsoft.com/office/drawing/2010/main" val="0"/>
                        </a:ext>
                      </a:extLst>
                    </a:blip>
                    <a:stretch>
                      <a:fillRect/>
                    </a:stretch>
                  </pic:blipFill>
                  <pic:spPr>
                    <a:xfrm>
                      <a:off x="0" y="0"/>
                      <a:ext cx="6120130" cy="4300855"/>
                    </a:xfrm>
                    <a:prstGeom prst="rect">
                      <a:avLst/>
                    </a:prstGeom>
                  </pic:spPr>
                </pic:pic>
              </a:graphicData>
            </a:graphic>
            <wp14:sizeRelH relativeFrom="page">
              <wp14:pctWidth>0</wp14:pctWidth>
            </wp14:sizeRelH>
            <wp14:sizeRelV relativeFrom="page">
              <wp14:pctHeight>0</wp14:pctHeight>
            </wp14:sizeRelV>
          </wp:anchor>
        </w:drawing>
      </w:r>
    </w:p>
    <w:p w14:paraId="46335CD1" w14:textId="77777777" w:rsidR="0031215A" w:rsidRDefault="0031215A" w:rsidP="009B6EDD">
      <w:pPr>
        <w:spacing w:after="160" w:line="480" w:lineRule="auto"/>
        <w:rPr>
          <w:bCs/>
          <w:lang w:val="en-US"/>
        </w:rPr>
      </w:pPr>
    </w:p>
    <w:p w14:paraId="2D0FF321" w14:textId="64333148" w:rsidR="0031215A" w:rsidRDefault="0031215A" w:rsidP="009B6EDD">
      <w:pPr>
        <w:spacing w:after="160" w:line="480" w:lineRule="auto"/>
        <w:rPr>
          <w:bCs/>
          <w:lang w:val="en-US"/>
        </w:rPr>
      </w:pPr>
    </w:p>
    <w:p w14:paraId="148DD486" w14:textId="7FE49065" w:rsidR="0031215A" w:rsidRDefault="0031215A" w:rsidP="009B6EDD">
      <w:pPr>
        <w:spacing w:after="160" w:line="480" w:lineRule="auto"/>
        <w:rPr>
          <w:bCs/>
          <w:lang w:val="en-US"/>
        </w:rPr>
      </w:pPr>
    </w:p>
    <w:p w14:paraId="0243CE72" w14:textId="77777777" w:rsidR="0031215A" w:rsidRDefault="0031215A" w:rsidP="009B6EDD">
      <w:pPr>
        <w:spacing w:after="160" w:line="480" w:lineRule="auto"/>
        <w:rPr>
          <w:bCs/>
          <w:lang w:val="en-US"/>
        </w:rPr>
      </w:pPr>
    </w:p>
    <w:p w14:paraId="53B2C0A5" w14:textId="003146DB" w:rsidR="0031215A" w:rsidRDefault="0031215A" w:rsidP="009B6EDD">
      <w:pPr>
        <w:spacing w:after="160" w:line="480" w:lineRule="auto"/>
        <w:rPr>
          <w:bCs/>
          <w:lang w:val="en-US"/>
        </w:rPr>
      </w:pPr>
    </w:p>
    <w:p w14:paraId="3C9AE0D3" w14:textId="77777777" w:rsidR="0031215A" w:rsidRDefault="0031215A" w:rsidP="009B6EDD">
      <w:pPr>
        <w:spacing w:after="160" w:line="480" w:lineRule="auto"/>
        <w:rPr>
          <w:bCs/>
          <w:lang w:val="en-US"/>
        </w:rPr>
      </w:pPr>
    </w:p>
    <w:p w14:paraId="12CD4C41" w14:textId="39E584E6" w:rsidR="0031215A" w:rsidRDefault="0031215A" w:rsidP="009B6EDD">
      <w:pPr>
        <w:spacing w:after="160" w:line="480" w:lineRule="auto"/>
        <w:rPr>
          <w:bCs/>
          <w:lang w:val="en-US"/>
        </w:rPr>
      </w:pPr>
    </w:p>
    <w:p w14:paraId="603E8FE0" w14:textId="743C1382" w:rsidR="00C50FA2" w:rsidRPr="00C226F3" w:rsidRDefault="00C50FA2" w:rsidP="009B6EDD">
      <w:pPr>
        <w:spacing w:after="160" w:line="480" w:lineRule="auto"/>
        <w:rPr>
          <w:lang w:val="en-GB"/>
        </w:rPr>
      </w:pPr>
    </w:p>
    <w:p w14:paraId="1C58E2B2" w14:textId="77777777" w:rsidR="0031215A" w:rsidRDefault="0031215A" w:rsidP="009B6EDD">
      <w:pPr>
        <w:spacing w:line="480" w:lineRule="auto"/>
        <w:jc w:val="both"/>
        <w:rPr>
          <w:b/>
          <w:lang w:val="en-US"/>
        </w:rPr>
      </w:pPr>
    </w:p>
    <w:p w14:paraId="7A763393" w14:textId="77777777" w:rsidR="0031215A" w:rsidRDefault="0031215A" w:rsidP="009B6EDD">
      <w:pPr>
        <w:spacing w:line="480" w:lineRule="auto"/>
        <w:jc w:val="both"/>
        <w:rPr>
          <w:b/>
          <w:lang w:val="en-US"/>
        </w:rPr>
      </w:pPr>
    </w:p>
    <w:p w14:paraId="5B227391" w14:textId="70A30747" w:rsidR="00C50FA2" w:rsidRDefault="00C50FA2" w:rsidP="009B6EDD">
      <w:pPr>
        <w:spacing w:line="480" w:lineRule="auto"/>
        <w:jc w:val="both"/>
        <w:rPr>
          <w:bCs/>
          <w:lang w:val="en-US"/>
        </w:rPr>
      </w:pPr>
      <w:r w:rsidRPr="00907412">
        <w:rPr>
          <w:b/>
          <w:lang w:val="en-US"/>
        </w:rPr>
        <w:t>Figure S</w:t>
      </w:r>
      <w:r w:rsidR="00CD3044">
        <w:rPr>
          <w:b/>
          <w:lang w:val="en-US"/>
        </w:rPr>
        <w:t>7</w:t>
      </w:r>
      <w:r>
        <w:rPr>
          <w:bCs/>
          <w:lang w:val="en-US"/>
        </w:rPr>
        <w:t xml:space="preserve">. </w:t>
      </w:r>
      <w:r w:rsidRPr="00516B8F">
        <w:rPr>
          <w:bCs/>
          <w:lang w:val="en-US"/>
        </w:rPr>
        <w:t xml:space="preserve">SERS </w:t>
      </w:r>
      <w:r>
        <w:rPr>
          <w:bCs/>
          <w:lang w:val="en-US"/>
        </w:rPr>
        <w:t>spectrum of A</w:t>
      </w:r>
      <w:r w:rsidRPr="006D4580">
        <w:rPr>
          <w:rFonts w:ascii="Symbol" w:hAnsi="Symbol"/>
          <w:bCs/>
          <w:lang w:val="en-US"/>
        </w:rPr>
        <w:t></w:t>
      </w:r>
      <w:r w:rsidR="0031215A" w:rsidRPr="0031215A">
        <w:rPr>
          <w:rFonts w:ascii="Symbol" w:hAnsi="Symbol"/>
          <w:bCs/>
          <w:vertAlign w:val="subscript"/>
          <w:lang w:val="en-US"/>
        </w:rPr>
        <w:t></w:t>
      </w:r>
      <w:r w:rsidR="0031215A" w:rsidRPr="0031215A">
        <w:rPr>
          <w:rFonts w:ascii="Symbol" w:hAnsi="Symbol"/>
          <w:bCs/>
          <w:vertAlign w:val="subscript"/>
          <w:lang w:val="en-US"/>
        </w:rPr>
        <w:t></w:t>
      </w:r>
      <w:r w:rsidRPr="0031215A">
        <w:rPr>
          <w:bCs/>
          <w:vertAlign w:val="subscript"/>
          <w:lang w:val="en-US"/>
        </w:rPr>
        <w:t>40</w:t>
      </w:r>
      <w:r>
        <w:rPr>
          <w:bCs/>
          <w:lang w:val="en-US"/>
        </w:rPr>
        <w:t xml:space="preserve"> aggregates after SAA (blue line) as compared to spectra of SAA products from an AD (red line) and a ONC patient sample (green line). Main Raman vibrational modes are highlighted by vertical dashed lines and assigned in Table S1. Each spectrum is the average of 50 acquisition.</w:t>
      </w:r>
    </w:p>
    <w:p w14:paraId="53B870CB" w14:textId="77777777" w:rsidR="00C50FA2" w:rsidRDefault="00C50FA2" w:rsidP="009B6EDD">
      <w:pPr>
        <w:spacing w:after="160" w:line="480" w:lineRule="auto"/>
        <w:rPr>
          <w:bCs/>
          <w:lang w:val="en-US"/>
        </w:rPr>
      </w:pPr>
      <w:r>
        <w:rPr>
          <w:bCs/>
          <w:lang w:val="en-US"/>
        </w:rPr>
        <w:br w:type="page"/>
      </w:r>
    </w:p>
    <w:p w14:paraId="5EBE5476" w14:textId="77777777" w:rsidR="00C50FA2" w:rsidRDefault="00C50FA2" w:rsidP="009B6EDD">
      <w:pPr>
        <w:spacing w:line="480" w:lineRule="auto"/>
        <w:jc w:val="center"/>
        <w:rPr>
          <w:bCs/>
          <w:lang w:val="en-US"/>
        </w:rPr>
      </w:pPr>
      <w:r>
        <w:rPr>
          <w:bCs/>
          <w:noProof/>
        </w:rPr>
        <w:lastRenderedPageBreak/>
        <w:drawing>
          <wp:inline distT="0" distB="0" distL="0" distR="0" wp14:anchorId="583F314F" wp14:editId="0B537CDE">
            <wp:extent cx="3550920" cy="353568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4" cstate="print">
                      <a:extLst>
                        <a:ext uri="{28A0092B-C50C-407E-A947-70E740481C1C}">
                          <a14:useLocalDpi xmlns:a14="http://schemas.microsoft.com/office/drawing/2010/main"/>
                        </a:ext>
                      </a:extLst>
                    </a:blip>
                    <a:srcRect l="15880" t="9278" r="17923" b="4623"/>
                    <a:stretch/>
                  </pic:blipFill>
                  <pic:spPr bwMode="auto">
                    <a:xfrm>
                      <a:off x="0" y="0"/>
                      <a:ext cx="3551638" cy="3536395"/>
                    </a:xfrm>
                    <a:prstGeom prst="rect">
                      <a:avLst/>
                    </a:prstGeom>
                    <a:ln>
                      <a:noFill/>
                    </a:ln>
                    <a:extLst>
                      <a:ext uri="{53640926-AAD7-44D8-BBD7-CCE9431645EC}">
                        <a14:shadowObscured xmlns:a14="http://schemas.microsoft.com/office/drawing/2010/main"/>
                      </a:ext>
                    </a:extLst>
                  </pic:spPr>
                </pic:pic>
              </a:graphicData>
            </a:graphic>
          </wp:inline>
        </w:drawing>
      </w:r>
    </w:p>
    <w:p w14:paraId="46BB1EC4" w14:textId="05611219" w:rsidR="00C50FA2" w:rsidRPr="00516B8F" w:rsidRDefault="00C50FA2" w:rsidP="009B6EDD">
      <w:pPr>
        <w:spacing w:line="480" w:lineRule="auto"/>
        <w:jc w:val="both"/>
        <w:rPr>
          <w:bCs/>
          <w:lang w:val="en-US"/>
        </w:rPr>
      </w:pPr>
      <w:r w:rsidRPr="00907412">
        <w:rPr>
          <w:b/>
          <w:lang w:val="en-US"/>
        </w:rPr>
        <w:t xml:space="preserve">Figure </w:t>
      </w:r>
      <w:r w:rsidR="00CD3044">
        <w:rPr>
          <w:b/>
          <w:lang w:val="en-US"/>
        </w:rPr>
        <w:t>S8</w:t>
      </w:r>
      <w:r>
        <w:rPr>
          <w:bCs/>
          <w:lang w:val="en-US"/>
        </w:rPr>
        <w:t>.</w:t>
      </w:r>
      <w:r w:rsidRPr="00516B8F">
        <w:rPr>
          <w:bCs/>
          <w:lang w:val="en-US"/>
        </w:rPr>
        <w:t xml:space="preserve"> </w:t>
      </w:r>
      <w:r>
        <w:rPr>
          <w:bCs/>
          <w:lang w:val="en-US"/>
        </w:rPr>
        <w:t xml:space="preserve">t-SNE plot obtained by applying t-SNE algorithm to </w:t>
      </w:r>
      <w:r w:rsidRPr="00516B8F">
        <w:rPr>
          <w:bCs/>
          <w:lang w:val="en-US"/>
        </w:rPr>
        <w:t xml:space="preserve">SERS </w:t>
      </w:r>
      <w:r>
        <w:rPr>
          <w:bCs/>
          <w:lang w:val="en-US"/>
        </w:rPr>
        <w:t xml:space="preserve">spectra of CSF samples before undergoing seed amplification </w:t>
      </w:r>
    </w:p>
    <w:p w14:paraId="13980E43" w14:textId="77777777" w:rsidR="00C50FA2" w:rsidRDefault="00C50FA2" w:rsidP="009B6EDD">
      <w:pPr>
        <w:spacing w:line="480" w:lineRule="auto"/>
        <w:jc w:val="both"/>
        <w:rPr>
          <w:bCs/>
          <w:lang w:val="en-US"/>
        </w:rPr>
      </w:pPr>
    </w:p>
    <w:p w14:paraId="4B67D7A3" w14:textId="77777777" w:rsidR="00C50FA2" w:rsidRDefault="00C50FA2" w:rsidP="009B6EDD">
      <w:pPr>
        <w:spacing w:after="160" w:line="480" w:lineRule="auto"/>
        <w:rPr>
          <w:bCs/>
          <w:highlight w:val="green"/>
          <w:lang w:val="en-US"/>
        </w:rPr>
      </w:pPr>
      <w:r>
        <w:rPr>
          <w:bCs/>
          <w:highlight w:val="green"/>
          <w:lang w:val="en-US"/>
        </w:rPr>
        <w:br w:type="page"/>
      </w:r>
    </w:p>
    <w:p w14:paraId="69C86400" w14:textId="77777777" w:rsidR="00C50FA2" w:rsidRDefault="00C50FA2" w:rsidP="009B6EDD">
      <w:pPr>
        <w:spacing w:line="480" w:lineRule="auto"/>
        <w:rPr>
          <w:b/>
          <w:bCs/>
          <w:lang w:val="en-US"/>
        </w:rPr>
      </w:pPr>
      <w:r>
        <w:rPr>
          <w:b/>
          <w:bCs/>
          <w:lang w:val="en-US"/>
        </w:rPr>
        <w:lastRenderedPageBreak/>
        <w:t>Appendix 1</w:t>
      </w:r>
    </w:p>
    <w:p w14:paraId="47B14165" w14:textId="77777777" w:rsidR="00C50FA2" w:rsidRPr="008542CE" w:rsidRDefault="00C50FA2" w:rsidP="009B6EDD">
      <w:pPr>
        <w:spacing w:line="480" w:lineRule="auto"/>
        <w:rPr>
          <w:b/>
          <w:bCs/>
          <w:lang w:val="en-US"/>
        </w:rPr>
      </w:pPr>
      <w:r w:rsidRPr="008542CE">
        <w:rPr>
          <w:b/>
          <w:bCs/>
          <w:lang w:val="en-US"/>
        </w:rPr>
        <w:t>Machine learning</w:t>
      </w:r>
    </w:p>
    <w:p w14:paraId="7626A105" w14:textId="77777777" w:rsidR="00C50FA2" w:rsidRPr="008542CE" w:rsidRDefault="00C50FA2" w:rsidP="009B6EDD">
      <w:pPr>
        <w:spacing w:line="480" w:lineRule="auto"/>
        <w:rPr>
          <w:lang w:val="en-US"/>
        </w:rPr>
      </w:pPr>
    </w:p>
    <w:p w14:paraId="42FC3B25" w14:textId="77777777" w:rsidR="00C50FA2" w:rsidRPr="00F27E50" w:rsidRDefault="00C50FA2" w:rsidP="009B6EDD">
      <w:pPr>
        <w:spacing w:line="480" w:lineRule="auto"/>
        <w:rPr>
          <w:u w:val="single"/>
          <w:lang w:val="en-US"/>
        </w:rPr>
      </w:pPr>
      <w:r w:rsidRPr="00F27E50">
        <w:rPr>
          <w:u w:val="single"/>
          <w:lang w:val="en-US"/>
        </w:rPr>
        <w:t>t-SNE parameters:</w:t>
      </w:r>
    </w:p>
    <w:p w14:paraId="6175DDDF" w14:textId="77777777" w:rsidR="00C50FA2" w:rsidRPr="00F27E50" w:rsidRDefault="00C50FA2" w:rsidP="009B6EDD">
      <w:pPr>
        <w:spacing w:line="480" w:lineRule="auto"/>
        <w:rPr>
          <w:lang w:val="en-US"/>
        </w:rPr>
      </w:pPr>
      <w:proofErr w:type="spellStart"/>
      <w:r w:rsidRPr="00F27E50">
        <w:rPr>
          <w:lang w:val="en-US"/>
        </w:rPr>
        <w:t>par_perplexity</w:t>
      </w:r>
      <w:proofErr w:type="spellEnd"/>
      <w:r w:rsidRPr="00F27E50">
        <w:rPr>
          <w:lang w:val="en-US"/>
        </w:rPr>
        <w:t xml:space="preserve"> = </w:t>
      </w:r>
      <w:r>
        <w:rPr>
          <w:lang w:val="en-US"/>
        </w:rPr>
        <w:t xml:space="preserve">20 </w:t>
      </w:r>
    </w:p>
    <w:p w14:paraId="01CD8F47" w14:textId="77777777" w:rsidR="00C50FA2" w:rsidRPr="00F27E50" w:rsidRDefault="00C50FA2" w:rsidP="009B6EDD">
      <w:pPr>
        <w:spacing w:line="480" w:lineRule="auto"/>
        <w:rPr>
          <w:lang w:val="en-US"/>
        </w:rPr>
      </w:pPr>
      <w:proofErr w:type="spellStart"/>
      <w:r w:rsidRPr="00F27E50">
        <w:rPr>
          <w:lang w:val="en-US"/>
        </w:rPr>
        <w:t>exageration</w:t>
      </w:r>
      <w:proofErr w:type="spellEnd"/>
      <w:r w:rsidRPr="00F27E50">
        <w:rPr>
          <w:lang w:val="en-US"/>
        </w:rPr>
        <w:t xml:space="preserve"> = 12</w:t>
      </w:r>
    </w:p>
    <w:p w14:paraId="45FE5369" w14:textId="77777777" w:rsidR="00C50FA2" w:rsidRPr="00F27E50" w:rsidRDefault="00C50FA2" w:rsidP="009B6EDD">
      <w:pPr>
        <w:spacing w:line="480" w:lineRule="auto"/>
        <w:rPr>
          <w:lang w:val="en-US"/>
        </w:rPr>
      </w:pPr>
    </w:p>
    <w:p w14:paraId="48D2BAF6" w14:textId="77777777" w:rsidR="00C50FA2" w:rsidRPr="00F27E50" w:rsidRDefault="00C50FA2" w:rsidP="009B6EDD">
      <w:pPr>
        <w:spacing w:line="480" w:lineRule="auto"/>
        <w:rPr>
          <w:lang w:val="en-US"/>
        </w:rPr>
      </w:pPr>
      <w:r w:rsidRPr="00F27E50">
        <w:rPr>
          <w:lang w:val="en-US"/>
        </w:rPr>
        <w:t>Library: https://scikit-learn.org/stable/modules/generated/sklearn.manifold.TSNE.html</w:t>
      </w:r>
    </w:p>
    <w:p w14:paraId="575B5BB6" w14:textId="77777777" w:rsidR="00C50FA2" w:rsidRPr="00F27E50" w:rsidRDefault="00C50FA2" w:rsidP="009B6EDD">
      <w:pPr>
        <w:spacing w:line="480" w:lineRule="auto"/>
        <w:rPr>
          <w:lang w:val="en-US"/>
        </w:rPr>
      </w:pPr>
    </w:p>
    <w:p w14:paraId="66DA47FB" w14:textId="77777777" w:rsidR="00C50FA2" w:rsidRPr="00F27E50" w:rsidRDefault="00C50FA2" w:rsidP="009B6EDD">
      <w:pPr>
        <w:spacing w:line="480" w:lineRule="auto"/>
        <w:rPr>
          <w:u w:val="single"/>
          <w:lang w:val="en-US"/>
        </w:rPr>
      </w:pPr>
      <w:r w:rsidRPr="00F27E50">
        <w:rPr>
          <w:u w:val="single"/>
          <w:lang w:val="en-US"/>
        </w:rPr>
        <w:t>SVM parameters:</w:t>
      </w:r>
    </w:p>
    <w:p w14:paraId="5F08537B" w14:textId="77777777" w:rsidR="00C50FA2" w:rsidRPr="00F27E50" w:rsidRDefault="00C50FA2" w:rsidP="009B6EDD">
      <w:pPr>
        <w:spacing w:line="480" w:lineRule="auto"/>
        <w:rPr>
          <w:lang w:val="en-US"/>
        </w:rPr>
      </w:pPr>
      <w:proofErr w:type="spellStart"/>
      <w:proofErr w:type="gramStart"/>
      <w:r w:rsidRPr="00F27E50">
        <w:rPr>
          <w:lang w:val="en-US"/>
        </w:rPr>
        <w:t>svm.SVC</w:t>
      </w:r>
      <w:proofErr w:type="spellEnd"/>
      <w:r w:rsidRPr="00F27E50">
        <w:rPr>
          <w:lang w:val="en-US"/>
        </w:rPr>
        <w:t>(</w:t>
      </w:r>
      <w:proofErr w:type="gramEnd"/>
      <w:r w:rsidRPr="00F27E50">
        <w:rPr>
          <w:lang w:val="en-US"/>
        </w:rPr>
        <w:t>C=1.0, kernel='</w:t>
      </w:r>
      <w:proofErr w:type="spellStart"/>
      <w:r w:rsidRPr="00F27E50">
        <w:rPr>
          <w:lang w:val="en-US"/>
        </w:rPr>
        <w:t>rbf</w:t>
      </w:r>
      <w:proofErr w:type="spellEnd"/>
      <w:r w:rsidRPr="00F27E50">
        <w:rPr>
          <w:lang w:val="en-US"/>
        </w:rPr>
        <w:t xml:space="preserve">', degree=3, gamma='scale', coef0=0.0, shrinking=True, probability=True, </w:t>
      </w:r>
      <w:proofErr w:type="spellStart"/>
      <w:r w:rsidRPr="00F27E50">
        <w:rPr>
          <w:lang w:val="en-US"/>
        </w:rPr>
        <w:t>tol</w:t>
      </w:r>
      <w:proofErr w:type="spellEnd"/>
      <w:r w:rsidRPr="00F27E50">
        <w:rPr>
          <w:lang w:val="en-US"/>
        </w:rPr>
        <w:t xml:space="preserve">=0.001, </w:t>
      </w:r>
      <w:proofErr w:type="spellStart"/>
      <w:r w:rsidRPr="00F27E50">
        <w:rPr>
          <w:lang w:val="en-US"/>
        </w:rPr>
        <w:t>cache_size</w:t>
      </w:r>
      <w:proofErr w:type="spellEnd"/>
      <w:r w:rsidRPr="00F27E50">
        <w:rPr>
          <w:lang w:val="en-US"/>
        </w:rPr>
        <w:t xml:space="preserve">=200, </w:t>
      </w:r>
      <w:proofErr w:type="spellStart"/>
      <w:r w:rsidRPr="00F27E50">
        <w:rPr>
          <w:lang w:val="en-US"/>
        </w:rPr>
        <w:t>class_weight</w:t>
      </w:r>
      <w:proofErr w:type="spellEnd"/>
      <w:r w:rsidRPr="00F27E50">
        <w:rPr>
          <w:lang w:val="en-US"/>
        </w:rPr>
        <w:t xml:space="preserve">=None, verbose=False, </w:t>
      </w:r>
      <w:proofErr w:type="spellStart"/>
      <w:r w:rsidRPr="00F27E50">
        <w:rPr>
          <w:lang w:val="en-US"/>
        </w:rPr>
        <w:t>max_iter</w:t>
      </w:r>
      <w:proofErr w:type="spellEnd"/>
      <w:r w:rsidRPr="00F27E50">
        <w:rPr>
          <w:lang w:val="en-US"/>
        </w:rPr>
        <w:t xml:space="preserve">=- 1, </w:t>
      </w:r>
      <w:proofErr w:type="spellStart"/>
      <w:r w:rsidRPr="00F27E50">
        <w:rPr>
          <w:lang w:val="en-US"/>
        </w:rPr>
        <w:t>decision_function_shape</w:t>
      </w:r>
      <w:proofErr w:type="spellEnd"/>
      <w:r w:rsidRPr="00F27E50">
        <w:rPr>
          <w:lang w:val="en-US"/>
        </w:rPr>
        <w:t>='</w:t>
      </w:r>
      <w:proofErr w:type="spellStart"/>
      <w:r w:rsidRPr="00F27E50">
        <w:rPr>
          <w:lang w:val="en-US"/>
        </w:rPr>
        <w:t>ovr</w:t>
      </w:r>
      <w:proofErr w:type="spellEnd"/>
      <w:r w:rsidRPr="00F27E50">
        <w:rPr>
          <w:lang w:val="en-US"/>
        </w:rPr>
        <w:t xml:space="preserve">', </w:t>
      </w:r>
      <w:proofErr w:type="spellStart"/>
      <w:r w:rsidRPr="00F27E50">
        <w:rPr>
          <w:lang w:val="en-US"/>
        </w:rPr>
        <w:t>break_ties</w:t>
      </w:r>
      <w:proofErr w:type="spellEnd"/>
      <w:r w:rsidRPr="00F27E50">
        <w:rPr>
          <w:lang w:val="en-US"/>
        </w:rPr>
        <w:t xml:space="preserve">=False, </w:t>
      </w:r>
      <w:proofErr w:type="spellStart"/>
      <w:r w:rsidRPr="00F27E50">
        <w:rPr>
          <w:lang w:val="en-US"/>
        </w:rPr>
        <w:t>random_state</w:t>
      </w:r>
      <w:proofErr w:type="spellEnd"/>
      <w:r w:rsidRPr="00F27E50">
        <w:rPr>
          <w:lang w:val="en-US"/>
        </w:rPr>
        <w:t>=42)</w:t>
      </w:r>
    </w:p>
    <w:p w14:paraId="5D7773B8" w14:textId="77777777" w:rsidR="00C50FA2" w:rsidRPr="00F27E50" w:rsidRDefault="00C50FA2" w:rsidP="009B6EDD">
      <w:pPr>
        <w:spacing w:line="480" w:lineRule="auto"/>
        <w:rPr>
          <w:lang w:val="en-US"/>
        </w:rPr>
      </w:pPr>
    </w:p>
    <w:p w14:paraId="4A9F321C" w14:textId="77777777" w:rsidR="00C50FA2" w:rsidRPr="00F27E50" w:rsidRDefault="00C50FA2" w:rsidP="009B6EDD">
      <w:pPr>
        <w:spacing w:line="480" w:lineRule="auto"/>
        <w:rPr>
          <w:lang w:val="en-US"/>
        </w:rPr>
      </w:pPr>
      <w:r w:rsidRPr="00F27E50">
        <w:rPr>
          <w:lang w:val="en-US"/>
        </w:rPr>
        <w:t>Library: https://scikit-learn.org/stable/modules/generated/sklearn.svm.SVC.html?highlight=svc#sklearn.svm.SVC</w:t>
      </w:r>
    </w:p>
    <w:p w14:paraId="585234F6" w14:textId="24B389A6" w:rsidR="008F2B08" w:rsidRDefault="008F2B08" w:rsidP="009B6EDD">
      <w:pPr>
        <w:spacing w:after="200" w:line="480" w:lineRule="auto"/>
        <w:rPr>
          <w:lang w:val="en-US"/>
        </w:rPr>
      </w:pPr>
      <w:r>
        <w:rPr>
          <w:lang w:val="en-US"/>
        </w:rPr>
        <w:br w:type="page"/>
      </w:r>
    </w:p>
    <w:p w14:paraId="12312BE4" w14:textId="77777777" w:rsidR="007E2F62" w:rsidRPr="00630CBC" w:rsidRDefault="007E2F62" w:rsidP="007E2F62">
      <w:pPr>
        <w:pStyle w:val="NormaleWeb"/>
        <w:spacing w:line="480" w:lineRule="auto"/>
        <w:rPr>
          <w:b/>
          <w:bCs/>
          <w:lang w:val="en-US"/>
        </w:rPr>
      </w:pPr>
      <w:r w:rsidRPr="00630CBC">
        <w:rPr>
          <w:b/>
          <w:bCs/>
          <w:lang w:val="en-US"/>
        </w:rPr>
        <w:lastRenderedPageBreak/>
        <w:t xml:space="preserve">Table S1. </w:t>
      </w:r>
      <w:r>
        <w:rPr>
          <w:lang w:val="en-US"/>
        </w:rPr>
        <w:t xml:space="preserve">Assignment of </w:t>
      </w:r>
      <w:r w:rsidRPr="009D1C25">
        <w:rPr>
          <w:lang w:val="en-US"/>
        </w:rPr>
        <w:t xml:space="preserve">SERS </w:t>
      </w:r>
      <w:r>
        <w:rPr>
          <w:lang w:val="en-US"/>
        </w:rPr>
        <w:t>bands</w:t>
      </w:r>
    </w:p>
    <w:tbl>
      <w:tblPr>
        <w:tblStyle w:val="Tabellagriglia1chiara1"/>
        <w:tblW w:w="0" w:type="auto"/>
        <w:jc w:val="center"/>
        <w:tblLook w:val="04A0" w:firstRow="1" w:lastRow="0" w:firstColumn="1" w:lastColumn="0" w:noHBand="0" w:noVBand="1"/>
      </w:tblPr>
      <w:tblGrid>
        <w:gridCol w:w="2263"/>
        <w:gridCol w:w="2552"/>
        <w:gridCol w:w="4813"/>
      </w:tblGrid>
      <w:tr w:rsidR="007E2F62" w:rsidRPr="00797611" w14:paraId="755EB67D" w14:textId="77777777" w:rsidTr="003D6B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36D9223" w14:textId="77777777" w:rsidR="007E2F62" w:rsidRPr="00797611" w:rsidRDefault="007E2F62" w:rsidP="003D6BB7">
            <w:pPr>
              <w:spacing w:line="480" w:lineRule="auto"/>
              <w:jc w:val="center"/>
              <w:rPr>
                <w:rFonts w:asciiTheme="majorBidi" w:hAnsiTheme="majorBidi" w:cstheme="majorBidi"/>
              </w:rPr>
            </w:pPr>
            <w:proofErr w:type="spellStart"/>
            <w:r w:rsidRPr="00797611">
              <w:rPr>
                <w:rFonts w:asciiTheme="majorBidi" w:hAnsiTheme="majorBidi" w:cstheme="majorBidi"/>
              </w:rPr>
              <w:t>Raman</w:t>
            </w:r>
            <w:proofErr w:type="spellEnd"/>
            <w:r w:rsidRPr="00797611">
              <w:rPr>
                <w:rFonts w:asciiTheme="majorBidi" w:hAnsiTheme="majorBidi" w:cstheme="majorBidi"/>
              </w:rPr>
              <w:t xml:space="preserve"> </w:t>
            </w:r>
            <w:proofErr w:type="spellStart"/>
            <w:r w:rsidRPr="00797611">
              <w:rPr>
                <w:rFonts w:asciiTheme="majorBidi" w:hAnsiTheme="majorBidi" w:cstheme="majorBidi"/>
              </w:rPr>
              <w:t>shift</w:t>
            </w:r>
            <w:proofErr w:type="spellEnd"/>
            <w:r w:rsidRPr="00797611">
              <w:rPr>
                <w:rFonts w:asciiTheme="majorBidi" w:hAnsiTheme="majorBidi" w:cstheme="majorBidi"/>
              </w:rPr>
              <w:t xml:space="preserve"> (cm</w:t>
            </w:r>
            <w:r w:rsidRPr="00797611">
              <w:rPr>
                <w:rFonts w:asciiTheme="majorBidi" w:hAnsiTheme="majorBidi" w:cstheme="majorBidi"/>
                <w:vertAlign w:val="superscript"/>
              </w:rPr>
              <w:t>-1</w:t>
            </w:r>
            <w:r w:rsidRPr="00797611">
              <w:rPr>
                <w:rFonts w:asciiTheme="majorBidi" w:hAnsiTheme="majorBidi" w:cstheme="majorBidi"/>
              </w:rPr>
              <w:t>)</w:t>
            </w:r>
          </w:p>
        </w:tc>
        <w:tc>
          <w:tcPr>
            <w:tcW w:w="2552" w:type="dxa"/>
          </w:tcPr>
          <w:p w14:paraId="1D8C070F" w14:textId="77777777" w:rsidR="007E2F62" w:rsidRPr="00797611" w:rsidRDefault="007E2F62" w:rsidP="003D6BB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Assignment</w:t>
            </w:r>
            <w:proofErr w:type="spellEnd"/>
          </w:p>
        </w:tc>
        <w:tc>
          <w:tcPr>
            <w:tcW w:w="4813" w:type="dxa"/>
          </w:tcPr>
          <w:p w14:paraId="1FF782B9" w14:textId="77777777" w:rsidR="007E2F62" w:rsidRPr="00797611" w:rsidRDefault="007E2F62" w:rsidP="003D6BB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97611">
              <w:rPr>
                <w:rFonts w:asciiTheme="majorBidi" w:hAnsiTheme="majorBidi" w:cstheme="majorBidi"/>
              </w:rPr>
              <w:t>Reference</w:t>
            </w:r>
          </w:p>
        </w:tc>
      </w:tr>
      <w:tr w:rsidR="007E2F62" w:rsidRPr="00797611" w14:paraId="01E2B952"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D8BDDF5" w14:textId="77777777" w:rsidR="007E2F62" w:rsidRPr="00797611" w:rsidRDefault="007E2F62" w:rsidP="003D6BB7">
            <w:pPr>
              <w:spacing w:line="480" w:lineRule="auto"/>
              <w:jc w:val="center"/>
              <w:rPr>
                <w:rFonts w:asciiTheme="majorBidi" w:hAnsiTheme="majorBidi" w:cstheme="majorBidi"/>
                <w:b w:val="0"/>
                <w:bCs w:val="0"/>
              </w:rPr>
            </w:pPr>
            <w:r>
              <w:rPr>
                <w:rFonts w:asciiTheme="majorBidi" w:hAnsiTheme="majorBidi" w:cstheme="majorBidi"/>
                <w:b w:val="0"/>
                <w:bCs w:val="0"/>
              </w:rPr>
              <w:t>1001</w:t>
            </w:r>
          </w:p>
        </w:tc>
        <w:tc>
          <w:tcPr>
            <w:tcW w:w="2552" w:type="dxa"/>
          </w:tcPr>
          <w:p w14:paraId="09CEE649"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Phe</w:t>
            </w:r>
            <w:proofErr w:type="spellEnd"/>
          </w:p>
        </w:tc>
        <w:tc>
          <w:tcPr>
            <w:tcW w:w="4813" w:type="dxa"/>
          </w:tcPr>
          <w:p w14:paraId="61652FAC" w14:textId="267F6751" w:rsidR="007E2F62" w:rsidRPr="00797611" w:rsidRDefault="007E2F62" w:rsidP="00637930">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Podstawka</w:t>
            </w:r>
            <w:proofErr w:type="spellEnd"/>
            <w:r w:rsidRPr="00797611">
              <w:rPr>
                <w:rFonts w:asciiTheme="majorBidi" w:hAnsiTheme="majorBidi" w:cstheme="majorBidi"/>
              </w:rPr>
              <w:t xml:space="preserve"> et al</w:t>
            </w:r>
            <w:r>
              <w:rPr>
                <w:rFonts w:asciiTheme="majorBidi" w:hAnsiTheme="majorBidi" w:cstheme="majorBidi"/>
              </w:rPr>
              <w:t>.,</w:t>
            </w:r>
            <w:r w:rsidRPr="00797611">
              <w:rPr>
                <w:rFonts w:asciiTheme="majorBidi" w:hAnsiTheme="majorBidi" w:cstheme="majorBidi"/>
              </w:rPr>
              <w:t xml:space="preserve"> 2004</w:t>
            </w:r>
            <w:r w:rsidR="00637930">
              <w:rPr>
                <w:rFonts w:asciiTheme="majorBidi" w:hAnsiTheme="majorBidi" w:cstheme="majorBidi"/>
              </w:rPr>
              <w:t xml:space="preserve"> </w:t>
            </w:r>
            <w:r w:rsidR="00637930">
              <w:rPr>
                <w:rFonts w:asciiTheme="majorBidi" w:hAnsiTheme="majorBidi" w:cstheme="majorBidi"/>
              </w:rPr>
              <w:fldChar w:fldCharType="begin" w:fldLock="1"/>
            </w:r>
            <w:r w:rsidR="00637930">
              <w:rPr>
                <w:rFonts w:asciiTheme="majorBidi" w:hAnsiTheme="majorBidi" w:cstheme="majorBidi"/>
              </w:rPr>
              <w:instrText>ADDIN CSL_CITATION {"citationItems":[{"id":"ITEM-1","itemData":{"DOI":"10.1366/000370204774103408","ISSN":"00037028","PMID":"15165334","abstract":"Surface-enhanced Raman scattering spectra (SERS) were measured for various amino acids: L-methionine (Met), L-cysteine (Cys), L-glycine (Gly), L-leucine (Leu), L-phenylalanine (Phe), and L-proline (Pro) and their homodipeptides (Met-Met, Cys-Cys, Gly-Gly, Leu-Leu, Phe-Phe, and Pro-Pro) in silver colloidal solutions. The geometry and orientation of the amino acids or dipeptides on the silver surface, and their specific interaction with the surface, were deducted by detailed spectral analysis of the SERS spectra. This analysis has allowed us to propose the particular surface geometry of amino acids or dipeptides and also implied that C-C bonds were almost parallel to the surface, as evidenced by the absence of marker bands in the skeletal C-C stretching region of the spectra. Additionally, using \"time-dependent\" SERS measurements we solved an existing controversy regarding the binding specificity of Gly-Gly on the silver surface.","author":[{"dropping-particle":"","family":"Podstawka","given":"Edyta","non-dropping-particle":"","parse-names":false,"suffix":""},{"dropping-particle":"","family":"Ozaki","given":"Yukihiro","non-dropping-particle":"","parse-names":false,"suffix":""},{"dropping-particle":"","family":"Proniewicz","given":"Leonard M.","non-dropping-particle":"","parse-names":false,"suffix":""}],"container-title":"Applied Spectroscopy","id":"ITEM-1","issued":{"date-parts":[["2004"]]},"title":"Part I: Surface-enhanced Raman spectroscopy investigation of amino acids and their homodipeptides adsorbed on colloidal silver","type":"article-journal"},"uris":["http://www.mendeley.com/documents/?uuid=921dc705-9b18-489f-abe8-446114ff5677"]}],"mendeley":{"formattedCitation":"[7]","plainTextFormattedCitation":"[7]","previouslyFormattedCitation":"[7]"},"properties":{"noteIndex":0},"schema":"https://github.com/citation-style-language/schema/raw/master/csl-citation.json"}</w:instrText>
            </w:r>
            <w:r w:rsidR="00637930">
              <w:rPr>
                <w:rFonts w:asciiTheme="majorBidi" w:hAnsiTheme="majorBidi" w:cstheme="majorBidi"/>
              </w:rPr>
              <w:fldChar w:fldCharType="separate"/>
            </w:r>
            <w:r w:rsidR="00637930" w:rsidRPr="00637930">
              <w:rPr>
                <w:rFonts w:asciiTheme="majorBidi" w:hAnsiTheme="majorBidi" w:cstheme="majorBidi"/>
                <w:noProof/>
              </w:rPr>
              <w:t>[7]</w:t>
            </w:r>
            <w:r w:rsidR="00637930">
              <w:rPr>
                <w:rFonts w:asciiTheme="majorBidi" w:hAnsiTheme="majorBidi" w:cstheme="majorBidi"/>
              </w:rPr>
              <w:fldChar w:fldCharType="end"/>
            </w:r>
          </w:p>
        </w:tc>
      </w:tr>
      <w:tr w:rsidR="007E2F62" w:rsidRPr="00797611" w14:paraId="5224E046"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1EC3E7A" w14:textId="77777777" w:rsidR="007E2F62" w:rsidRPr="00797611" w:rsidRDefault="007E2F62" w:rsidP="003D6BB7">
            <w:pPr>
              <w:spacing w:line="480" w:lineRule="auto"/>
              <w:jc w:val="center"/>
              <w:rPr>
                <w:rFonts w:asciiTheme="majorBidi" w:hAnsiTheme="majorBidi" w:cstheme="majorBidi"/>
                <w:b w:val="0"/>
                <w:bCs w:val="0"/>
              </w:rPr>
            </w:pPr>
            <w:r w:rsidRPr="00797611">
              <w:rPr>
                <w:rFonts w:asciiTheme="majorBidi" w:hAnsiTheme="majorBidi" w:cstheme="majorBidi"/>
                <w:b w:val="0"/>
                <w:bCs w:val="0"/>
              </w:rPr>
              <w:t>1026</w:t>
            </w:r>
          </w:p>
        </w:tc>
        <w:tc>
          <w:tcPr>
            <w:tcW w:w="2552" w:type="dxa"/>
          </w:tcPr>
          <w:p w14:paraId="0F25B74D"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Phe</w:t>
            </w:r>
            <w:proofErr w:type="spellEnd"/>
          </w:p>
        </w:tc>
        <w:tc>
          <w:tcPr>
            <w:tcW w:w="4813" w:type="dxa"/>
          </w:tcPr>
          <w:p w14:paraId="34F5BB72" w14:textId="002EF71F" w:rsidR="007E2F62" w:rsidRPr="00797611" w:rsidRDefault="007E2F62" w:rsidP="00637930">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Podstawka</w:t>
            </w:r>
            <w:proofErr w:type="spellEnd"/>
            <w:r w:rsidRPr="00797611">
              <w:rPr>
                <w:rFonts w:asciiTheme="majorBidi" w:hAnsiTheme="majorBidi" w:cstheme="majorBidi"/>
              </w:rPr>
              <w:t xml:space="preserve"> et al</w:t>
            </w:r>
            <w:r>
              <w:rPr>
                <w:rFonts w:asciiTheme="majorBidi" w:hAnsiTheme="majorBidi" w:cstheme="majorBidi"/>
              </w:rPr>
              <w:t>.,</w:t>
            </w:r>
            <w:r w:rsidRPr="00797611">
              <w:rPr>
                <w:rFonts w:asciiTheme="majorBidi" w:hAnsiTheme="majorBidi" w:cstheme="majorBidi"/>
              </w:rPr>
              <w:t xml:space="preserve"> 2004</w:t>
            </w:r>
            <w:r>
              <w:rPr>
                <w:rFonts w:asciiTheme="majorBidi" w:hAnsiTheme="majorBidi" w:cstheme="majorBidi"/>
              </w:rPr>
              <w:t xml:space="preserve"> </w:t>
            </w:r>
            <w:r w:rsidR="00637930">
              <w:rPr>
                <w:rFonts w:asciiTheme="majorBidi" w:hAnsiTheme="majorBidi" w:cstheme="majorBidi"/>
              </w:rPr>
              <w:fldChar w:fldCharType="begin" w:fldLock="1"/>
            </w:r>
            <w:r w:rsidR="00637930">
              <w:rPr>
                <w:rFonts w:asciiTheme="majorBidi" w:hAnsiTheme="majorBidi" w:cstheme="majorBidi"/>
              </w:rPr>
              <w:instrText>ADDIN CSL_CITATION {"citationItems":[{"id":"ITEM-1","itemData":{"DOI":"10.1366/000370204774103408","ISSN":"00037028","PMID":"15165334","abstract":"Surface-enhanced Raman scattering spectra (SERS) were measured for various amino acids: L-methionine (Met), L-cysteine (Cys), L-glycine (Gly), L-leucine (Leu), L-phenylalanine (Phe), and L-proline (Pro) and their homodipeptides (Met-Met, Cys-Cys, Gly-Gly, Leu-Leu, Phe-Phe, and Pro-Pro) in silver colloidal solutions. The geometry and orientation of the amino acids or dipeptides on the silver surface, and their specific interaction with the surface, were deducted by detailed spectral analysis of the SERS spectra. This analysis has allowed us to propose the particular surface geometry of amino acids or dipeptides and also implied that C-C bonds were almost parallel to the surface, as evidenced by the absence of marker bands in the skeletal C-C stretching region of the spectra. Additionally, using \"time-dependent\" SERS measurements we solved an existing controversy regarding the binding specificity of Gly-Gly on the silver surface.","author":[{"dropping-particle":"","family":"Podstawka","given":"Edyta","non-dropping-particle":"","parse-names":false,"suffix":""},{"dropping-particle":"","family":"Ozaki","given":"Yukihiro","non-dropping-particle":"","parse-names":false,"suffix":""},{"dropping-particle":"","family":"Proniewicz","given":"Leonard M.","non-dropping-particle":"","parse-names":false,"suffix":""}],"container-title":"Applied Spectroscopy","id":"ITEM-1","issued":{"date-parts":[["2004"]]},"title":"Part I: Surface-enhanced Raman spectroscopy investigation of amino acids and their homodipeptides adsorbed on colloidal silver","type":"article-journal"},"uris":["http://www.mendeley.com/documents/?uuid=921dc705-9b18-489f-abe8-446114ff5677"]}],"mendeley":{"formattedCitation":"[7]","plainTextFormattedCitation":"[7]","previouslyFormattedCitation":"[7]"},"properties":{"noteIndex":0},"schema":"https://github.com/citation-style-language/schema/raw/master/csl-citation.json"}</w:instrText>
            </w:r>
            <w:r w:rsidR="00637930">
              <w:rPr>
                <w:rFonts w:asciiTheme="majorBidi" w:hAnsiTheme="majorBidi" w:cstheme="majorBidi"/>
              </w:rPr>
              <w:fldChar w:fldCharType="separate"/>
            </w:r>
            <w:r w:rsidR="00637930" w:rsidRPr="00637930">
              <w:rPr>
                <w:rFonts w:asciiTheme="majorBidi" w:hAnsiTheme="majorBidi" w:cstheme="majorBidi"/>
                <w:noProof/>
              </w:rPr>
              <w:t>[7]</w:t>
            </w:r>
            <w:r w:rsidR="00637930">
              <w:rPr>
                <w:rFonts w:asciiTheme="majorBidi" w:hAnsiTheme="majorBidi" w:cstheme="majorBidi"/>
              </w:rPr>
              <w:fldChar w:fldCharType="end"/>
            </w:r>
          </w:p>
        </w:tc>
      </w:tr>
      <w:tr w:rsidR="007E2F62" w:rsidRPr="00797611" w14:paraId="39709FBA"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BBCD1CA" w14:textId="77777777" w:rsidR="007E2F62" w:rsidRPr="00797611" w:rsidRDefault="007E2F62" w:rsidP="003D6BB7">
            <w:pPr>
              <w:spacing w:line="480" w:lineRule="auto"/>
              <w:jc w:val="center"/>
              <w:rPr>
                <w:rFonts w:asciiTheme="majorBidi" w:hAnsiTheme="majorBidi" w:cstheme="majorBidi"/>
                <w:b w:val="0"/>
                <w:bCs w:val="0"/>
              </w:rPr>
            </w:pPr>
            <w:r w:rsidRPr="00797611">
              <w:rPr>
                <w:rFonts w:asciiTheme="majorBidi" w:hAnsiTheme="majorBidi" w:cstheme="majorBidi"/>
                <w:b w:val="0"/>
                <w:bCs w:val="0"/>
              </w:rPr>
              <w:t>1066</w:t>
            </w:r>
          </w:p>
        </w:tc>
        <w:tc>
          <w:tcPr>
            <w:tcW w:w="2552" w:type="dxa"/>
          </w:tcPr>
          <w:p w14:paraId="45C935F5"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611">
              <w:rPr>
                <w:rFonts w:asciiTheme="majorBidi" w:hAnsiTheme="majorBidi" w:cstheme="majorBidi"/>
              </w:rPr>
              <w:sym w:font="Symbol" w:char="F06E"/>
            </w:r>
            <w:r w:rsidRPr="00797611">
              <w:rPr>
                <w:rFonts w:asciiTheme="majorBidi" w:hAnsiTheme="majorBidi" w:cstheme="majorBidi"/>
              </w:rPr>
              <w:t xml:space="preserve">CC, </w:t>
            </w:r>
            <w:r w:rsidRPr="00797611">
              <w:rPr>
                <w:rFonts w:asciiTheme="majorBidi" w:hAnsiTheme="majorBidi" w:cstheme="majorBidi"/>
              </w:rPr>
              <w:sym w:font="Symbol" w:char="F06E"/>
            </w:r>
            <w:r w:rsidRPr="00797611">
              <w:rPr>
                <w:rFonts w:asciiTheme="majorBidi" w:hAnsiTheme="majorBidi" w:cstheme="majorBidi"/>
              </w:rPr>
              <w:t xml:space="preserve">CN, </w:t>
            </w:r>
            <w:r w:rsidRPr="00797611">
              <w:rPr>
                <w:rFonts w:asciiTheme="majorBidi" w:hAnsiTheme="majorBidi" w:cstheme="majorBidi"/>
              </w:rPr>
              <w:sym w:font="Symbol" w:char="F06E"/>
            </w:r>
            <w:r w:rsidRPr="00797611">
              <w:rPr>
                <w:rFonts w:asciiTheme="majorBidi" w:hAnsiTheme="majorBidi" w:cstheme="majorBidi"/>
              </w:rPr>
              <w:t>CO</w:t>
            </w:r>
          </w:p>
        </w:tc>
        <w:tc>
          <w:tcPr>
            <w:tcW w:w="4813" w:type="dxa"/>
          </w:tcPr>
          <w:p w14:paraId="5327D058" w14:textId="7C34F8CD" w:rsidR="007E2F62" w:rsidRPr="00797611" w:rsidRDefault="007E2F62" w:rsidP="00637930">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Roy</w:t>
            </w:r>
            <w:proofErr w:type="spellEnd"/>
            <w:r w:rsidRPr="00797611">
              <w:rPr>
                <w:rFonts w:asciiTheme="majorBidi" w:hAnsiTheme="majorBidi" w:cstheme="majorBidi"/>
              </w:rPr>
              <w:t xml:space="preserve"> et al</w:t>
            </w:r>
            <w:r>
              <w:rPr>
                <w:rFonts w:asciiTheme="majorBidi" w:hAnsiTheme="majorBidi" w:cstheme="majorBidi"/>
              </w:rPr>
              <w:t>.,</w:t>
            </w:r>
            <w:r w:rsidRPr="00797611">
              <w:rPr>
                <w:rFonts w:asciiTheme="majorBidi" w:hAnsiTheme="majorBidi" w:cstheme="majorBidi"/>
              </w:rPr>
              <w:t xml:space="preserve"> 2017</w:t>
            </w:r>
            <w:r w:rsidR="00637930">
              <w:rPr>
                <w:rFonts w:asciiTheme="majorBidi" w:hAnsiTheme="majorBidi" w:cstheme="majorBidi"/>
              </w:rPr>
              <w:t xml:space="preserve"> </w:t>
            </w:r>
            <w:r w:rsidR="00637930">
              <w:rPr>
                <w:rFonts w:asciiTheme="majorBidi" w:hAnsiTheme="majorBidi" w:cstheme="majorBidi"/>
              </w:rPr>
              <w:fldChar w:fldCharType="begin" w:fldLock="1"/>
            </w:r>
            <w:r w:rsidR="00637930">
              <w:rPr>
                <w:rFonts w:asciiTheme="majorBidi" w:hAnsiTheme="majorBidi" w:cstheme="majorBidi"/>
              </w:rPr>
              <w:instrText xml:space="preserve">ADDIN CSL_CITATION {"citationItems":[{"id":"ITEM-1","itemData":{"DOI":"10.1021/acsomega.7b00522","ISSN":"24701343","abstract":"In Alzheimer's disease (AD), amyloid β (Aβ) protein plays a detrimental role in neuronal injury and death. Recent in vitro and in vivo studies suggest that soluble oligomers of the Aβ peptide are neurotoxic. Structural properties of the oligomeric assembly, however, are largely unknown. Our present investigation established that the 40-residue-long Aβ peptide (Aβ40) became more helical, ordered, and compact in the oligomeric state, and both the helical and β-sheet components were found to increase significantly in the early event of oligomerization. The band-selective two-dimensional NMR analysis suggested that majority of the residues from sequence 12 to 22 gained a higher-ordered secondary structure in the oligomeric condition. The presence of a significant amount of helical conformation was confirmed by Raman bands at 1650 and 1336 cm-1. Other residues remained mostly in the extended polyproline II (PPII) and less compact β-conformation space. In the event of maturation of the oligomers into an amyloid fiber, both the helical content and the PPII-like structural components declined and </w:instrText>
            </w:r>
            <w:r w:rsidR="00637930">
              <w:rPr>
                <w:rFonts w:ascii="Cambria Math" w:hAnsi="Cambria Math" w:cs="Cambria Math"/>
              </w:rPr>
              <w:instrText>∼</w:instrText>
            </w:r>
            <w:r w:rsidR="00637930">
              <w:rPr>
                <w:rFonts w:asciiTheme="majorBidi" w:hAnsiTheme="majorBidi" w:cstheme="majorBidi"/>
              </w:rPr>
              <w:instrText>72% residues attained a compact β-sheet structure. Interestingly, however, some residues remained in the collagen triple helix/extended 2.51-helix conformation as evidenced by the amide III Raman signature band at 1272 cm-1. Molecular dynamics analysis using an optimized potential for liquid simulation force field with the peptide monomer indicated that some of the residues may have preferences for helical conformation and this possibly contributed in the event of oligomer formation, which eventually became a β-sheet-rich amyloid fiber.","author":[{"dropping-particle":"","family":"Roy","given":"Anupam","non-dropping-particle":"","parse-names":false,"suffix":""},{"dropping-particle":"","family":"Chandra","given":"Kousik","non-dropping-particle":"","parse-names":false,"suffix":""},{"dropping-particle":"","family":"Dolui","given":"Sandip","non-dropping-particle":"","parse-names":false,"suffix":""},{"dropping-particle":"","family":"Maiti","given":"Nakul C.","non-dropping-particle":"","parse-names":false,"suffix":""}],"container-title":"ACS Omega","id":"ITEM-1","issued":{"date-parts":[["2017"]]},"title":"Envisaging the Structural Elevation in the Early Event of Oligomerization of Disordered Amyloid β Peptide","type":"article-journal"},"uris":["http://www.mendeley.com/documents/?uuid=c19e6702-21a6-44a6-a98e-9abfabad8f36"]}],"mendeley":{"formattedCitation":"[8]","plainTextFormattedCitation":"[8]","previouslyFormattedCitation":"[8]"},"properties":{"noteIndex":0},"schema":"https://github.com/citation-style-language/schema/raw/master/csl-citation.json"}</w:instrText>
            </w:r>
            <w:r w:rsidR="00637930">
              <w:rPr>
                <w:rFonts w:asciiTheme="majorBidi" w:hAnsiTheme="majorBidi" w:cstheme="majorBidi"/>
              </w:rPr>
              <w:fldChar w:fldCharType="separate"/>
            </w:r>
            <w:r w:rsidR="00637930" w:rsidRPr="00637930">
              <w:rPr>
                <w:rFonts w:asciiTheme="majorBidi" w:hAnsiTheme="majorBidi" w:cstheme="majorBidi"/>
                <w:noProof/>
              </w:rPr>
              <w:t>[8]</w:t>
            </w:r>
            <w:r w:rsidR="00637930">
              <w:rPr>
                <w:rFonts w:asciiTheme="majorBidi" w:hAnsiTheme="majorBidi" w:cstheme="majorBidi"/>
              </w:rPr>
              <w:fldChar w:fldCharType="end"/>
            </w:r>
          </w:p>
        </w:tc>
      </w:tr>
      <w:tr w:rsidR="007E2F62" w:rsidRPr="00797611" w14:paraId="68269FD8"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0AC81A8" w14:textId="77777777" w:rsidR="007E2F62" w:rsidRPr="00797611" w:rsidRDefault="007E2F62" w:rsidP="003D6BB7">
            <w:pPr>
              <w:spacing w:line="480" w:lineRule="auto"/>
              <w:jc w:val="center"/>
              <w:rPr>
                <w:rFonts w:asciiTheme="majorBidi" w:hAnsiTheme="majorBidi" w:cstheme="majorBidi"/>
                <w:b w:val="0"/>
                <w:bCs w:val="0"/>
              </w:rPr>
            </w:pPr>
            <w:r w:rsidRPr="00797611">
              <w:rPr>
                <w:rFonts w:asciiTheme="majorBidi" w:hAnsiTheme="majorBidi" w:cstheme="majorBidi"/>
                <w:b w:val="0"/>
                <w:bCs w:val="0"/>
              </w:rPr>
              <w:t>1112</w:t>
            </w:r>
          </w:p>
        </w:tc>
        <w:tc>
          <w:tcPr>
            <w:tcW w:w="2552" w:type="dxa"/>
          </w:tcPr>
          <w:p w14:paraId="64F6D0C3"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611">
              <w:rPr>
                <w:rFonts w:asciiTheme="majorBidi" w:hAnsiTheme="majorBidi" w:cstheme="majorBidi"/>
              </w:rPr>
              <w:sym w:font="Symbol" w:char="F06E"/>
            </w:r>
            <w:r w:rsidRPr="00797611">
              <w:rPr>
                <w:rFonts w:asciiTheme="majorBidi" w:hAnsiTheme="majorBidi" w:cstheme="majorBidi"/>
              </w:rPr>
              <w:t>CC</w:t>
            </w:r>
          </w:p>
        </w:tc>
        <w:tc>
          <w:tcPr>
            <w:tcW w:w="4813" w:type="dxa"/>
          </w:tcPr>
          <w:p w14:paraId="6BB3B4A9" w14:textId="117CBA8A"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Roy</w:t>
            </w:r>
            <w:proofErr w:type="spellEnd"/>
            <w:r w:rsidRPr="00797611">
              <w:rPr>
                <w:rFonts w:asciiTheme="majorBidi" w:hAnsiTheme="majorBidi" w:cstheme="majorBidi"/>
              </w:rPr>
              <w:t xml:space="preserve"> et al</w:t>
            </w:r>
            <w:r>
              <w:rPr>
                <w:rFonts w:asciiTheme="majorBidi" w:hAnsiTheme="majorBidi" w:cstheme="majorBidi"/>
              </w:rPr>
              <w:t>.,</w:t>
            </w:r>
            <w:r w:rsidRPr="00797611">
              <w:rPr>
                <w:rFonts w:asciiTheme="majorBidi" w:hAnsiTheme="majorBidi" w:cstheme="majorBidi"/>
              </w:rPr>
              <w:t xml:space="preserve"> 2017</w:t>
            </w:r>
            <w:r>
              <w:rPr>
                <w:rFonts w:asciiTheme="majorBidi" w:hAnsiTheme="majorBidi" w:cstheme="majorBidi"/>
              </w:rPr>
              <w:t xml:space="preserve"> </w:t>
            </w:r>
            <w:r w:rsidR="00637930">
              <w:rPr>
                <w:rFonts w:asciiTheme="majorBidi" w:hAnsiTheme="majorBidi" w:cstheme="majorBidi"/>
              </w:rPr>
              <w:fldChar w:fldCharType="begin" w:fldLock="1"/>
            </w:r>
            <w:r w:rsidR="00637930">
              <w:rPr>
                <w:rFonts w:asciiTheme="majorBidi" w:hAnsiTheme="majorBidi" w:cstheme="majorBidi"/>
              </w:rPr>
              <w:instrText xml:space="preserve">ADDIN CSL_CITATION {"citationItems":[{"id":"ITEM-1","itemData":{"DOI":"10.1021/acsomega.7b00522","ISSN":"24701343","abstract":"In Alzheimer's disease (AD), amyloid β (Aβ) protein plays a detrimental role in neuronal injury and death. Recent in vitro and in vivo studies suggest that soluble oligomers of the Aβ peptide are neurotoxic. Structural properties of the oligomeric assembly, however, are largely unknown. Our present investigation established that the 40-residue-long Aβ peptide (Aβ40) became more helical, ordered, and compact in the oligomeric state, and both the helical and β-sheet components were found to increase significantly in the early event of oligomerization. The band-selective two-dimensional NMR analysis suggested that majority of the residues from sequence 12 to 22 gained a higher-ordered secondary structure in the oligomeric condition. The presence of a significant amount of helical conformation was confirmed by Raman bands at 1650 and 1336 cm-1. Other residues remained mostly in the extended polyproline II (PPII) and less compact β-conformation space. In the event of maturation of the oligomers into an amyloid fiber, both the helical content and the PPII-like structural components declined and </w:instrText>
            </w:r>
            <w:r w:rsidR="00637930">
              <w:rPr>
                <w:rFonts w:ascii="Cambria Math" w:hAnsi="Cambria Math" w:cs="Cambria Math"/>
              </w:rPr>
              <w:instrText>∼</w:instrText>
            </w:r>
            <w:r w:rsidR="00637930">
              <w:rPr>
                <w:rFonts w:asciiTheme="majorBidi" w:hAnsiTheme="majorBidi" w:cstheme="majorBidi"/>
              </w:rPr>
              <w:instrText xml:space="preserve">72% residues attained a compact </w:instrText>
            </w:r>
            <w:r w:rsidR="00637930">
              <w:instrText>β</w:instrText>
            </w:r>
            <w:r w:rsidR="00637930">
              <w:rPr>
                <w:rFonts w:asciiTheme="majorBidi" w:hAnsiTheme="majorBidi" w:cstheme="majorBidi"/>
              </w:rPr>
              <w:instrText>-sheet structure. Interestingly, however, some residues remained in the collagen triple helix/extended 2.51-helix conformation as evidenced by the amide III Raman signature band at 1272 cm-1. Molecular dynamics analysis using an optimized potential for liquid simulation force field with the peptide monomer indicated that some of the residues may have preferences for helical conformation and this possibly contributed in the event of oligomer formation, which eventually became a β-sheet-rich amyloid fiber.","author":[{"dropping-particle":"","family":"Roy","given":"Anupam","non-dropping-particle":"","parse-names":false,"suffix":""},{"dropping-particle":"","family":"Chandra","given":"Kousik","non-dropping-particle":"","parse-names":false,"suffix":""},{"dropping-particle":"","family":"Dolui","given":"Sandip","non-dropping-particle":"","parse-names":false,"suffix":""},{"dropping-particle":"","family":"Maiti","given":"Nakul C.","non-dropping-particle":"","parse-names":false,"suffix":""}],"container-title":"ACS Omega","id":"ITEM-1","issued":{"date-parts":[["2017"]]},"title":"Envisaging the Structural Elevation in the Early Event of Oligomerization of Disordered Amyloid β Peptide","type":"article-journal"},"uris":["http://www.mendeley.com/documents/?uuid=c19e6702-21a6-44a6-a98e-9abfabad8f36"]}],"mendeley":{"formattedCitation":"[8]","plainTextFormattedCitation":"[8]","previouslyFormattedCitation":"[8]"},"properties":{"noteIndex":0},"schema":"https://github.com/citation-style-language/schema/raw/master/csl-citation.json"}</w:instrText>
            </w:r>
            <w:r w:rsidR="00637930">
              <w:rPr>
                <w:rFonts w:asciiTheme="majorBidi" w:hAnsiTheme="majorBidi" w:cstheme="majorBidi"/>
              </w:rPr>
              <w:fldChar w:fldCharType="separate"/>
            </w:r>
            <w:r w:rsidR="00637930" w:rsidRPr="00637930">
              <w:rPr>
                <w:rFonts w:asciiTheme="majorBidi" w:hAnsiTheme="majorBidi" w:cstheme="majorBidi"/>
                <w:noProof/>
              </w:rPr>
              <w:t>[8]</w:t>
            </w:r>
            <w:r w:rsidR="00637930">
              <w:rPr>
                <w:rFonts w:asciiTheme="majorBidi" w:hAnsiTheme="majorBidi" w:cstheme="majorBidi"/>
              </w:rPr>
              <w:fldChar w:fldCharType="end"/>
            </w:r>
          </w:p>
        </w:tc>
      </w:tr>
      <w:tr w:rsidR="007E2F62" w:rsidRPr="00797611" w14:paraId="24DCB20B"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CCF0367" w14:textId="77777777" w:rsidR="007E2F62" w:rsidRPr="00797611" w:rsidRDefault="007E2F62" w:rsidP="003D6BB7">
            <w:pPr>
              <w:spacing w:line="480" w:lineRule="auto"/>
              <w:jc w:val="center"/>
              <w:rPr>
                <w:rFonts w:asciiTheme="majorBidi" w:hAnsiTheme="majorBidi" w:cstheme="majorBidi"/>
                <w:b w:val="0"/>
                <w:bCs w:val="0"/>
              </w:rPr>
            </w:pPr>
            <w:r w:rsidRPr="00797611">
              <w:rPr>
                <w:rFonts w:asciiTheme="majorBidi" w:hAnsiTheme="majorBidi" w:cstheme="majorBidi"/>
                <w:b w:val="0"/>
                <w:bCs w:val="0"/>
              </w:rPr>
              <w:t>1203</w:t>
            </w:r>
          </w:p>
        </w:tc>
        <w:tc>
          <w:tcPr>
            <w:tcW w:w="2552" w:type="dxa"/>
          </w:tcPr>
          <w:p w14:paraId="1CC24968"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Tyr</w:t>
            </w:r>
            <w:proofErr w:type="spellEnd"/>
            <w:r w:rsidRPr="00797611">
              <w:rPr>
                <w:rFonts w:asciiTheme="majorBidi" w:hAnsiTheme="majorBidi" w:cstheme="majorBidi"/>
              </w:rPr>
              <w:t xml:space="preserve">, </w:t>
            </w:r>
            <w:proofErr w:type="spellStart"/>
            <w:r w:rsidRPr="00797611">
              <w:rPr>
                <w:rFonts w:asciiTheme="majorBidi" w:hAnsiTheme="majorBidi" w:cstheme="majorBidi"/>
              </w:rPr>
              <w:t>Phe</w:t>
            </w:r>
            <w:proofErr w:type="spellEnd"/>
          </w:p>
        </w:tc>
        <w:tc>
          <w:tcPr>
            <w:tcW w:w="4813" w:type="dxa"/>
          </w:tcPr>
          <w:p w14:paraId="6486DD17" w14:textId="6EE984F0"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97611">
              <w:rPr>
                <w:rFonts w:asciiTheme="majorBidi" w:hAnsiTheme="majorBidi" w:cstheme="majorBidi"/>
              </w:rPr>
              <w:t>Podstawka</w:t>
            </w:r>
            <w:proofErr w:type="spellEnd"/>
            <w:r w:rsidRPr="00797611">
              <w:rPr>
                <w:rFonts w:asciiTheme="majorBidi" w:hAnsiTheme="majorBidi" w:cstheme="majorBidi"/>
              </w:rPr>
              <w:t xml:space="preserve"> et al</w:t>
            </w:r>
            <w:r>
              <w:rPr>
                <w:rFonts w:asciiTheme="majorBidi" w:hAnsiTheme="majorBidi" w:cstheme="majorBidi"/>
              </w:rPr>
              <w:t>.,</w:t>
            </w:r>
            <w:r w:rsidRPr="00797611">
              <w:rPr>
                <w:rFonts w:asciiTheme="majorBidi" w:hAnsiTheme="majorBidi" w:cstheme="majorBidi"/>
              </w:rPr>
              <w:t xml:space="preserve"> 2004</w:t>
            </w:r>
            <w:r>
              <w:rPr>
                <w:rFonts w:asciiTheme="majorBidi" w:hAnsiTheme="majorBidi" w:cstheme="majorBidi"/>
              </w:rPr>
              <w:t xml:space="preserve"> </w:t>
            </w:r>
            <w:r w:rsidR="00637930">
              <w:rPr>
                <w:rFonts w:asciiTheme="majorBidi" w:hAnsiTheme="majorBidi" w:cstheme="majorBidi"/>
              </w:rPr>
              <w:fldChar w:fldCharType="begin" w:fldLock="1"/>
            </w:r>
            <w:r w:rsidR="000F0D27">
              <w:rPr>
                <w:rFonts w:asciiTheme="majorBidi" w:hAnsiTheme="majorBidi" w:cstheme="majorBidi"/>
              </w:rPr>
              <w:instrText>ADDIN CSL_CITATION {"citationItems":[{"id":"ITEM-1","itemData":{"DOI":"10.1366/000370204774103408","ISSN":"00037028","PMID":"15165334","abstract":"Surface-enhanced Raman scattering spectra (SERS) were measured for various amino acids: L-methionine (Met), L-cysteine (Cys), L-glycine (Gly), L-leucine (Leu), L-phenylalanine (Phe), and L-proline (Pro) and their homodipeptides (Met-Met, Cys-Cys, Gly-Gly, Leu-Leu, Phe-Phe, and Pro-Pro) in silver colloidal solutions. The geometry and orientation of the amino acids or dipeptides on the silver surface, and their specific interaction with the surface, were deducted by detailed spectral analysis of the SERS spectra. This analysis has allowed us to propose the particular surface geometry of amino acids or dipeptides and also implied that C-C bonds were almost parallel to the surface, as evidenced by the absence of marker bands in the skeletal C-C stretching region of the spectra. Additionally, using \"time-dependent\" SERS measurements we solved an existing controversy regarding the binding specificity of Gly-Gly on the silver surface.","author":[{"dropping-particle":"","family":"Podstawka","given":"Edyta","non-dropping-particle":"","parse-names":false,"suffix":""},{"dropping-particle":"","family":"Ozaki","given":"Yukihiro","non-dropping-particle":"","parse-names":false,"suffix":""},{"dropping-particle":"","family":"Proniewicz","given":"Leonard M.","non-dropping-particle":"","parse-names":false,"suffix":""}],"container-title":"Applied Spectroscopy","id":"ITEM-1","issued":{"date-parts":[["2004"]]},"title":"Part I: Surface-enhanced Raman spectroscopy investigation of amino acids and their homodipeptides adsorbed on colloidal silver","type":"article-journal"},"uris":["http://www.mendeley.com/documents/?uuid=921dc705-9b18-489f-abe8-446114ff5677"]}],"mendeley":{"formattedCitation":"[7]","plainTextFormattedCitation":"[7]","previouslyFormattedCitation":"[7]"},"properties":{"noteIndex":0},"schema":"https://github.com/citation-style-language/schema/raw/master/csl-citation.json"}</w:instrText>
            </w:r>
            <w:r w:rsidR="00637930">
              <w:rPr>
                <w:rFonts w:asciiTheme="majorBidi" w:hAnsiTheme="majorBidi" w:cstheme="majorBidi"/>
              </w:rPr>
              <w:fldChar w:fldCharType="separate"/>
            </w:r>
            <w:r w:rsidR="00637930" w:rsidRPr="00637930">
              <w:rPr>
                <w:rFonts w:asciiTheme="majorBidi" w:hAnsiTheme="majorBidi" w:cstheme="majorBidi"/>
                <w:noProof/>
              </w:rPr>
              <w:t>[7]</w:t>
            </w:r>
            <w:r w:rsidR="00637930">
              <w:rPr>
                <w:rFonts w:asciiTheme="majorBidi" w:hAnsiTheme="majorBidi" w:cstheme="majorBidi"/>
              </w:rPr>
              <w:fldChar w:fldCharType="end"/>
            </w:r>
          </w:p>
        </w:tc>
      </w:tr>
      <w:tr w:rsidR="007E2F62" w:rsidRPr="006017ED" w14:paraId="5F951F94"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1A71F0C" w14:textId="77777777" w:rsidR="007E2F62" w:rsidRPr="00797611" w:rsidRDefault="007E2F62" w:rsidP="003D6BB7">
            <w:pPr>
              <w:spacing w:line="480" w:lineRule="auto"/>
              <w:jc w:val="center"/>
              <w:rPr>
                <w:rFonts w:asciiTheme="majorBidi" w:hAnsiTheme="majorBidi" w:cstheme="majorBidi"/>
                <w:b w:val="0"/>
                <w:bCs w:val="0"/>
              </w:rPr>
            </w:pPr>
            <w:r w:rsidRPr="00797611">
              <w:rPr>
                <w:rFonts w:asciiTheme="majorBidi" w:hAnsiTheme="majorBidi" w:cstheme="majorBidi"/>
                <w:b w:val="0"/>
                <w:bCs w:val="0"/>
              </w:rPr>
              <w:t>1229</w:t>
            </w:r>
          </w:p>
        </w:tc>
        <w:tc>
          <w:tcPr>
            <w:tcW w:w="2552" w:type="dxa"/>
          </w:tcPr>
          <w:p w14:paraId="435EDB09" w14:textId="77777777" w:rsidR="007E2F62" w:rsidRPr="00797611"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611">
              <w:rPr>
                <w:rFonts w:asciiTheme="majorBidi" w:hAnsiTheme="majorBidi" w:cstheme="majorBidi"/>
              </w:rPr>
              <w:t>Amide III</w:t>
            </w:r>
          </w:p>
        </w:tc>
        <w:tc>
          <w:tcPr>
            <w:tcW w:w="4813" w:type="dxa"/>
          </w:tcPr>
          <w:p w14:paraId="2905D3A5" w14:textId="6DE9AD75" w:rsidR="007E2F62" w:rsidRPr="006017ED"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7611">
              <w:rPr>
                <w:rFonts w:asciiTheme="majorBidi" w:hAnsiTheme="majorBidi" w:cstheme="majorBidi"/>
                <w:lang w:val="da-DK"/>
              </w:rPr>
              <w:t>Rygula et al</w:t>
            </w:r>
            <w:r>
              <w:rPr>
                <w:rFonts w:asciiTheme="majorBidi" w:hAnsiTheme="majorBidi" w:cstheme="majorBidi"/>
                <w:lang w:val="da-DK"/>
              </w:rPr>
              <w:t>.,</w:t>
            </w:r>
            <w:r w:rsidRPr="00797611">
              <w:rPr>
                <w:rFonts w:asciiTheme="majorBidi" w:hAnsiTheme="majorBidi" w:cstheme="majorBidi"/>
                <w:lang w:val="da-DK"/>
              </w:rPr>
              <w:t xml:space="preserve"> 2013</w:t>
            </w:r>
            <w:r>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[9]</w:t>
            </w:r>
            <w:r w:rsidR="000F0D27">
              <w:rPr>
                <w:rFonts w:asciiTheme="majorBidi" w:hAnsiTheme="majorBidi" w:cstheme="majorBidi"/>
                <w:lang w:val="da-DK"/>
              </w:rPr>
              <w:fldChar w:fldCharType="end"/>
            </w:r>
            <w:r>
              <w:rPr>
                <w:rFonts w:asciiTheme="majorBidi" w:hAnsiTheme="majorBidi" w:cstheme="majorBidi"/>
                <w:lang w:val="da-DK"/>
              </w:rPr>
              <w:t>;</w:t>
            </w:r>
            <w:r w:rsidRPr="00797611">
              <w:rPr>
                <w:rFonts w:asciiTheme="majorBidi" w:hAnsiTheme="majorBidi" w:cstheme="majorBidi"/>
                <w:lang w:val="da-DK"/>
              </w:rPr>
              <w:t xml:space="preserve"> Moskovit</w:t>
            </w:r>
            <w:r>
              <w:rPr>
                <w:rFonts w:asciiTheme="majorBidi" w:hAnsiTheme="majorBidi" w:cstheme="majorBidi"/>
                <w:lang w:val="da-DK"/>
              </w:rPr>
              <w:t>s</w:t>
            </w:r>
            <w:r w:rsidRPr="00797611">
              <w:rPr>
                <w:rFonts w:asciiTheme="majorBidi" w:hAnsiTheme="majorBidi" w:cstheme="majorBidi"/>
                <w:lang w:val="da-DK"/>
              </w:rPr>
              <w:t xml:space="preserve"> et al</w:t>
            </w:r>
            <w:r>
              <w:rPr>
                <w:rFonts w:asciiTheme="majorBidi" w:hAnsiTheme="majorBidi" w:cstheme="majorBidi"/>
                <w:lang w:val="da-DK"/>
              </w:rPr>
              <w:t>.,</w:t>
            </w:r>
            <w:r w:rsidRPr="00797611">
              <w:rPr>
                <w:rFonts w:asciiTheme="majorBidi" w:hAnsiTheme="majorBidi" w:cstheme="majorBidi"/>
                <w:lang w:val="da-DK"/>
              </w:rPr>
              <w:t xml:space="preserve"> 2021</w:t>
            </w:r>
            <w:r>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{"citationItems":[{"id":"ITEM-1","itemData":{"DOI":"10.1002/jrs.6028","ISSN":"10974555","abstract":"When discovered in 1977, surface-enhanced Raman spectroscopy (SERS) almost immediately became a research phenomenon with dozens ofgroups on many continents probing this unusual result in which the Raman intensity of a molecule could be increased a millionfold when the molecule is placed on rough silver. Multiple putative explanations were reported that were winnowed down to two major groups: one made reference to the erstwhile nearly unknown entity called the surface plasmon (a collective electronic excitation of metal nanostructures); the other argued that SERS is merely unusually intense resonance Raman. The former was first enunciated by Moskovits in 1978. If indeed plasmonic in nature, one might suppose that SERS would be an effect that requires submicroscopic structure (i.e., nanostructure) and that it would be strongest for the coinage and the alkali metals and accordingly predict that the enhancement (which up to that point had been observed only on electrochemically roughened silver) will also be seen for true silver and gold colloids. All of these predictions were rapidly demonstrated experimentally by many groups, and the plasmonic model for SERS has been developed over the past 40 years into a descriptive, predictive, and quantitative theory that accounts for all of the seminal aspects of SERS.","author":[{"dropping-particle":"","family":"Moskovits","given":"Martin","non-dropping-particle":"","parse-names":false,"suffix":""},{"dropping-particle":"","family":"Piorek","given":"Brian D.","non-dropping-particle":"","parse-names":false,"suffix":""}],"container-title":"Journal of Raman Spectroscopy","id":"ITEM-1","issued":{"date-parts":[["2021"]]},"title":"A brief history of surface-enhanced Raman spectroscopy and the localized surface plasmon Dedicated to the memory of Richard Van Duyne (1945–2019)","type":"article"},"uris":["http://www.mendeley.com/documents/?uuid=60420ea3-5b6b-4899-af45-69b910846102"]}],"mendeley":{"formattedCitation":"[10]","plainTextFormattedCitation":"[10]","previouslyFormattedCitation":"[10]"},"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[10]</w:t>
            </w:r>
            <w:r w:rsidR="000F0D27">
              <w:rPr>
                <w:rFonts w:asciiTheme="majorBidi" w:hAnsiTheme="majorBidi" w:cstheme="majorBidi"/>
                <w:lang w:val="da-DK"/>
              </w:rPr>
              <w:fldChar w:fldCharType="end"/>
            </w:r>
          </w:p>
        </w:tc>
      </w:tr>
      <w:tr w:rsidR="007E2F62" w:rsidRPr="00D227B5" w14:paraId="4AC420D9"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6E96B45"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1294</w:t>
            </w:r>
          </w:p>
        </w:tc>
        <w:tc>
          <w:tcPr>
            <w:tcW w:w="2552" w:type="dxa"/>
          </w:tcPr>
          <w:p w14:paraId="73C53597"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2</w:t>
            </w:r>
            <w:r w:rsidRPr="008F2B08">
              <w:rPr>
                <w:rFonts w:asciiTheme="majorBidi" w:hAnsiTheme="majorBidi" w:cstheme="majorBidi"/>
                <w:lang w:val="en-GB"/>
              </w:rPr>
              <w:t>,CH</w:t>
            </w:r>
            <w:r w:rsidRPr="008F2B08">
              <w:rPr>
                <w:rFonts w:asciiTheme="majorBidi" w:hAnsiTheme="majorBidi" w:cstheme="majorBidi"/>
                <w:vertAlign w:val="subscript"/>
                <w:lang w:val="en-GB"/>
              </w:rPr>
              <w:t>3</w:t>
            </w:r>
            <w:r w:rsidRPr="008F2B08">
              <w:rPr>
                <w:rFonts w:asciiTheme="majorBidi" w:hAnsiTheme="majorBidi" w:cstheme="majorBidi"/>
                <w:lang w:val="en-GB"/>
              </w:rPr>
              <w:t>)</w:t>
            </w:r>
          </w:p>
        </w:tc>
        <w:tc>
          <w:tcPr>
            <w:tcW w:w="4813" w:type="dxa"/>
          </w:tcPr>
          <w:p w14:paraId="6FA5E80D" w14:textId="1E230B56"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r w:rsidR="007E2F62" w:rsidRPr="00D227B5" w14:paraId="2B0550FB"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12D14D9"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1314</w:t>
            </w:r>
          </w:p>
        </w:tc>
        <w:tc>
          <w:tcPr>
            <w:tcW w:w="2552" w:type="dxa"/>
          </w:tcPr>
          <w:p w14:paraId="1985B7E1"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2</w:t>
            </w:r>
            <w:r w:rsidRPr="008F2B08">
              <w:rPr>
                <w:rFonts w:asciiTheme="majorBidi" w:hAnsiTheme="majorBidi" w:cstheme="majorBidi"/>
                <w:lang w:val="en-GB"/>
              </w:rPr>
              <w:t>,CH</w:t>
            </w:r>
            <w:r w:rsidRPr="008F2B08">
              <w:rPr>
                <w:rFonts w:asciiTheme="majorBidi" w:hAnsiTheme="majorBidi" w:cstheme="majorBidi"/>
                <w:vertAlign w:val="subscript"/>
                <w:lang w:val="en-GB"/>
              </w:rPr>
              <w:t>3</w:t>
            </w:r>
            <w:r w:rsidRPr="008F2B08">
              <w:rPr>
                <w:rFonts w:asciiTheme="majorBidi" w:hAnsiTheme="majorBidi" w:cstheme="majorBidi"/>
                <w:lang w:val="en-GB"/>
              </w:rPr>
              <w:t>)</w:t>
            </w:r>
          </w:p>
        </w:tc>
        <w:tc>
          <w:tcPr>
            <w:tcW w:w="4813" w:type="dxa"/>
          </w:tcPr>
          <w:p w14:paraId="39EBED8F" w14:textId="6D1DCFA4"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r w:rsidR="007E2F62" w:rsidRPr="00D227B5" w14:paraId="615816C1"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06007259"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1370</w:t>
            </w:r>
          </w:p>
        </w:tc>
        <w:tc>
          <w:tcPr>
            <w:tcW w:w="2552" w:type="dxa"/>
          </w:tcPr>
          <w:p w14:paraId="5A2F668B"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3</w:t>
            </w:r>
          </w:p>
        </w:tc>
        <w:tc>
          <w:tcPr>
            <w:tcW w:w="4813" w:type="dxa"/>
          </w:tcPr>
          <w:p w14:paraId="677DD4C2" w14:textId="7BE86AD3"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r w:rsidR="007E2F62" w:rsidRPr="00D227B5" w14:paraId="0DBFAC20"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0B6DC2C2"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1423</w:t>
            </w:r>
          </w:p>
        </w:tc>
        <w:tc>
          <w:tcPr>
            <w:tcW w:w="2552" w:type="dxa"/>
          </w:tcPr>
          <w:p w14:paraId="0CD53B63"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2</w:t>
            </w:r>
          </w:p>
        </w:tc>
        <w:tc>
          <w:tcPr>
            <w:tcW w:w="4813" w:type="dxa"/>
          </w:tcPr>
          <w:p w14:paraId="6B53ED33" w14:textId="5B698A0E"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8F2B08">
              <w:rPr>
                <w:rFonts w:asciiTheme="majorBidi" w:hAnsiTheme="majorBidi" w:cstheme="majorBidi"/>
                <w:lang w:val="en-GB"/>
              </w:rPr>
              <w:t>Zhu et al</w:t>
            </w:r>
            <w:r>
              <w:rPr>
                <w:rFonts w:asciiTheme="majorBidi" w:hAnsiTheme="majorBidi" w:cstheme="majorBidi"/>
                <w:lang w:val="en-GB"/>
              </w:rPr>
              <w:t>.,</w:t>
            </w:r>
            <w:r w:rsidRPr="008F2B08">
              <w:rPr>
                <w:rFonts w:asciiTheme="majorBidi" w:hAnsiTheme="majorBidi" w:cstheme="majorBidi"/>
                <w:lang w:val="en-GB"/>
              </w:rPr>
              <w:t xml:space="preserve"> 2011</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{"citationItems":[{"id":"ITEM-1","itemData":{"DOI":"10.1016/j.saa.2010.12.079","ISSN":"13861425","PMID":"21242101","abstract":"Amino acids are the basic \"building blocks\" that combine to form proteins and play an important physiological role in all life-forms. Amino acids can be used as models for the examination of the importance of intermolecular bonding in life processes. Raman spectra serve to obtain information regarding molecular conformation, giving valuable insights into the topology of more complex molecules (peptides and proteins). In this paper, amino acids and their aqueous solution have been studied by Raman spectroscopy. Comparisons of certain values for these frequencies in amino acids and their aqueous solutions are given. Spectra of solids when compared to those of the solute in solution are invariably much more complex and almost always sharper. We present a collection of Raman spectra of 18 kinds of amino acids (l-alanine, l-arginine, l-aspartic acid, cystine, l-glutamic acid, l-glycine, l-histidine, l-isoluecine, l-leucine, l-lysine, l-phenylalanine, l-methionone, l-proline, l-serine, l-threonine, l-tryptophan, l-tyrosine, l-valine) and their aqueous solutions that can serve as references for the interpretation of Raman spectra of proteins and biological materials. © 2010 Elsevier B.V. All rights reserved.","author":[{"dropping-particle":"","family":"Zhu","given":"Guangyong","non-dropping-particle":"","parse-names":false,"suffix":""},{"dropping-particle":"","family":"Zhu","given":"Xian","non-dropping-particle":"","parse-names":false,"suffix":""},{"dropping-particle":"","family":"Fan","given":"Qi","non-dropping-particle":"","parse-names":false,"suffix":""},{"dropping-particle":"","family":"Wan","given":"Xueliang","non-dropping-particle":"","parse-names":false,"suffix":""}],"container-title":"Spectrochimica Acta - Part A: Molecular and Biomolecular Spectroscopy","id":"ITEM-1","issued":{"date-parts":[["2011"]]},"title":"Raman spectra of amino acids and their aqueous solutions","type":"article-journal"},"uris":["http://www.mendeley.com/documents/?uuid=cda20f8b-342b-4757-b57e-e4264b1ea955"]}],"mendeley":{"formattedCitation":"[11]","plainTextFormattedCitation":"[11]","previouslyFormattedCitation":"[11]"},"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[11]</w:t>
            </w:r>
            <w:r w:rsidR="000F0D27">
              <w:rPr>
                <w:rFonts w:asciiTheme="majorBidi" w:hAnsiTheme="majorBidi" w:cstheme="majorBidi"/>
                <w:lang w:val="en-GB"/>
              </w:rPr>
              <w:fldChar w:fldCharType="end"/>
            </w:r>
          </w:p>
        </w:tc>
      </w:tr>
      <w:tr w:rsidR="007E2F62" w:rsidRPr="00D227B5" w14:paraId="066EBDA8"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0D3AFF00"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1450</w:t>
            </w:r>
          </w:p>
        </w:tc>
        <w:tc>
          <w:tcPr>
            <w:tcW w:w="2552" w:type="dxa"/>
          </w:tcPr>
          <w:p w14:paraId="2B555F65"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2</w:t>
            </w:r>
            <w:r w:rsidRPr="008F2B08">
              <w:rPr>
                <w:rFonts w:asciiTheme="majorBidi" w:hAnsiTheme="majorBidi" w:cstheme="majorBidi"/>
                <w:lang w:val="en-GB"/>
              </w:rPr>
              <w:t>,CH</w:t>
            </w:r>
            <w:r w:rsidRPr="008F2B08">
              <w:rPr>
                <w:rFonts w:asciiTheme="majorBidi" w:hAnsiTheme="majorBidi" w:cstheme="majorBidi"/>
                <w:vertAlign w:val="subscript"/>
                <w:lang w:val="en-GB"/>
              </w:rPr>
              <w:t>3</w:t>
            </w:r>
            <w:r w:rsidRPr="008F2B08">
              <w:rPr>
                <w:rFonts w:asciiTheme="majorBidi" w:hAnsiTheme="majorBidi" w:cstheme="majorBidi"/>
                <w:lang w:val="en-GB"/>
              </w:rPr>
              <w:t>)</w:t>
            </w:r>
          </w:p>
        </w:tc>
        <w:tc>
          <w:tcPr>
            <w:tcW w:w="4813" w:type="dxa"/>
          </w:tcPr>
          <w:p w14:paraId="0539689B" w14:textId="1E45D25A" w:rsidR="007E2F62" w:rsidRPr="005D5327"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da-DK"/>
              </w:rPr>
            </w:pPr>
            <w:r w:rsidRPr="00797611">
              <w:rPr>
                <w:rFonts w:asciiTheme="majorBidi" w:hAnsiTheme="majorBidi" w:cstheme="majorBidi"/>
                <w:lang w:val="da-DK"/>
              </w:rPr>
              <w:t>Rygula et al</w:t>
            </w:r>
            <w:r>
              <w:rPr>
                <w:rFonts w:asciiTheme="majorBidi" w:hAnsiTheme="majorBidi" w:cstheme="majorBidi"/>
                <w:lang w:val="da-DK"/>
              </w:rPr>
              <w:t>.,</w:t>
            </w:r>
            <w:r w:rsidRPr="00797611">
              <w:rPr>
                <w:rFonts w:asciiTheme="majorBidi" w:hAnsiTheme="majorBidi" w:cstheme="majorBidi"/>
                <w:lang w:val="da-DK"/>
              </w:rPr>
              <w:t xml:space="preserve"> 2013</w:t>
            </w:r>
            <w:r>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[9]</w:t>
            </w:r>
            <w:r w:rsidR="000F0D27">
              <w:rPr>
                <w:rFonts w:asciiTheme="majorBidi" w:hAnsiTheme="majorBidi" w:cstheme="majorBidi"/>
                <w:lang w:val="da-DK"/>
              </w:rPr>
              <w:fldChar w:fldCharType="end"/>
            </w:r>
            <w:r>
              <w:rPr>
                <w:rFonts w:asciiTheme="majorBidi" w:hAnsiTheme="majorBidi" w:cstheme="majorBidi"/>
                <w:lang w:val="da-DK"/>
              </w:rPr>
              <w:t xml:space="preserve">; </w:t>
            </w:r>
            <w:r w:rsidRPr="00797611">
              <w:rPr>
                <w:rFonts w:asciiTheme="majorBidi" w:hAnsiTheme="majorBidi" w:cstheme="majorBidi"/>
                <w:lang w:val="da-DK"/>
              </w:rPr>
              <w:t>Moskovit</w:t>
            </w:r>
            <w:r>
              <w:rPr>
                <w:rFonts w:asciiTheme="majorBidi" w:hAnsiTheme="majorBidi" w:cstheme="majorBidi"/>
                <w:lang w:val="da-DK"/>
              </w:rPr>
              <w:t xml:space="preserve">s </w:t>
            </w:r>
            <w:r w:rsidRPr="00797611">
              <w:rPr>
                <w:rFonts w:asciiTheme="majorBidi" w:hAnsiTheme="majorBidi" w:cstheme="majorBidi"/>
                <w:lang w:val="da-DK"/>
              </w:rPr>
              <w:t>et al</w:t>
            </w:r>
            <w:r>
              <w:rPr>
                <w:rFonts w:asciiTheme="majorBidi" w:hAnsiTheme="majorBidi" w:cstheme="majorBidi"/>
                <w:lang w:val="da-DK"/>
              </w:rPr>
              <w:t>.,</w:t>
            </w:r>
            <w:r w:rsidRPr="00797611">
              <w:rPr>
                <w:rFonts w:asciiTheme="majorBidi" w:hAnsiTheme="majorBidi" w:cstheme="majorBidi"/>
                <w:lang w:val="da-DK"/>
              </w:rPr>
              <w:t xml:space="preserve"> 2021</w:t>
            </w:r>
            <w:r>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{"citationItems":[{"id":"ITEM-1","itemData":{"DOI":"10.1002/jrs.6028","ISSN":"10974555","abstract":"When discovered in 1977, surface-enhanced Raman spectroscopy (SERS) almost immediately became a research phenomenon with dozens ofgroups on many continents probing this unusual result in which the Raman intensity of a molecule could be increased a millionfold when the molecule is placed on rough silver. Multiple putative explanations were reported that were winnowed down to two major groups: one made reference to the erstwhile nearly unknown entity called the surface plasmon (a collective electronic excitation of metal nanostructures); the other argued that SERS is merely unusually intense resonance Raman. The former was first enunciated by Moskovits in 1978. If indeed plasmonic in nature, one might suppose that SERS would be an effect that requires submicroscopic structure (i.e., nanostructure) and that it would be strongest for the coinage and the alkali metals and accordingly predict that the enhancement (which up to that point had been observed only on electrochemically roughened silver) will also be seen for true silver and gold colloids. All of these predictions were rapidly demonstrated experimentally by many groups, and the plasmonic model for SERS has been developed over the past 40 years into a descriptive, predictive, and quantitative theory that accounts for all of the seminal aspects of SERS.","author":[{"dropping-particle":"","family":"Moskovits","given":"Martin","non-dropping-particle":"","parse-names":false,"suffix":""},{"dropping-particle":"","family":"Piorek","given":"Brian D.","non-dropping-particle":"","parse-names":false,"suffix":""}],"container-title":"Journal of Raman Spectroscopy","id":"ITEM-1","issued":{"date-parts":[["2021"]]},"title":"A brief history of surface-enhanced Raman spectroscopy and the localized surface plasmon Dedicated to the memory of Richard Van Duyne (1945–2019)","type":"article"},"uris":["http://www.mendeley.com/documents/?uuid=60420ea3-5b6b-4899-af45-69b910846102"]}],"mendeley":{"formattedCitation":"[10]","plainTextFormattedCitation":"[10]","previouslyFormattedCitation":"[10]"},"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[10]</w:t>
            </w:r>
            <w:r w:rsidR="000F0D27">
              <w:rPr>
                <w:rFonts w:asciiTheme="majorBidi" w:hAnsiTheme="majorBidi" w:cstheme="majorBidi"/>
                <w:lang w:val="da-DK"/>
              </w:rPr>
              <w:fldChar w:fldCharType="end"/>
            </w:r>
          </w:p>
        </w:tc>
      </w:tr>
      <w:tr w:rsidR="007E2F62" w:rsidRPr="00D227B5" w14:paraId="1972EC8B"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16E841C"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1464</w:t>
            </w:r>
          </w:p>
        </w:tc>
        <w:tc>
          <w:tcPr>
            <w:tcW w:w="2552" w:type="dxa"/>
          </w:tcPr>
          <w:p w14:paraId="67CF1B35"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97611">
              <w:rPr>
                <w:rFonts w:asciiTheme="majorBidi" w:hAnsiTheme="majorBidi" w:cstheme="majorBidi"/>
              </w:rPr>
              <w:sym w:font="Symbol" w:char="F064"/>
            </w:r>
            <w:r w:rsidRPr="008F2B08">
              <w:rPr>
                <w:rFonts w:asciiTheme="majorBidi" w:hAnsiTheme="majorBidi" w:cstheme="majorBidi"/>
                <w:lang w:val="en-GB"/>
              </w:rPr>
              <w:t>(CH</w:t>
            </w:r>
            <w:r w:rsidRPr="008F2B08">
              <w:rPr>
                <w:rFonts w:asciiTheme="majorBidi" w:hAnsiTheme="majorBidi" w:cstheme="majorBidi"/>
                <w:vertAlign w:val="subscript"/>
                <w:lang w:val="en-GB"/>
              </w:rPr>
              <w:t>2</w:t>
            </w:r>
            <w:r w:rsidRPr="008F2B08">
              <w:rPr>
                <w:rFonts w:asciiTheme="majorBidi" w:hAnsiTheme="majorBidi" w:cstheme="majorBidi"/>
                <w:lang w:val="en-GB"/>
              </w:rPr>
              <w:t>,CH</w:t>
            </w:r>
            <w:r w:rsidRPr="008F2B08">
              <w:rPr>
                <w:rFonts w:asciiTheme="majorBidi" w:hAnsiTheme="majorBidi" w:cstheme="majorBidi"/>
                <w:vertAlign w:val="subscript"/>
                <w:lang w:val="en-GB"/>
              </w:rPr>
              <w:t>3</w:t>
            </w:r>
            <w:r w:rsidRPr="008F2B08">
              <w:rPr>
                <w:rFonts w:asciiTheme="majorBidi" w:hAnsiTheme="majorBidi" w:cstheme="majorBidi"/>
                <w:lang w:val="en-GB"/>
              </w:rPr>
              <w:t>)</w:t>
            </w:r>
          </w:p>
        </w:tc>
        <w:tc>
          <w:tcPr>
            <w:tcW w:w="4813" w:type="dxa"/>
          </w:tcPr>
          <w:p w14:paraId="0F53B5D2" w14:textId="54EB6BD7" w:rsidR="007E2F62" w:rsidRPr="00797611"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da-DK"/>
              </w:rPr>
            </w:pPr>
            <w:r w:rsidRPr="00797611">
              <w:rPr>
                <w:rFonts w:asciiTheme="majorBidi" w:hAnsiTheme="majorBidi" w:cstheme="majorBidi"/>
                <w:lang w:val="da-DK"/>
              </w:rPr>
              <w:t>Rygula et al</w:t>
            </w:r>
            <w:r>
              <w:rPr>
                <w:rFonts w:asciiTheme="majorBidi" w:hAnsiTheme="majorBidi" w:cstheme="majorBidi"/>
                <w:lang w:val="da-DK"/>
              </w:rPr>
              <w:t>.,</w:t>
            </w:r>
            <w:r w:rsidRPr="00797611">
              <w:rPr>
                <w:rFonts w:asciiTheme="majorBidi" w:hAnsiTheme="majorBidi" w:cstheme="majorBidi"/>
                <w:lang w:val="da-DK"/>
              </w:rPr>
              <w:t xml:space="preserve"> 2013</w:t>
            </w:r>
            <w:r>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[9]</w:t>
            </w:r>
            <w:r w:rsidR="000F0D27">
              <w:rPr>
                <w:rFonts w:asciiTheme="majorBidi" w:hAnsiTheme="majorBidi" w:cstheme="majorBidi"/>
                <w:lang w:val="da-DK"/>
              </w:rPr>
              <w:fldChar w:fldCharType="end"/>
            </w:r>
            <w:r>
              <w:rPr>
                <w:rFonts w:asciiTheme="majorBidi" w:hAnsiTheme="majorBidi" w:cstheme="majorBidi"/>
                <w:lang w:val="da-DK"/>
              </w:rPr>
              <w:t xml:space="preserve">, </w:t>
            </w:r>
            <w:r w:rsidRPr="00797611">
              <w:rPr>
                <w:rFonts w:asciiTheme="majorBidi" w:hAnsiTheme="majorBidi" w:cstheme="majorBidi"/>
                <w:lang w:val="da-DK"/>
              </w:rPr>
              <w:t>Moskovit</w:t>
            </w:r>
            <w:r>
              <w:rPr>
                <w:rFonts w:asciiTheme="majorBidi" w:hAnsiTheme="majorBidi" w:cstheme="majorBidi"/>
                <w:lang w:val="da-DK"/>
              </w:rPr>
              <w:t xml:space="preserve">s </w:t>
            </w:r>
            <w:r w:rsidRPr="00797611">
              <w:rPr>
                <w:rFonts w:asciiTheme="majorBidi" w:hAnsiTheme="majorBidi" w:cstheme="majorBidi"/>
                <w:lang w:val="da-DK"/>
              </w:rPr>
              <w:t>et al</w:t>
            </w:r>
            <w:r>
              <w:rPr>
                <w:rFonts w:asciiTheme="majorBidi" w:hAnsiTheme="majorBidi" w:cstheme="majorBidi"/>
                <w:lang w:val="da-DK"/>
              </w:rPr>
              <w:t>.,</w:t>
            </w:r>
            <w:r w:rsidRPr="00797611">
              <w:rPr>
                <w:rFonts w:asciiTheme="majorBidi" w:hAnsiTheme="majorBidi" w:cstheme="majorBidi"/>
                <w:lang w:val="da-DK"/>
              </w:rPr>
              <w:t xml:space="preserve"> 2021</w:t>
            </w:r>
            <w:r w:rsidR="000F0D27">
              <w:rPr>
                <w:rFonts w:asciiTheme="majorBidi" w:hAnsiTheme="majorBidi" w:cstheme="majorBidi"/>
                <w:lang w:val="da-DK"/>
              </w:rPr>
              <w:t xml:space="preserve"> </w:t>
            </w:r>
            <w:r w:rsidR="000F0D27">
              <w:rPr>
                <w:rFonts w:asciiTheme="majorBidi" w:hAnsiTheme="majorBidi" w:cstheme="majorBidi"/>
                <w:lang w:val="da-DK"/>
              </w:rPr>
              <w:fldChar w:fldCharType="begin" w:fldLock="1"/>
            </w:r>
            <w:r w:rsidR="000F0D27">
              <w:rPr>
                <w:rFonts w:asciiTheme="majorBidi" w:hAnsiTheme="majorBidi" w:cstheme="majorBidi"/>
                <w:lang w:val="da-DK"/>
              </w:rPr>
              <w:instrText>ADDIN CSL_CITATION {"citationItems":[{"id":"ITEM-1","itemData":{"DOI":"10.1002/jrs.6028","ISSN":"10974555","abstract":"When discovered in 1977, surface-enhanced Raman spectroscopy (SERS) almost immediately became a research phenomenon with dozens ofgroups on many continents probing this unusual result in which the Raman intensity of a molecule could be increased a millionfold when the molecule is placed on rough silver. Multiple putative explanations were reported that were winnowed down to two major groups: one made reference to the erstwhile nearly unknown entity called the surface plasmon (a collective electronic excitation of metal nanostructures); the other argued that SERS is merely unusually intense resonance Raman. The former was first enunciated by Moskovits in 1978. If indeed plasmonic in nature, one might suppose that SERS would be an effect that requires submicroscopic structure (i.e., nanostructure) and that it would be strongest for the coinage and the alkali metals and accordingly predict that the enhancement (which up to that point had been observed only on electrochemically roughened silver) will also be seen for true silver and gold colloids. All of these predictions were rapidly demonstrated experimentally by many groups, and the plasmonic model for SERS has been developed over the past 40 years into a descriptive, predictive, and quantitative theory that accounts for all of the seminal aspects of SERS.","author":[{"dropping-particle":"","family":"Moskovits","given":"Martin","non-dropping-particle":"","parse-names":false,"suffix":""},{"dropping-particle":"","family":"Piorek","given":"Brian D.","non-dropping-particle":"","parse-names":false,"suffix":""}],"container-title":"Journal of Raman Spectroscopy","id":"ITEM-1","issued":{"date-parts":[["2021"]]},"title":"A brief history of surface-enhanced Raman spectroscopy and the localized surface plasmon Dedicated to the memory of Richard Van Duyne (1945–2019)","type":"article"},"uris":["http://www.mendeley.com/documents/?uuid=60420ea3-5b6b-4899-af45-69b910846102"]}],"mendeley":{"formattedCitation":"[10]","plainTextFormattedCitation":"[10]","previouslyFormattedCitation":"[10]"},"properties":{"noteIndex":0},"schema":"https://github.com/citation-style-language/schema/raw/master/csl-citation.json"}</w:instrText>
            </w:r>
            <w:r w:rsidR="000F0D27">
              <w:rPr>
                <w:rFonts w:asciiTheme="majorBidi" w:hAnsiTheme="majorBidi" w:cstheme="majorBidi"/>
                <w:lang w:val="da-DK"/>
              </w:rPr>
              <w:fldChar w:fldCharType="separate"/>
            </w:r>
            <w:r w:rsidR="000F0D27" w:rsidRPr="000F0D27">
              <w:rPr>
                <w:rFonts w:asciiTheme="majorBidi" w:hAnsiTheme="majorBidi" w:cstheme="majorBidi"/>
                <w:noProof/>
                <w:lang w:val="da-DK"/>
              </w:rPr>
              <w:t>[10]</w:t>
            </w:r>
            <w:r w:rsidR="000F0D27">
              <w:rPr>
                <w:rFonts w:asciiTheme="majorBidi" w:hAnsiTheme="majorBidi" w:cstheme="majorBidi"/>
                <w:lang w:val="da-DK"/>
              </w:rPr>
              <w:fldChar w:fldCharType="end"/>
            </w:r>
          </w:p>
        </w:tc>
      </w:tr>
      <w:tr w:rsidR="007E2F62" w:rsidRPr="00D227B5" w14:paraId="6B07F09B"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8E94D43"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1491</w:t>
            </w:r>
          </w:p>
        </w:tc>
        <w:tc>
          <w:tcPr>
            <w:tcW w:w="2552" w:type="dxa"/>
          </w:tcPr>
          <w:p w14:paraId="5945E917"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8F2B08">
              <w:rPr>
                <w:rFonts w:asciiTheme="majorBidi" w:hAnsiTheme="majorBidi" w:cstheme="majorBidi"/>
                <w:lang w:val="en-GB"/>
              </w:rPr>
              <w:t>His</w:t>
            </w:r>
          </w:p>
        </w:tc>
        <w:tc>
          <w:tcPr>
            <w:tcW w:w="4813" w:type="dxa"/>
          </w:tcPr>
          <w:p w14:paraId="6A0C0AD1" w14:textId="7E5EA291" w:rsidR="007E2F62" w:rsidRPr="008F2B08"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B</w:t>
            </w:r>
            <w:r w:rsidRPr="008F2B08">
              <w:rPr>
                <w:lang w:val="en-GB"/>
              </w:rPr>
              <w:t>eier</w:t>
            </w:r>
            <w:proofErr w:type="spellEnd"/>
            <w:r w:rsidRPr="008F2B08">
              <w:rPr>
                <w:lang w:val="en-GB"/>
              </w:rPr>
              <w:t xml:space="preserve"> et al</w:t>
            </w:r>
            <w:r>
              <w:rPr>
                <w:lang w:val="en-GB"/>
              </w:rPr>
              <w:t>.,</w:t>
            </w:r>
            <w:r w:rsidRPr="008F2B08">
              <w:rPr>
                <w:lang w:val="en-GB"/>
              </w:rPr>
              <w:t xml:space="preserve"> 2007</w:t>
            </w:r>
            <w:r>
              <w:rPr>
                <w:lang w:val="en-GB"/>
              </w:rPr>
              <w:t xml:space="preserve"> </w:t>
            </w:r>
            <w:r w:rsidR="000F0D27">
              <w:rPr>
                <w:lang w:val="en-GB"/>
              </w:rPr>
              <w:fldChar w:fldCharType="begin" w:fldLock="1"/>
            </w:r>
            <w:r w:rsidR="000F0D27">
              <w:rPr>
                <w:lang w:val="en-GB"/>
              </w:rPr>
              <w:instrText>ADDIN CSL_CITATION {"citationItems":[{"id":"ITEM-1","itemData":{"DOI":"10.1007/s11468-007-9027-x","ISSN":"15571955","abstract":"Currently, no methods exist for the definitive diagnosis of AD premortem. β-amyloid, the primary component of the senile plaques found in patients with this disease, is believed to play a role in its neurotoxicity. We are developing a nanoshell substrate, functionalized with sialic acid residues to mimic neuron cell surfaces, for the surface-enhanced Raman detection of β-amyloid. It is our hope that this sensing mechanism will be able to detect the toxic form of β-amyloid, with structural and concentration information, to aid in the diagnosis of AD and provide insight into the relationship between β-amyloid and disease progression. We have been successfully able to functionalize the nanoshells with the sialic acid residues to allow for the specific binding of β-amyloid to the substrate. We have also shown that a surface-enhanced Raman spectroscopy response using nanoshells is stable and concentration-dependent with detection into the picomolar range. © Springer Science+Business Media, LLC 2007.","author":[{"dropping-particle":"","family":"Beier","given":"Hope T.","non-dropping-particle":"","parse-names":false,"suffix":""},{"dropping-particle":"","family":"Cowan","given":"Christopher B.","non-dropping-particle":"","parse-names":false,"suffix":""},{"dropping-particle":"","family":"Chou","given":"I. Hsien","non-dropping-particle":"","parse-names":false,"suffix":""},{"dropping-particle":"","family":"Pallikal","given":"James","non-dropping-particle":"","parse-names":false,"suffix":""},{"dropping-particle":"","family":"Henry","given":"James E.","non-dropping-particle":"","parse-names":false,"suffix":""},{"dropping-particle":"","family":"Benford","given":"Melodie E.","non-dropping-particle":"","parse-names":false,"suffix":""},{"dropping-particle":"","family":"Jackson","given":"Joseph B.","non-dropping-particle":"","parse-names":false,"suffix":""},{"dropping-particle":"","family":"Good","given":"Theresa A.","non-dropping-particle":"","parse-names":false,"suffix":""},{"dropping-particle":"","family":"Coté","given":"Gerard L.","non-dropping-particle":"","parse-names":false,"suffix":""}],"container-title":"Plasmonics","id":"ITEM-1","issued":{"date-parts":[["2007"]]},"title":"Application of surface-enhanced raman spectroscopy for detection of beta amyloid using nanoshells","type":"article-journal"},"uris":["http://www.mendeley.com/documents/?uuid=7ebca80d-1a71-4b95-9a24-2e7eb512b656"]}],"mendeley":{"formattedCitation":"[12]","plainTextFormattedCitation":"[12]","previouslyFormattedCitation":"[12]"},"properties":{"noteIndex":0},"schema":"https://github.com/citation-style-language/schema/raw/master/csl-citation.json"}</w:instrText>
            </w:r>
            <w:r w:rsidR="000F0D27">
              <w:rPr>
                <w:lang w:val="en-GB"/>
              </w:rPr>
              <w:fldChar w:fldCharType="separate"/>
            </w:r>
            <w:r w:rsidR="000F0D27" w:rsidRPr="000F0D27">
              <w:rPr>
                <w:noProof/>
                <w:lang w:val="en-GB"/>
              </w:rPr>
              <w:t>[12]</w:t>
            </w:r>
            <w:r w:rsidR="000F0D27">
              <w:rPr>
                <w:lang w:val="en-GB"/>
              </w:rPr>
              <w:fldChar w:fldCharType="end"/>
            </w:r>
          </w:p>
        </w:tc>
      </w:tr>
      <w:tr w:rsidR="007E2F62" w:rsidRPr="00D227B5" w14:paraId="186AC431"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AA64DBD"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1600</w:t>
            </w:r>
          </w:p>
        </w:tc>
        <w:tc>
          <w:tcPr>
            <w:tcW w:w="2552" w:type="dxa"/>
          </w:tcPr>
          <w:p w14:paraId="490126FF"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Phe</w:t>
            </w:r>
            <w:proofErr w:type="spellEnd"/>
          </w:p>
        </w:tc>
        <w:tc>
          <w:tcPr>
            <w:tcW w:w="4813" w:type="dxa"/>
          </w:tcPr>
          <w:p w14:paraId="4C41EE96" w14:textId="26CF0EA1" w:rsidR="007E2F62" w:rsidRPr="008F2B08"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r w:rsidR="007E2F62" w:rsidRPr="00D227B5" w14:paraId="5486B4D5"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2F53B28"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1650</w:t>
            </w:r>
          </w:p>
        </w:tc>
        <w:tc>
          <w:tcPr>
            <w:tcW w:w="2552" w:type="dxa"/>
          </w:tcPr>
          <w:p w14:paraId="24EB3F94"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8F2B08">
              <w:rPr>
                <w:rFonts w:asciiTheme="majorBidi" w:hAnsiTheme="majorBidi" w:cstheme="majorBidi"/>
                <w:lang w:val="en-GB"/>
              </w:rPr>
              <w:t>Amide I</w:t>
            </w:r>
          </w:p>
        </w:tc>
        <w:tc>
          <w:tcPr>
            <w:tcW w:w="4813" w:type="dxa"/>
          </w:tcPr>
          <w:p w14:paraId="6FF2E6A1" w14:textId="396D1EE9" w:rsidR="007E2F62" w:rsidRPr="008F2B08"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r w:rsidR="007E2F62" w:rsidRPr="00D227B5" w14:paraId="3C0370AA" w14:textId="77777777" w:rsidTr="003D6BB7">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ED44371" w14:textId="77777777" w:rsidR="007E2F62" w:rsidRPr="00737F65" w:rsidRDefault="007E2F62" w:rsidP="003D6BB7">
            <w:pPr>
              <w:spacing w:line="480" w:lineRule="auto"/>
              <w:jc w:val="center"/>
              <w:rPr>
                <w:rFonts w:asciiTheme="majorBidi" w:hAnsiTheme="majorBidi" w:cstheme="majorBidi"/>
                <w:b w:val="0"/>
                <w:bCs w:val="0"/>
                <w:lang w:val="en-GB"/>
              </w:rPr>
            </w:pPr>
            <w:r w:rsidRPr="00737F65">
              <w:rPr>
                <w:rFonts w:asciiTheme="majorBidi" w:hAnsiTheme="majorBidi" w:cstheme="majorBidi"/>
                <w:b w:val="0"/>
                <w:bCs w:val="0"/>
                <w:lang w:val="en-GB"/>
              </w:rPr>
              <w:t>1675</w:t>
            </w:r>
          </w:p>
        </w:tc>
        <w:tc>
          <w:tcPr>
            <w:tcW w:w="2552" w:type="dxa"/>
          </w:tcPr>
          <w:p w14:paraId="402C2DC0" w14:textId="77777777" w:rsidR="007E2F62" w:rsidRPr="008F2B08" w:rsidRDefault="007E2F62" w:rsidP="003D6BB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8F2B08">
              <w:rPr>
                <w:rFonts w:asciiTheme="majorBidi" w:hAnsiTheme="majorBidi" w:cstheme="majorBidi"/>
                <w:lang w:val="en-GB"/>
              </w:rPr>
              <w:t>Amide I</w:t>
            </w:r>
          </w:p>
        </w:tc>
        <w:tc>
          <w:tcPr>
            <w:tcW w:w="4813" w:type="dxa"/>
          </w:tcPr>
          <w:p w14:paraId="79E40792" w14:textId="1552522A" w:rsidR="007E2F62" w:rsidRPr="008F2B08" w:rsidRDefault="007E2F62" w:rsidP="000F0D27">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proofErr w:type="spellStart"/>
            <w:r w:rsidRPr="008F2B08">
              <w:rPr>
                <w:rFonts w:asciiTheme="majorBidi" w:hAnsiTheme="majorBidi" w:cstheme="majorBidi"/>
                <w:lang w:val="en-GB"/>
              </w:rPr>
              <w:t>Rygula</w:t>
            </w:r>
            <w:proofErr w:type="spellEnd"/>
            <w:r w:rsidRPr="008F2B08">
              <w:rPr>
                <w:rFonts w:asciiTheme="majorBidi" w:hAnsiTheme="majorBidi" w:cstheme="majorBidi"/>
                <w:lang w:val="en-GB"/>
              </w:rPr>
              <w:t xml:space="preserve"> et al</w:t>
            </w:r>
            <w:r>
              <w:rPr>
                <w:rFonts w:asciiTheme="majorBidi" w:hAnsiTheme="majorBidi" w:cstheme="majorBidi"/>
                <w:lang w:val="en-GB"/>
              </w:rPr>
              <w:t>.,</w:t>
            </w:r>
            <w:r w:rsidRPr="008F2B08">
              <w:rPr>
                <w:rFonts w:asciiTheme="majorBidi" w:hAnsiTheme="majorBidi" w:cstheme="majorBidi"/>
                <w:lang w:val="en-GB"/>
              </w:rPr>
              <w:t xml:space="preserve"> 2013</w:t>
            </w:r>
            <w:r>
              <w:rPr>
                <w:rFonts w:asciiTheme="majorBidi" w:hAnsiTheme="majorBidi" w:cstheme="majorBidi"/>
                <w:lang w:val="en-GB"/>
              </w:rPr>
              <w:t xml:space="preserve"> </w:t>
            </w:r>
            <w:r w:rsidR="000F0D27">
              <w:rPr>
                <w:rFonts w:asciiTheme="majorBidi" w:hAnsiTheme="majorBidi" w:cstheme="majorBidi"/>
                <w:lang w:val="en-GB"/>
              </w:rPr>
              <w:fldChar w:fldCharType="begin" w:fldLock="1"/>
            </w:r>
            <w:r w:rsidR="000F0D27">
              <w:rPr>
                <w:rFonts w:asciiTheme="majorBidi" w:hAnsiTheme="majorBidi" w:cstheme="majorBidi"/>
                <w:lang w:val="en-GB"/>
              </w:rPr>
              <w:instrText>ADDIN CSL_CITATION {"citationItems":[{"id":"ITEM-1","itemData":{"DOI":"10.1002/jrs.4335","ISSN":"10974555","abstract":"In this work, 26 proteins of different structure, function and properties are investigated by Raman spectroscopy with 488, 532 and 1064 nm laser lines. The excitation lines were chosen in NIR and Vis range as the most common and to show the difference due to normal and resonance effect, sometimes accompanied by the fluorescence. The selected proteins were divided, according to the Structural Classification of Proteins, into four classes according to their secondary structure, i.e. α-helical (α), β-sheet (β), mixed structures (α/β, α + β, s) and others. For all compounds, FT-Raman and two Vis spectra are presented along with the detailed band assignment. To the best of our knowledge, this is the first review showing the potential of Raman spectroscopy for the measurement and analysis of such a large collection of individual proteins. This work can serve as a comprehensive vibrational spectra library, based on our and previous Raman measurements. Copyright © 2013 John Wiley &amp; Sons, Ltd.","author":[{"dropping-particle":"","family":"Rygula","given":"A.","non-dropping-particle":"","parse-names":false,"suffix":""},{"dropping-particle":"","family":"Majzner","given":"K.","non-dropping-particle":"","parse-names":false,"suffix":""},{"dropping-particle":"","family":"Marzec","given":"K. M.","non-dropping-particle":"","parse-names":false,"suffix":""},{"dropping-particle":"","family":"Kaczor","given":"A.","non-dropping-particle":"","parse-names":false,"suffix":""},{"dropping-particle":"","family":"Pilarczyk","given":"M.","non-dropping-particle":"","parse-names":false,"suffix":""},{"dropping-particle":"","family":"Baranska","given":"M.","non-dropping-particle":"","parse-names":false,"suffix":""}],"container-title":"Journal of Raman Spectroscopy","id":"ITEM-1","issued":{"date-parts":[["2013"]]},"title":"Raman spectroscopy of proteins: A review","type":"article"},"uris":["http://www.mendeley.com/documents/?uuid=c9fd9670-22e1-46fb-87cd-db1a047e5f4e"]}],"mendeley":{"formattedCitation":"[9]","plainTextFormattedCitation":"[9]","previouslyFormattedCitation":"[9]"},"properties":{"noteIndex":0},"schema":"https://github.com/citation-style-language/schema/raw/master/csl-citation.json"}</w:instrText>
            </w:r>
            <w:r w:rsidR="000F0D27">
              <w:rPr>
                <w:rFonts w:asciiTheme="majorBidi" w:hAnsiTheme="majorBidi" w:cstheme="majorBidi"/>
                <w:lang w:val="en-GB"/>
              </w:rPr>
              <w:fldChar w:fldCharType="separate"/>
            </w:r>
            <w:r w:rsidR="000F0D27" w:rsidRPr="000F0D27">
              <w:rPr>
                <w:rFonts w:asciiTheme="majorBidi" w:hAnsiTheme="majorBidi" w:cstheme="majorBidi"/>
                <w:noProof/>
                <w:lang w:val="en-GB"/>
              </w:rPr>
              <w:t>[9]</w:t>
            </w:r>
            <w:r w:rsidR="000F0D27">
              <w:rPr>
                <w:rFonts w:asciiTheme="majorBidi" w:hAnsiTheme="majorBidi" w:cstheme="majorBidi"/>
                <w:lang w:val="en-GB"/>
              </w:rPr>
              <w:fldChar w:fldCharType="end"/>
            </w:r>
          </w:p>
        </w:tc>
      </w:tr>
    </w:tbl>
    <w:p w14:paraId="6B05F0B6" w14:textId="77777777" w:rsidR="007E2F62" w:rsidRPr="008F2B08" w:rsidRDefault="007E2F62" w:rsidP="007E2F62">
      <w:pPr>
        <w:spacing w:line="480" w:lineRule="auto"/>
        <w:rPr>
          <w:lang w:val="en-GB"/>
        </w:rPr>
      </w:pPr>
    </w:p>
    <w:p w14:paraId="4035A7B0" w14:textId="77777777" w:rsidR="007E2F62" w:rsidRDefault="007E2F62" w:rsidP="009B6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color w:val="000000" w:themeColor="text1"/>
          <w:lang w:val="en-US" w:eastAsia="en-GB"/>
        </w:rPr>
      </w:pPr>
    </w:p>
    <w:p w14:paraId="64C6A492" w14:textId="555BDCE2" w:rsidR="00C50FA2" w:rsidRPr="008542CE" w:rsidRDefault="00C50FA2" w:rsidP="009B6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F2B08">
        <w:rPr>
          <w:b/>
          <w:color w:val="000000" w:themeColor="text1"/>
          <w:lang w:val="en-US" w:eastAsia="en-GB"/>
        </w:rPr>
        <w:lastRenderedPageBreak/>
        <w:t>Table S2</w:t>
      </w:r>
      <w:r w:rsidRPr="008F2B08">
        <w:rPr>
          <w:color w:val="000000" w:themeColor="text1"/>
          <w:lang w:val="en-US" w:eastAsia="en-GB"/>
        </w:rPr>
        <w:t>.</w:t>
      </w:r>
      <w:r>
        <w:rPr>
          <w:color w:val="000000" w:themeColor="text1"/>
          <w:lang w:val="en-US" w:eastAsia="en-GB"/>
        </w:rPr>
        <w:t xml:space="preserve"> </w:t>
      </w:r>
      <w:r w:rsidRPr="00F27E50">
        <w:rPr>
          <w:color w:val="000000" w:themeColor="text1"/>
          <w:lang w:val="en-US" w:eastAsia="en-GB"/>
        </w:rPr>
        <w:t>Performances of the classifier in training set for b</w:t>
      </w:r>
      <w:r>
        <w:rPr>
          <w:color w:val="000000" w:themeColor="text1"/>
          <w:lang w:val="en-US" w:eastAsia="en-GB"/>
        </w:rPr>
        <w:t>oth the machine learning analyse</w:t>
      </w:r>
      <w:r w:rsidRPr="00F27E50">
        <w:rPr>
          <w:color w:val="000000" w:themeColor="text1"/>
          <w:lang w:val="en-US" w:eastAsia="en-GB"/>
        </w:rPr>
        <w:t>s, i.e., AD patients vs.</w:t>
      </w:r>
      <w:r>
        <w:rPr>
          <w:color w:val="000000" w:themeColor="text1"/>
          <w:lang w:val="en-US" w:eastAsia="en-GB"/>
        </w:rPr>
        <w:t xml:space="preserve"> ONC</w:t>
      </w:r>
      <w:r w:rsidRPr="00F27E50">
        <w:rPr>
          <w:color w:val="000000" w:themeColor="text1"/>
          <w:lang w:val="en-US" w:eastAsia="en-GB"/>
        </w:rPr>
        <w:t xml:space="preserve"> </w:t>
      </w:r>
      <w:r>
        <w:rPr>
          <w:color w:val="000000" w:themeColor="text1"/>
          <w:lang w:val="en-US" w:eastAsia="en-GB"/>
        </w:rPr>
        <w:t>(</w:t>
      </w:r>
      <w:r w:rsidRPr="00F27E50">
        <w:rPr>
          <w:color w:val="000000" w:themeColor="text1"/>
          <w:lang w:val="en-US" w:eastAsia="en-GB"/>
        </w:rPr>
        <w:t>non-AD patients</w:t>
      </w:r>
      <w:r>
        <w:rPr>
          <w:color w:val="000000" w:themeColor="text1"/>
          <w:lang w:val="en-US" w:eastAsia="en-GB"/>
        </w:rPr>
        <w:t>)</w:t>
      </w:r>
      <w:r w:rsidRPr="00F27E50">
        <w:rPr>
          <w:color w:val="000000" w:themeColor="text1"/>
          <w:lang w:val="en-US" w:eastAsia="en-GB"/>
        </w:rPr>
        <w:t xml:space="preserve">, and AD patients </w:t>
      </w:r>
      <w:r w:rsidRPr="00C219BF">
        <w:rPr>
          <w:i/>
          <w:iCs/>
          <w:color w:val="000000" w:themeColor="text1"/>
          <w:lang w:val="en-US" w:eastAsia="en-GB"/>
        </w:rPr>
        <w:t>vs.</w:t>
      </w:r>
      <w:r w:rsidRPr="00F27E50">
        <w:rPr>
          <w:color w:val="000000" w:themeColor="text1"/>
          <w:lang w:val="en-US" w:eastAsia="en-GB"/>
        </w:rPr>
        <w:t xml:space="preserve"> </w:t>
      </w:r>
      <w:proofErr w:type="spellStart"/>
      <w:r w:rsidRPr="00F27E50">
        <w:rPr>
          <w:color w:val="000000" w:themeColor="text1"/>
          <w:lang w:val="en-US" w:eastAsia="en-GB"/>
        </w:rPr>
        <w:t>HyC</w:t>
      </w:r>
      <w:proofErr w:type="spellEnd"/>
      <w:r w:rsidRPr="00F27E50">
        <w:rPr>
          <w:color w:val="000000" w:themeColor="text1"/>
          <w:lang w:val="en-US" w:eastAsia="en-GB"/>
        </w:rPr>
        <w:t xml:space="preserve"> patient</w:t>
      </w:r>
      <w:r>
        <w:rPr>
          <w:color w:val="000000" w:themeColor="text1"/>
          <w:lang w:val="en-US" w:eastAsia="en-GB"/>
        </w:rPr>
        <w:t>s. We reported each score as mea</w:t>
      </w:r>
      <w:r w:rsidRPr="00F27E50">
        <w:rPr>
          <w:color w:val="000000" w:themeColor="text1"/>
          <w:lang w:val="en-US" w:eastAsia="en-GB"/>
        </w:rPr>
        <w:t>n value (standard deviation) over the iterations of the 5-fold cross-validation.</w:t>
      </w:r>
    </w:p>
    <w:tbl>
      <w:tblPr>
        <w:tblStyle w:val="Grigliatabella"/>
        <w:tblpPr w:leftFromText="141" w:rightFromText="141" w:horzAnchor="margin" w:tblpY="1694"/>
        <w:tblW w:w="9628" w:type="dxa"/>
        <w:tblLook w:val="04A0" w:firstRow="1" w:lastRow="0" w:firstColumn="1" w:lastColumn="0" w:noHBand="0" w:noVBand="1"/>
      </w:tblPr>
      <w:tblGrid>
        <w:gridCol w:w="1925"/>
        <w:gridCol w:w="1926"/>
        <w:gridCol w:w="1925"/>
        <w:gridCol w:w="1926"/>
        <w:gridCol w:w="1926"/>
      </w:tblGrid>
      <w:tr w:rsidR="00C50FA2" w:rsidRPr="00F27E50" w14:paraId="58FE13BA" w14:textId="77777777" w:rsidTr="0031215A">
        <w:tc>
          <w:tcPr>
            <w:tcW w:w="1925" w:type="dxa"/>
          </w:tcPr>
          <w:p w14:paraId="33A461C3" w14:textId="77777777" w:rsidR="00C50FA2" w:rsidRPr="008542CE" w:rsidDel="009B0342"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bCs/>
                <w:color w:val="000000" w:themeColor="text1"/>
                <w:lang w:val="en-US" w:eastAsia="en-GB"/>
              </w:rPr>
            </w:pPr>
            <w:r w:rsidRPr="008542CE">
              <w:rPr>
                <w:b/>
                <w:bCs/>
                <w:color w:val="000000" w:themeColor="text1"/>
                <w:lang w:val="en-US" w:eastAsia="en-GB"/>
              </w:rPr>
              <w:t>Dataset</w:t>
            </w:r>
          </w:p>
        </w:tc>
        <w:tc>
          <w:tcPr>
            <w:tcW w:w="1926" w:type="dxa"/>
          </w:tcPr>
          <w:p w14:paraId="44473ED2"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bCs/>
                <w:color w:val="000000" w:themeColor="text1"/>
                <w:lang w:val="en-US" w:eastAsia="en-GB"/>
              </w:rPr>
            </w:pPr>
            <w:r w:rsidRPr="008542CE">
              <w:rPr>
                <w:b/>
                <w:bCs/>
                <w:color w:val="000000" w:themeColor="text1"/>
                <w:lang w:val="en-US" w:eastAsia="en-GB"/>
              </w:rPr>
              <w:t>AUROC</w:t>
            </w:r>
          </w:p>
        </w:tc>
        <w:tc>
          <w:tcPr>
            <w:tcW w:w="1925" w:type="dxa"/>
          </w:tcPr>
          <w:p w14:paraId="7C41D4FA"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bCs/>
                <w:color w:val="000000" w:themeColor="text1"/>
                <w:lang w:val="en-US" w:eastAsia="en-GB"/>
              </w:rPr>
            </w:pPr>
            <w:r w:rsidRPr="008542CE">
              <w:rPr>
                <w:b/>
                <w:bCs/>
                <w:color w:val="000000" w:themeColor="text1"/>
                <w:lang w:val="en-US" w:eastAsia="en-GB"/>
              </w:rPr>
              <w:t>Accuracy</w:t>
            </w:r>
          </w:p>
        </w:tc>
        <w:tc>
          <w:tcPr>
            <w:tcW w:w="1926" w:type="dxa"/>
          </w:tcPr>
          <w:p w14:paraId="04948119"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bCs/>
                <w:color w:val="000000" w:themeColor="text1"/>
                <w:lang w:val="en-US" w:eastAsia="en-GB"/>
              </w:rPr>
            </w:pPr>
            <w:r w:rsidRPr="008542CE">
              <w:rPr>
                <w:b/>
                <w:bCs/>
                <w:color w:val="000000" w:themeColor="text1"/>
                <w:lang w:val="en-US" w:eastAsia="en-GB"/>
              </w:rPr>
              <w:t>Sensitivity</w:t>
            </w:r>
          </w:p>
        </w:tc>
        <w:tc>
          <w:tcPr>
            <w:tcW w:w="1926" w:type="dxa"/>
          </w:tcPr>
          <w:p w14:paraId="50293C60"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b/>
                <w:bCs/>
                <w:color w:val="000000" w:themeColor="text1"/>
                <w:lang w:val="en-US" w:eastAsia="en-GB"/>
              </w:rPr>
            </w:pPr>
            <w:r w:rsidRPr="008542CE">
              <w:rPr>
                <w:b/>
                <w:bCs/>
                <w:color w:val="000000" w:themeColor="text1"/>
                <w:lang w:val="en-US" w:eastAsia="en-GB"/>
              </w:rPr>
              <w:t>Specificity</w:t>
            </w:r>
          </w:p>
        </w:tc>
      </w:tr>
      <w:tr w:rsidR="00C50FA2" w:rsidRPr="00F27E50" w14:paraId="4BB3E8D2" w14:textId="77777777" w:rsidTr="0031215A">
        <w:tc>
          <w:tcPr>
            <w:tcW w:w="1925" w:type="dxa"/>
          </w:tcPr>
          <w:p w14:paraId="2647B325" w14:textId="77777777" w:rsidR="00C50FA2" w:rsidRPr="008542CE" w:rsidDel="009B0342" w:rsidRDefault="00C50FA2" w:rsidP="0031215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00" w:line="480" w:lineRule="auto"/>
              <w:outlineLvl w:val="5"/>
              <w:rPr>
                <w:color w:val="000000" w:themeColor="text1"/>
                <w:lang w:val="en-US" w:eastAsia="en-GB"/>
              </w:rPr>
            </w:pPr>
            <w:r w:rsidRPr="008542CE">
              <w:rPr>
                <w:color w:val="000000" w:themeColor="text1"/>
                <w:lang w:val="en-US" w:eastAsia="en-GB"/>
              </w:rPr>
              <w:t xml:space="preserve">AD vs. </w:t>
            </w:r>
            <w:r>
              <w:rPr>
                <w:color w:val="000000" w:themeColor="text1"/>
                <w:lang w:val="en-US" w:eastAsia="en-GB"/>
              </w:rPr>
              <w:t>ONC</w:t>
            </w:r>
          </w:p>
        </w:tc>
        <w:tc>
          <w:tcPr>
            <w:tcW w:w="1926" w:type="dxa"/>
          </w:tcPr>
          <w:p w14:paraId="27B04D7D"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w:t>
            </w:r>
            <w:r>
              <w:rPr>
                <w:color w:val="000000" w:themeColor="text1"/>
                <w:lang w:val="en-US"/>
              </w:rPr>
              <w:t>93</w:t>
            </w:r>
            <w:r w:rsidRPr="008542CE">
              <w:rPr>
                <w:color w:val="000000" w:themeColor="text1"/>
                <w:lang w:val="en-US"/>
              </w:rPr>
              <w:t xml:space="preserve"> (0.03)</w:t>
            </w:r>
          </w:p>
        </w:tc>
        <w:tc>
          <w:tcPr>
            <w:tcW w:w="1925" w:type="dxa"/>
          </w:tcPr>
          <w:p w14:paraId="31996CFB"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w:t>
            </w:r>
            <w:r>
              <w:rPr>
                <w:color w:val="000000" w:themeColor="text1"/>
                <w:lang w:val="en-US"/>
              </w:rPr>
              <w:t>94</w:t>
            </w:r>
            <w:r w:rsidRPr="008542CE">
              <w:rPr>
                <w:color w:val="000000" w:themeColor="text1"/>
                <w:lang w:val="en-US"/>
              </w:rPr>
              <w:t xml:space="preserve"> (0.0</w:t>
            </w:r>
            <w:r>
              <w:rPr>
                <w:color w:val="000000" w:themeColor="text1"/>
                <w:lang w:val="en-US"/>
              </w:rPr>
              <w:t>2</w:t>
            </w:r>
            <w:r w:rsidRPr="008542CE">
              <w:rPr>
                <w:color w:val="000000" w:themeColor="text1"/>
                <w:lang w:val="en-US"/>
              </w:rPr>
              <w:t>)</w:t>
            </w:r>
          </w:p>
        </w:tc>
        <w:tc>
          <w:tcPr>
            <w:tcW w:w="1926" w:type="dxa"/>
          </w:tcPr>
          <w:p w14:paraId="65F6B857"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0.9</w:t>
            </w:r>
            <w:r>
              <w:rPr>
                <w:color w:val="000000" w:themeColor="text1"/>
                <w:lang w:val="en-US"/>
              </w:rPr>
              <w:t>8</w:t>
            </w:r>
            <w:r w:rsidRPr="008542CE">
              <w:rPr>
                <w:color w:val="000000" w:themeColor="text1"/>
                <w:lang w:val="en-US"/>
              </w:rPr>
              <w:t xml:space="preserve"> (0.0</w:t>
            </w:r>
            <w:r>
              <w:rPr>
                <w:color w:val="000000" w:themeColor="text1"/>
                <w:lang w:val="en-US"/>
              </w:rPr>
              <w:t>1</w:t>
            </w:r>
            <w:r w:rsidRPr="008542CE">
              <w:rPr>
                <w:color w:val="000000" w:themeColor="text1"/>
                <w:lang w:val="en-US"/>
              </w:rPr>
              <w:t>)</w:t>
            </w:r>
          </w:p>
        </w:tc>
        <w:tc>
          <w:tcPr>
            <w:tcW w:w="1926" w:type="dxa"/>
          </w:tcPr>
          <w:p w14:paraId="450AD5AB"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highlight w:val="yellow"/>
                <w:lang w:val="en-US" w:eastAsia="en-GB"/>
              </w:rPr>
            </w:pPr>
            <w:r w:rsidRPr="008542CE">
              <w:rPr>
                <w:color w:val="000000" w:themeColor="text1"/>
                <w:lang w:val="en-US"/>
              </w:rPr>
              <w:t>0.</w:t>
            </w:r>
            <w:r>
              <w:rPr>
                <w:color w:val="000000" w:themeColor="text1"/>
                <w:lang w:val="en-US"/>
              </w:rPr>
              <w:t>86</w:t>
            </w:r>
            <w:r w:rsidRPr="008542CE">
              <w:rPr>
                <w:color w:val="000000" w:themeColor="text1"/>
                <w:lang w:val="en-US"/>
              </w:rPr>
              <w:t xml:space="preserve"> (0.0</w:t>
            </w:r>
            <w:r>
              <w:rPr>
                <w:color w:val="000000" w:themeColor="text1"/>
                <w:lang w:val="en-US"/>
              </w:rPr>
              <w:t>4</w:t>
            </w:r>
            <w:r w:rsidRPr="008542CE">
              <w:rPr>
                <w:color w:val="000000" w:themeColor="text1"/>
                <w:lang w:val="en-US"/>
              </w:rPr>
              <w:t>)</w:t>
            </w:r>
          </w:p>
        </w:tc>
      </w:tr>
      <w:tr w:rsidR="00C50FA2" w:rsidRPr="00F27E50" w14:paraId="5C5E90BC" w14:textId="77777777" w:rsidTr="0031215A">
        <w:tc>
          <w:tcPr>
            <w:tcW w:w="1925" w:type="dxa"/>
          </w:tcPr>
          <w:p w14:paraId="4FF7A91D" w14:textId="77777777" w:rsidR="00C50FA2" w:rsidRPr="008542CE" w:rsidDel="009B0342"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eastAsia="en-GB"/>
              </w:rPr>
              <w:t xml:space="preserve">AD vs. </w:t>
            </w:r>
            <w:proofErr w:type="spellStart"/>
            <w:r w:rsidRPr="008542CE">
              <w:rPr>
                <w:color w:val="000000" w:themeColor="text1"/>
                <w:lang w:val="en-US" w:eastAsia="en-GB"/>
              </w:rPr>
              <w:t>HyC</w:t>
            </w:r>
            <w:proofErr w:type="spellEnd"/>
          </w:p>
        </w:tc>
        <w:tc>
          <w:tcPr>
            <w:tcW w:w="1926" w:type="dxa"/>
          </w:tcPr>
          <w:p w14:paraId="6B1F9BCB"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w:t>
            </w:r>
            <w:r>
              <w:rPr>
                <w:color w:val="000000" w:themeColor="text1"/>
                <w:lang w:val="en-US"/>
              </w:rPr>
              <w:t>92</w:t>
            </w:r>
            <w:r w:rsidRPr="008542CE">
              <w:rPr>
                <w:color w:val="000000" w:themeColor="text1"/>
                <w:lang w:val="en-US"/>
              </w:rPr>
              <w:t xml:space="preserve"> (0.0</w:t>
            </w:r>
            <w:r>
              <w:rPr>
                <w:color w:val="000000" w:themeColor="text1"/>
                <w:lang w:val="en-US"/>
              </w:rPr>
              <w:t>4</w:t>
            </w:r>
            <w:r w:rsidRPr="008542CE">
              <w:rPr>
                <w:color w:val="000000" w:themeColor="text1"/>
                <w:lang w:val="en-US"/>
              </w:rPr>
              <w:t>)</w:t>
            </w:r>
          </w:p>
        </w:tc>
        <w:tc>
          <w:tcPr>
            <w:tcW w:w="1925" w:type="dxa"/>
          </w:tcPr>
          <w:p w14:paraId="36A8A7EB"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w:t>
            </w:r>
            <w:r>
              <w:rPr>
                <w:color w:val="000000" w:themeColor="text1"/>
                <w:lang w:val="en-US"/>
              </w:rPr>
              <w:t>95</w:t>
            </w:r>
            <w:r w:rsidRPr="008542CE">
              <w:rPr>
                <w:color w:val="000000" w:themeColor="text1"/>
                <w:lang w:val="en-US"/>
              </w:rPr>
              <w:t xml:space="preserve"> (0.0</w:t>
            </w:r>
            <w:r>
              <w:rPr>
                <w:color w:val="000000" w:themeColor="text1"/>
                <w:lang w:val="en-US"/>
              </w:rPr>
              <w:t>3</w:t>
            </w:r>
            <w:r w:rsidRPr="008542CE">
              <w:rPr>
                <w:color w:val="000000" w:themeColor="text1"/>
                <w:lang w:val="en-US"/>
              </w:rPr>
              <w:t>)</w:t>
            </w:r>
          </w:p>
        </w:tc>
        <w:tc>
          <w:tcPr>
            <w:tcW w:w="1926" w:type="dxa"/>
          </w:tcPr>
          <w:p w14:paraId="7F3EAEDF"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0.9</w:t>
            </w:r>
            <w:r>
              <w:rPr>
                <w:color w:val="000000" w:themeColor="text1"/>
                <w:lang w:val="en-US"/>
              </w:rPr>
              <w:t>9</w:t>
            </w:r>
            <w:r w:rsidRPr="008542CE">
              <w:rPr>
                <w:color w:val="000000" w:themeColor="text1"/>
                <w:lang w:val="en-US"/>
              </w:rPr>
              <w:t xml:space="preserve"> (0.0</w:t>
            </w:r>
            <w:r>
              <w:rPr>
                <w:color w:val="000000" w:themeColor="text1"/>
                <w:lang w:val="en-US"/>
              </w:rPr>
              <w:t>1</w:t>
            </w:r>
            <w:r w:rsidRPr="008542CE">
              <w:rPr>
                <w:color w:val="000000" w:themeColor="text1"/>
                <w:lang w:val="en-US"/>
              </w:rPr>
              <w:t>)</w:t>
            </w:r>
          </w:p>
        </w:tc>
        <w:tc>
          <w:tcPr>
            <w:tcW w:w="1926" w:type="dxa"/>
          </w:tcPr>
          <w:p w14:paraId="22C78C50" w14:textId="77777777" w:rsidR="00C50FA2" w:rsidRPr="008542CE" w:rsidRDefault="00C50FA2" w:rsidP="00312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rPr>
                <w:color w:val="000000" w:themeColor="text1"/>
                <w:lang w:val="en-US" w:eastAsia="en-GB"/>
              </w:rPr>
            </w:pPr>
            <w:r w:rsidRPr="008542CE">
              <w:rPr>
                <w:color w:val="000000" w:themeColor="text1"/>
                <w:lang w:val="en-US"/>
              </w:rPr>
              <w:t>0.</w:t>
            </w:r>
            <w:r>
              <w:rPr>
                <w:color w:val="000000" w:themeColor="text1"/>
                <w:lang w:val="en-US"/>
              </w:rPr>
              <w:t>85</w:t>
            </w:r>
            <w:r w:rsidRPr="008542CE">
              <w:rPr>
                <w:color w:val="000000" w:themeColor="text1"/>
                <w:lang w:val="en-US"/>
              </w:rPr>
              <w:t xml:space="preserve"> (0.0</w:t>
            </w:r>
            <w:r>
              <w:rPr>
                <w:color w:val="000000" w:themeColor="text1"/>
                <w:lang w:val="en-US"/>
              </w:rPr>
              <w:t>7</w:t>
            </w:r>
            <w:r w:rsidRPr="008542CE">
              <w:rPr>
                <w:color w:val="000000" w:themeColor="text1"/>
                <w:lang w:val="en-US"/>
              </w:rPr>
              <w:t>)</w:t>
            </w:r>
          </w:p>
        </w:tc>
      </w:tr>
    </w:tbl>
    <w:p w14:paraId="5790E3DB" w14:textId="42131083" w:rsidR="00524197" w:rsidRDefault="00C50FA2" w:rsidP="009B6EDD">
      <w:pPr>
        <w:spacing w:after="160" w:line="480" w:lineRule="auto"/>
        <w:rPr>
          <w:color w:val="000000" w:themeColor="text1"/>
          <w:lang w:val="en-US" w:eastAsia="en-GB"/>
        </w:rPr>
      </w:pPr>
      <w:r w:rsidRPr="00C05455">
        <w:rPr>
          <w:color w:val="000000" w:themeColor="text1"/>
          <w:lang w:val="en-US" w:eastAsia="en-GB"/>
        </w:rPr>
        <w:t xml:space="preserve">AD: Alzheimer’s disease, ONC: other neurodegenerative conditions, AUROC: area under the receiver operating characteristic curve, </w:t>
      </w:r>
      <w:proofErr w:type="spellStart"/>
      <w:r w:rsidRPr="00C05455">
        <w:rPr>
          <w:color w:val="000000" w:themeColor="text1"/>
          <w:lang w:val="en-US" w:eastAsia="en-GB"/>
        </w:rPr>
        <w:t>HyC</w:t>
      </w:r>
      <w:proofErr w:type="spellEnd"/>
      <w:r w:rsidRPr="00C05455">
        <w:rPr>
          <w:color w:val="000000" w:themeColor="text1"/>
          <w:lang w:val="en-US" w:eastAsia="en-GB"/>
        </w:rPr>
        <w:t>: patients with normal pressure hydrocephalus.</w:t>
      </w:r>
    </w:p>
    <w:p w14:paraId="706D58EA" w14:textId="7A006B66" w:rsidR="000F0D27" w:rsidRDefault="000F0D27" w:rsidP="009B6EDD">
      <w:pPr>
        <w:spacing w:after="160" w:line="480" w:lineRule="auto"/>
        <w:rPr>
          <w:color w:val="000000" w:themeColor="text1"/>
          <w:lang w:val="en-US" w:eastAsia="en-GB"/>
        </w:rPr>
      </w:pPr>
      <w:bookmarkStart w:id="0" w:name="_GoBack"/>
      <w:bookmarkEnd w:id="0"/>
    </w:p>
    <w:p w14:paraId="521729CD" w14:textId="2F19050E" w:rsidR="00BC0FDD" w:rsidRPr="00B25E56" w:rsidRDefault="00BC0FDD" w:rsidP="00BC0FDD">
      <w:pPr>
        <w:widowControl w:val="0"/>
        <w:autoSpaceDE w:val="0"/>
        <w:autoSpaceDN w:val="0"/>
        <w:adjustRightInd w:val="0"/>
        <w:spacing w:after="160" w:line="480" w:lineRule="auto"/>
        <w:rPr>
          <w:b/>
          <w:bCs/>
        </w:rPr>
      </w:pPr>
      <w:r w:rsidRPr="00B25E56">
        <w:rPr>
          <w:b/>
          <w:bCs/>
        </w:rPr>
        <w:t>REFERENCES:</w:t>
      </w:r>
    </w:p>
    <w:p w14:paraId="4218CD92" w14:textId="1C527CB6" w:rsidR="00BC0FDD" w:rsidRPr="00BC0FDD" w:rsidRDefault="000F0D27" w:rsidP="00B14E19">
      <w:pPr>
        <w:widowControl w:val="0"/>
        <w:autoSpaceDE w:val="0"/>
        <w:autoSpaceDN w:val="0"/>
        <w:adjustRightInd w:val="0"/>
        <w:spacing w:after="160" w:line="480" w:lineRule="auto"/>
        <w:jc w:val="both"/>
        <w:rPr>
          <w:noProof/>
        </w:rPr>
      </w:pPr>
      <w:r>
        <w:rPr>
          <w:bCs/>
          <w:lang w:val="en-US"/>
        </w:rPr>
        <w:fldChar w:fldCharType="begin" w:fldLock="1"/>
      </w:r>
      <w:r w:rsidRPr="00C30D30">
        <w:rPr>
          <w:bCs/>
        </w:rPr>
        <w:instrText xml:space="preserve">ADDIN Mendeley Bibliography CSL_BIBLIOGRAPHY </w:instrText>
      </w:r>
      <w:r>
        <w:rPr>
          <w:bCs/>
          <w:lang w:val="en-US"/>
        </w:rPr>
        <w:fldChar w:fldCharType="separate"/>
      </w:r>
      <w:r w:rsidR="00BC0FDD" w:rsidRPr="00BC0FDD">
        <w:rPr>
          <w:noProof/>
        </w:rPr>
        <w:t xml:space="preserve">1. Banchelli M, Amicucci C, Ruggiero E, D’Andrea C, Cottat M, Ciofini D, et al. </w:t>
      </w:r>
      <w:r w:rsidR="00BC0FDD" w:rsidRPr="00C30D30">
        <w:rPr>
          <w:noProof/>
          <w:lang w:val="en-GB"/>
        </w:rPr>
        <w:t xml:space="preserve">Spot-on SERS Detection of Biomolecules with Laser-Patterned Dot Arrays of Assembled Silver Nanowires. </w:t>
      </w:r>
      <w:r w:rsidR="00BC0FDD" w:rsidRPr="00BC0FDD">
        <w:rPr>
          <w:noProof/>
        </w:rPr>
        <w:t xml:space="preserve">ChemNanoMat. 2019; </w:t>
      </w:r>
      <w:r w:rsidR="00B25E56">
        <w:rPr>
          <w:noProof/>
        </w:rPr>
        <w:t>5:</w:t>
      </w:r>
      <w:r w:rsidR="00B25E56" w:rsidRPr="00B25E56">
        <w:rPr>
          <w:noProof/>
        </w:rPr>
        <w:t>1036-1043</w:t>
      </w:r>
      <w:r w:rsidR="00B25E56">
        <w:rPr>
          <w:noProof/>
        </w:rPr>
        <w:t>.</w:t>
      </w:r>
    </w:p>
    <w:p w14:paraId="4C9323B1" w14:textId="32467F23" w:rsidR="00BC0FDD" w:rsidRPr="00C30D30" w:rsidRDefault="00BC0FDD" w:rsidP="00B14E19">
      <w:pPr>
        <w:widowControl w:val="0"/>
        <w:autoSpaceDE w:val="0"/>
        <w:autoSpaceDN w:val="0"/>
        <w:adjustRightInd w:val="0"/>
        <w:spacing w:after="160" w:line="480" w:lineRule="auto"/>
        <w:jc w:val="both"/>
        <w:rPr>
          <w:noProof/>
          <w:lang w:val="en-GB"/>
        </w:rPr>
      </w:pPr>
      <w:r w:rsidRPr="00BC0FDD">
        <w:rPr>
          <w:noProof/>
        </w:rPr>
        <w:t xml:space="preserve">2. Barucci A, D’Andrea C, Farnesi E, Banchelli M, Amicucci C, De Angelis M, et al. </w:t>
      </w:r>
      <w:r w:rsidRPr="00C30D30">
        <w:rPr>
          <w:noProof/>
          <w:lang w:val="en-GB"/>
        </w:rPr>
        <w:t xml:space="preserve">Label-free SERS detection of proteins based on machine learning classification of chemo-structural determinants. Analyst. 2021; </w:t>
      </w:r>
      <w:r w:rsidR="00B25E56" w:rsidRPr="00B25E56">
        <w:rPr>
          <w:noProof/>
          <w:lang w:val="en-GB"/>
        </w:rPr>
        <w:t>146(2):674-682</w:t>
      </w:r>
      <w:r w:rsidR="00B25E56">
        <w:rPr>
          <w:noProof/>
          <w:lang w:val="en-GB"/>
        </w:rPr>
        <w:t>.</w:t>
      </w:r>
    </w:p>
    <w:p w14:paraId="43CD2C58" w14:textId="10ADBBDE" w:rsidR="00BC0FDD" w:rsidRPr="00BC0FDD" w:rsidRDefault="00BC0FDD" w:rsidP="00B14E19">
      <w:pPr>
        <w:widowControl w:val="0"/>
        <w:autoSpaceDE w:val="0"/>
        <w:autoSpaceDN w:val="0"/>
        <w:adjustRightInd w:val="0"/>
        <w:spacing w:after="160" w:line="480" w:lineRule="auto"/>
        <w:jc w:val="both"/>
        <w:rPr>
          <w:noProof/>
        </w:rPr>
      </w:pPr>
      <w:r w:rsidRPr="00C30D30">
        <w:rPr>
          <w:noProof/>
          <w:lang w:val="en-GB"/>
        </w:rPr>
        <w:t xml:space="preserve">3. Krafft C, Schmitt M, Schie IW, Cialla-May D, Matthäus C, Bocklitz T, et al. Label-Free Molecular Imaging of Biological Cells and Tissues by Linear and Nonlinear Raman Spectroscopic Approaches. </w:t>
      </w:r>
      <w:r w:rsidR="00B25E56">
        <w:rPr>
          <w:noProof/>
        </w:rPr>
        <w:t>Angew. Chemie - Int. Ed. 2017;</w:t>
      </w:r>
      <w:r w:rsidR="00B25E56" w:rsidRPr="00B25E56">
        <w:t xml:space="preserve"> </w:t>
      </w:r>
      <w:r w:rsidR="00B25E56" w:rsidRPr="00B25E56">
        <w:rPr>
          <w:noProof/>
        </w:rPr>
        <w:t>56(16):4392-4430.</w:t>
      </w:r>
    </w:p>
    <w:p w14:paraId="312B0D27" w14:textId="4BA902AB" w:rsidR="00BC0FDD" w:rsidRPr="00C30D30" w:rsidRDefault="00BC0FDD" w:rsidP="00B14E19">
      <w:pPr>
        <w:widowControl w:val="0"/>
        <w:autoSpaceDE w:val="0"/>
        <w:autoSpaceDN w:val="0"/>
        <w:adjustRightInd w:val="0"/>
        <w:spacing w:after="160" w:line="480" w:lineRule="auto"/>
        <w:jc w:val="both"/>
        <w:rPr>
          <w:noProof/>
          <w:lang w:val="en-GB"/>
        </w:rPr>
      </w:pPr>
      <w:r w:rsidRPr="00BC0FDD">
        <w:rPr>
          <w:noProof/>
        </w:rPr>
        <w:t xml:space="preserve">4. D’Andrea C, Foti A, Cottat M, Banchelli M, Capitini C, Barreca F, et al. </w:t>
      </w:r>
      <w:r w:rsidRPr="00C30D30">
        <w:rPr>
          <w:noProof/>
          <w:lang w:val="en-GB"/>
        </w:rPr>
        <w:t xml:space="preserve">Nanoscale Discrimination between Toxic and Nontoxic Protein Misfolded Oligomers with Tip-Enhanced Raman Spectroscopy. Small. 2018; </w:t>
      </w:r>
      <w:r w:rsidR="00B25E56" w:rsidRPr="00B25E56">
        <w:rPr>
          <w:noProof/>
          <w:lang w:val="en-GB"/>
        </w:rPr>
        <w:t>14(36):e1800890</w:t>
      </w:r>
      <w:r w:rsidR="00B25E56">
        <w:rPr>
          <w:noProof/>
          <w:lang w:val="en-GB"/>
        </w:rPr>
        <w:t>.</w:t>
      </w:r>
    </w:p>
    <w:p w14:paraId="5BA45B32" w14:textId="77777777"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 xml:space="preserve">5. Moores B, Drolle E, Attwood SJ, Simons J, Leonenko Z. Effect of Surfaces on Amyloid Fibril </w:t>
      </w:r>
      <w:r w:rsidRPr="00C30D30">
        <w:rPr>
          <w:noProof/>
          <w:lang w:val="en-GB"/>
        </w:rPr>
        <w:lastRenderedPageBreak/>
        <w:t xml:space="preserve">Formation. Sokolov I, editor. PLoS One. 2011;6:e25954. </w:t>
      </w:r>
    </w:p>
    <w:p w14:paraId="4B4B78B0" w14:textId="07233424"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 xml:space="preserve">6. Blackley HKL, Patel N, Davies MC, Roberts CJ, Tendler SJB, Wilkinson MJ, et al. Morphological development of </w:t>
      </w:r>
      <w:r w:rsidRPr="00BC0FDD">
        <w:rPr>
          <w:noProof/>
        </w:rPr>
        <w:t>β</w:t>
      </w:r>
      <w:r w:rsidRPr="00C30D30">
        <w:rPr>
          <w:noProof/>
          <w:lang w:val="en-GB"/>
        </w:rPr>
        <w:t xml:space="preserve">(1-40) amyloid fibrils. Exp Neurol. 1999; </w:t>
      </w:r>
      <w:r w:rsidR="00B25E56" w:rsidRPr="00B25E56">
        <w:rPr>
          <w:noProof/>
          <w:lang w:val="en-GB"/>
        </w:rPr>
        <w:t>158(2):437-43</w:t>
      </w:r>
      <w:r w:rsidR="00B25E56">
        <w:rPr>
          <w:noProof/>
          <w:lang w:val="en-GB"/>
        </w:rPr>
        <w:t>.</w:t>
      </w:r>
    </w:p>
    <w:p w14:paraId="2961C484" w14:textId="5B5B9777"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 xml:space="preserve">7. Podstawka E, Ozaki Y, Proniewicz LM. Part I: Surface-enhanced Raman spectroscopy investigation of amino acids and their homodipeptides adsorbed on colloidal silver. Appl Spectrosc. 2004; </w:t>
      </w:r>
      <w:r w:rsidR="00B25E56" w:rsidRPr="00B25E56">
        <w:rPr>
          <w:noProof/>
          <w:lang w:val="en-GB"/>
        </w:rPr>
        <w:t>58(5):570-80</w:t>
      </w:r>
      <w:r w:rsidR="00B25E56">
        <w:rPr>
          <w:noProof/>
          <w:lang w:val="en-GB"/>
        </w:rPr>
        <w:t>.</w:t>
      </w:r>
    </w:p>
    <w:p w14:paraId="26BCC7DB" w14:textId="3A2BBDAD"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 xml:space="preserve">8. Roy A, Chandra K, Dolui S, Maiti NC. Envisaging the Structural Elevation in the Early Event of Oligomerization of Disordered Amyloid </w:t>
      </w:r>
      <w:r w:rsidRPr="00BC0FDD">
        <w:rPr>
          <w:noProof/>
        </w:rPr>
        <w:t>β</w:t>
      </w:r>
      <w:r w:rsidRPr="00C30D30">
        <w:rPr>
          <w:noProof/>
          <w:lang w:val="en-GB"/>
        </w:rPr>
        <w:t xml:space="preserve"> Peptide. ACS Omega. 2017; </w:t>
      </w:r>
      <w:r w:rsidR="00B25E56" w:rsidRPr="00B25E56">
        <w:rPr>
          <w:noProof/>
          <w:lang w:val="en-GB"/>
        </w:rPr>
        <w:t>2(8):4316-4327</w:t>
      </w:r>
      <w:r w:rsidR="00B25E56">
        <w:rPr>
          <w:noProof/>
          <w:lang w:val="en-GB"/>
        </w:rPr>
        <w:t>.</w:t>
      </w:r>
    </w:p>
    <w:p w14:paraId="334BF679" w14:textId="15CCF4B4"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9. Rygula A, Majzner K, Marzec KM, Kaczor A, Pilarczyk M, Baranska M. Raman spectroscopy of proteins: A re</w:t>
      </w:r>
      <w:r w:rsidR="00B25E56">
        <w:rPr>
          <w:noProof/>
          <w:lang w:val="en-GB"/>
        </w:rPr>
        <w:t>view. J. Raman Spectrosc. 2013; 44:</w:t>
      </w:r>
      <w:r w:rsidR="00B25E56" w:rsidRPr="00B25E56">
        <w:rPr>
          <w:noProof/>
          <w:lang w:val="en-GB"/>
        </w:rPr>
        <w:t>1061-1076</w:t>
      </w:r>
      <w:r w:rsidR="00B25E56">
        <w:rPr>
          <w:noProof/>
          <w:lang w:val="en-GB"/>
        </w:rPr>
        <w:t>.</w:t>
      </w:r>
    </w:p>
    <w:p w14:paraId="043B589A" w14:textId="2721B861"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10. Moskovits M, Piorek BD. A brief history of surface-enhanced Raman spectroscopy and the localized surface plasmon Dedicated to the memory of Richard Van Duyne (1945–</w:t>
      </w:r>
      <w:r w:rsidR="00B25E56">
        <w:rPr>
          <w:noProof/>
          <w:lang w:val="en-GB"/>
        </w:rPr>
        <w:t>2019). J. Raman Spectrosc. 2021; 52:</w:t>
      </w:r>
      <w:r w:rsidR="00B25E56" w:rsidRPr="00B25E56">
        <w:rPr>
          <w:noProof/>
          <w:lang w:val="en-GB"/>
        </w:rPr>
        <w:t>279</w:t>
      </w:r>
      <w:r w:rsidR="00B25E56">
        <w:rPr>
          <w:noProof/>
          <w:lang w:val="en-GB"/>
        </w:rPr>
        <w:t>.</w:t>
      </w:r>
    </w:p>
    <w:p w14:paraId="73C2BAD9" w14:textId="0B55870D" w:rsidR="00BC0FDD" w:rsidRPr="00C30D30" w:rsidRDefault="00BC0FDD" w:rsidP="00B14E19">
      <w:pPr>
        <w:widowControl w:val="0"/>
        <w:autoSpaceDE w:val="0"/>
        <w:autoSpaceDN w:val="0"/>
        <w:adjustRightInd w:val="0"/>
        <w:spacing w:after="160" w:line="480" w:lineRule="auto"/>
        <w:jc w:val="both"/>
        <w:rPr>
          <w:noProof/>
          <w:lang w:val="en-GB"/>
        </w:rPr>
      </w:pPr>
      <w:r w:rsidRPr="00C30D30">
        <w:rPr>
          <w:noProof/>
          <w:lang w:val="en-GB"/>
        </w:rPr>
        <w:t xml:space="preserve">11. Zhu G, Zhu X, Fan Q, Wan X. Raman spectra of amino acids and their aqueous solutions. Spectrochim Acta - Part A Mol Biomol Spectrosc. 2011; </w:t>
      </w:r>
      <w:r w:rsidR="00B25E56" w:rsidRPr="00B25E56">
        <w:rPr>
          <w:noProof/>
          <w:lang w:val="en-GB"/>
        </w:rPr>
        <w:t>78(3):1187-95</w:t>
      </w:r>
      <w:r w:rsidR="00B25E56">
        <w:rPr>
          <w:noProof/>
          <w:lang w:val="en-GB"/>
        </w:rPr>
        <w:t>.</w:t>
      </w:r>
    </w:p>
    <w:p w14:paraId="10870BCC" w14:textId="3CCB2DAD" w:rsidR="00BC0FDD" w:rsidRPr="00B25E56" w:rsidRDefault="00BC0FDD" w:rsidP="00B25E56">
      <w:pPr>
        <w:widowControl w:val="0"/>
        <w:autoSpaceDE w:val="0"/>
        <w:autoSpaceDN w:val="0"/>
        <w:adjustRightInd w:val="0"/>
        <w:spacing w:after="160" w:line="480" w:lineRule="auto"/>
        <w:jc w:val="both"/>
        <w:rPr>
          <w:noProof/>
        </w:rPr>
      </w:pPr>
      <w:r w:rsidRPr="00C30D30">
        <w:rPr>
          <w:noProof/>
          <w:lang w:val="en-GB"/>
        </w:rPr>
        <w:t xml:space="preserve">12. Beier HT, Cowan CB, Chou IH, Pallikal J, Henry JE, Benford ME, et al. Application of surface-enhanced raman spectroscopy for detection of beta amyloid using nanoshells. </w:t>
      </w:r>
      <w:r w:rsidRPr="00BC0FDD">
        <w:rPr>
          <w:noProof/>
        </w:rPr>
        <w:t xml:space="preserve">Plasmonics. 2007; </w:t>
      </w:r>
      <w:r w:rsidR="00B25E56" w:rsidRPr="00B25E56">
        <w:rPr>
          <w:noProof/>
        </w:rPr>
        <w:t>2:55–64</w:t>
      </w:r>
      <w:r w:rsidR="00B25E56">
        <w:rPr>
          <w:noProof/>
        </w:rPr>
        <w:t>.</w:t>
      </w:r>
    </w:p>
    <w:p w14:paraId="4342B177" w14:textId="281A0959" w:rsidR="000F0D27" w:rsidRPr="006017ED" w:rsidRDefault="000F0D27" w:rsidP="00B14E19">
      <w:pPr>
        <w:spacing w:after="160" w:line="480" w:lineRule="auto"/>
        <w:jc w:val="both"/>
        <w:rPr>
          <w:bCs/>
          <w:lang w:val="en-US"/>
        </w:rPr>
      </w:pPr>
      <w:r>
        <w:rPr>
          <w:bCs/>
          <w:lang w:val="en-US"/>
        </w:rPr>
        <w:fldChar w:fldCharType="end"/>
      </w:r>
    </w:p>
    <w:sectPr w:rsidR="000F0D27" w:rsidRPr="006017ED" w:rsidSect="005F4793">
      <w:footerReference w:type="even" r:id="rId15"/>
      <w:footerReference w:type="default" r:id="rId16"/>
      <w:pgSz w:w="11906" w:h="16838"/>
      <w:pgMar w:top="1134" w:right="1134" w:bottom="1417"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E6667" w16cid:durableId="280F9CAA"/>
  <w16cid:commentId w16cid:paraId="3E9D25C0" w16cid:durableId="280F827A"/>
  <w16cid:commentId w16cid:paraId="2DF4F858" w16cid:durableId="280F81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DE8B7" w14:textId="77777777" w:rsidR="002E058B" w:rsidRDefault="002E058B" w:rsidP="009B6EDD">
      <w:r>
        <w:separator/>
      </w:r>
    </w:p>
  </w:endnote>
  <w:endnote w:type="continuationSeparator" w:id="0">
    <w:p w14:paraId="58212EEE" w14:textId="77777777" w:rsidR="002E058B" w:rsidRDefault="002E058B" w:rsidP="009B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370158114"/>
      <w:docPartObj>
        <w:docPartGallery w:val="Page Numbers (Bottom of Page)"/>
        <w:docPartUnique/>
      </w:docPartObj>
    </w:sdtPr>
    <w:sdtEndPr>
      <w:rPr>
        <w:rStyle w:val="Numeropagina"/>
      </w:rPr>
    </w:sdtEndPr>
    <w:sdtContent>
      <w:p w14:paraId="12E175DC" w14:textId="07EC71E4" w:rsidR="009B6EDD" w:rsidRDefault="009B6EDD" w:rsidP="00AA13B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02BB0D46" w14:textId="77777777" w:rsidR="009B6EDD" w:rsidRDefault="009B6EDD">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330268618"/>
      <w:docPartObj>
        <w:docPartGallery w:val="Page Numbers (Bottom of Page)"/>
        <w:docPartUnique/>
      </w:docPartObj>
    </w:sdtPr>
    <w:sdtEndPr>
      <w:rPr>
        <w:rStyle w:val="Numeropagina"/>
      </w:rPr>
    </w:sdtEndPr>
    <w:sdtContent>
      <w:p w14:paraId="0764D57E" w14:textId="64CF146A" w:rsidR="009B6EDD" w:rsidRDefault="009B6EDD" w:rsidP="00AA13B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31215A">
          <w:rPr>
            <w:rStyle w:val="Numeropagina"/>
            <w:noProof/>
          </w:rPr>
          <w:t>13</w:t>
        </w:r>
        <w:r>
          <w:rPr>
            <w:rStyle w:val="Numeropagina"/>
          </w:rPr>
          <w:fldChar w:fldCharType="end"/>
        </w:r>
      </w:p>
    </w:sdtContent>
  </w:sdt>
  <w:p w14:paraId="51F074F3" w14:textId="77777777" w:rsidR="009B6EDD" w:rsidRDefault="009B6ED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2AC71" w14:textId="77777777" w:rsidR="002E058B" w:rsidRDefault="002E058B" w:rsidP="009B6EDD">
      <w:r>
        <w:separator/>
      </w:r>
    </w:p>
  </w:footnote>
  <w:footnote w:type="continuationSeparator" w:id="0">
    <w:p w14:paraId="5087CD86" w14:textId="77777777" w:rsidR="002E058B" w:rsidRDefault="002E058B" w:rsidP="009B6E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FA2"/>
    <w:rsid w:val="00030731"/>
    <w:rsid w:val="000979FB"/>
    <w:rsid w:val="000B3383"/>
    <w:rsid w:val="000D42C0"/>
    <w:rsid w:val="000F002D"/>
    <w:rsid w:val="000F0D27"/>
    <w:rsid w:val="0010409C"/>
    <w:rsid w:val="0011701A"/>
    <w:rsid w:val="0018564A"/>
    <w:rsid w:val="001D43FE"/>
    <w:rsid w:val="001F5473"/>
    <w:rsid w:val="00202DFC"/>
    <w:rsid w:val="002E058B"/>
    <w:rsid w:val="003027B5"/>
    <w:rsid w:val="0031215A"/>
    <w:rsid w:val="00321594"/>
    <w:rsid w:val="003843CD"/>
    <w:rsid w:val="0042328F"/>
    <w:rsid w:val="00475D13"/>
    <w:rsid w:val="004970C4"/>
    <w:rsid w:val="00564C6D"/>
    <w:rsid w:val="005B0DA3"/>
    <w:rsid w:val="005D18E4"/>
    <w:rsid w:val="006017ED"/>
    <w:rsid w:val="006165AF"/>
    <w:rsid w:val="00637930"/>
    <w:rsid w:val="00737F65"/>
    <w:rsid w:val="007460C1"/>
    <w:rsid w:val="00753720"/>
    <w:rsid w:val="0076274F"/>
    <w:rsid w:val="007672E2"/>
    <w:rsid w:val="00775473"/>
    <w:rsid w:val="00780404"/>
    <w:rsid w:val="007A5B2F"/>
    <w:rsid w:val="007E2F62"/>
    <w:rsid w:val="00810584"/>
    <w:rsid w:val="00847C0F"/>
    <w:rsid w:val="00881FDE"/>
    <w:rsid w:val="00882700"/>
    <w:rsid w:val="008B2306"/>
    <w:rsid w:val="008F2B08"/>
    <w:rsid w:val="00990451"/>
    <w:rsid w:val="00994D30"/>
    <w:rsid w:val="009B6625"/>
    <w:rsid w:val="009B6EDD"/>
    <w:rsid w:val="009E3776"/>
    <w:rsid w:val="009F61A1"/>
    <w:rsid w:val="00A00F41"/>
    <w:rsid w:val="00A27A0B"/>
    <w:rsid w:val="00AA2911"/>
    <w:rsid w:val="00B14E19"/>
    <w:rsid w:val="00B25E56"/>
    <w:rsid w:val="00B26736"/>
    <w:rsid w:val="00B26778"/>
    <w:rsid w:val="00B37179"/>
    <w:rsid w:val="00B55469"/>
    <w:rsid w:val="00B55F7D"/>
    <w:rsid w:val="00BC0FDD"/>
    <w:rsid w:val="00BD510A"/>
    <w:rsid w:val="00C226F3"/>
    <w:rsid w:val="00C30D30"/>
    <w:rsid w:val="00C40E18"/>
    <w:rsid w:val="00C50FA2"/>
    <w:rsid w:val="00C81D03"/>
    <w:rsid w:val="00CA4040"/>
    <w:rsid w:val="00CB3AD1"/>
    <w:rsid w:val="00CC6F6B"/>
    <w:rsid w:val="00CD3044"/>
    <w:rsid w:val="00D227B5"/>
    <w:rsid w:val="00E3447F"/>
    <w:rsid w:val="00E75091"/>
    <w:rsid w:val="00E82E3C"/>
    <w:rsid w:val="00EE223A"/>
    <w:rsid w:val="00F41FEF"/>
    <w:rsid w:val="00F53614"/>
    <w:rsid w:val="00FB656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352E49"/>
  <w15:chartTrackingRefBased/>
  <w15:docId w15:val="{D1860FAE-046C-4F40-B612-B384B2C4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0FA2"/>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C50FA2"/>
    <w:rPr>
      <w:sz w:val="16"/>
      <w:szCs w:val="16"/>
    </w:rPr>
  </w:style>
  <w:style w:type="paragraph" w:styleId="Testocommento">
    <w:name w:val="annotation text"/>
    <w:basedOn w:val="Normale"/>
    <w:link w:val="TestocommentoCarattere"/>
    <w:uiPriority w:val="99"/>
    <w:semiHidden/>
    <w:unhideWhenUsed/>
    <w:rsid w:val="00C50FA2"/>
    <w:rPr>
      <w:sz w:val="20"/>
      <w:szCs w:val="20"/>
    </w:rPr>
  </w:style>
  <w:style w:type="character" w:customStyle="1" w:styleId="TestocommentoCarattere">
    <w:name w:val="Testo commento Carattere"/>
    <w:basedOn w:val="Carpredefinitoparagrafo"/>
    <w:link w:val="Testocommento"/>
    <w:uiPriority w:val="99"/>
    <w:semiHidden/>
    <w:rsid w:val="00C50FA2"/>
    <w:rPr>
      <w:rFonts w:ascii="Times New Roman" w:eastAsia="Times New Roman" w:hAnsi="Times New Roman" w:cs="Times New Roman"/>
      <w:kern w:val="0"/>
      <w:sz w:val="20"/>
      <w:szCs w:val="20"/>
      <w:lang w:eastAsia="it-IT"/>
      <w14:ligatures w14:val="none"/>
    </w:rPr>
  </w:style>
  <w:style w:type="paragraph" w:styleId="NormaleWeb">
    <w:name w:val="Normal (Web)"/>
    <w:basedOn w:val="Normale"/>
    <w:uiPriority w:val="99"/>
    <w:unhideWhenUsed/>
    <w:rsid w:val="00C50FA2"/>
    <w:pPr>
      <w:spacing w:before="100" w:beforeAutospacing="1" w:after="100" w:afterAutospacing="1"/>
    </w:pPr>
    <w:rPr>
      <w:lang w:eastAsia="zh-CN"/>
    </w:rPr>
  </w:style>
  <w:style w:type="character" w:customStyle="1" w:styleId="apple-converted-space">
    <w:name w:val="apple-converted-space"/>
    <w:basedOn w:val="Carpredefinitoparagrafo"/>
    <w:rsid w:val="00C50FA2"/>
  </w:style>
  <w:style w:type="character" w:customStyle="1" w:styleId="cit-title">
    <w:name w:val="cit-title"/>
    <w:basedOn w:val="Carpredefinitoparagrafo"/>
    <w:rsid w:val="00C50FA2"/>
  </w:style>
  <w:style w:type="character" w:customStyle="1" w:styleId="cit-year-info">
    <w:name w:val="cit-year-info"/>
    <w:basedOn w:val="Carpredefinitoparagrafo"/>
    <w:rsid w:val="00C50FA2"/>
  </w:style>
  <w:style w:type="character" w:customStyle="1" w:styleId="cit-volume">
    <w:name w:val="cit-volume"/>
    <w:basedOn w:val="Carpredefinitoparagrafo"/>
    <w:rsid w:val="00C50FA2"/>
  </w:style>
  <w:style w:type="character" w:customStyle="1" w:styleId="cit-issue">
    <w:name w:val="cit-issue"/>
    <w:basedOn w:val="Carpredefinitoparagrafo"/>
    <w:rsid w:val="00C50FA2"/>
  </w:style>
  <w:style w:type="character" w:customStyle="1" w:styleId="cit-pagerange">
    <w:name w:val="cit-pagerange"/>
    <w:basedOn w:val="Carpredefinitoparagrafo"/>
    <w:rsid w:val="00C50FA2"/>
  </w:style>
  <w:style w:type="table" w:customStyle="1" w:styleId="Tabellagriglia1chiara1">
    <w:name w:val="Tabella griglia 1 chiara1"/>
    <w:basedOn w:val="Tabellanormale"/>
    <w:uiPriority w:val="46"/>
    <w:rsid w:val="00C50FA2"/>
    <w:pPr>
      <w:spacing w:after="0" w:line="240" w:lineRule="auto"/>
    </w:pPr>
    <w:rPr>
      <w:kern w:val="0"/>
      <w:sz w:val="24"/>
      <w:szCs w:val="24"/>
      <w:lang w:eastAsia="zh-C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gliatabella">
    <w:name w:val="Table Grid"/>
    <w:basedOn w:val="Tabellanormale"/>
    <w:uiPriority w:val="39"/>
    <w:rsid w:val="00C50F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CA4040"/>
    <w:pPr>
      <w:spacing w:after="0" w:line="240" w:lineRule="auto"/>
    </w:pPr>
    <w:rPr>
      <w:rFonts w:ascii="Times New Roman" w:eastAsia="Times New Roman" w:hAnsi="Times New Roman" w:cs="Times New Roman"/>
      <w:kern w:val="0"/>
      <w:sz w:val="24"/>
      <w:szCs w:val="24"/>
      <w:lang w:eastAsia="it-IT"/>
      <w14:ligatures w14:val="none"/>
    </w:rPr>
  </w:style>
  <w:style w:type="paragraph" w:styleId="Bibliografia">
    <w:name w:val="Bibliography"/>
    <w:basedOn w:val="Normale"/>
    <w:next w:val="Normale"/>
    <w:uiPriority w:val="37"/>
    <w:unhideWhenUsed/>
    <w:rsid w:val="00CA4040"/>
    <w:pPr>
      <w:spacing w:after="240"/>
    </w:pPr>
  </w:style>
  <w:style w:type="paragraph" w:styleId="Testofumetto">
    <w:name w:val="Balloon Text"/>
    <w:basedOn w:val="Normale"/>
    <w:link w:val="TestofumettoCarattere"/>
    <w:uiPriority w:val="99"/>
    <w:semiHidden/>
    <w:unhideWhenUsed/>
    <w:rsid w:val="0099045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90451"/>
    <w:rPr>
      <w:rFonts w:ascii="Segoe UI" w:eastAsia="Times New Roman" w:hAnsi="Segoe UI" w:cs="Segoe UI"/>
      <w:kern w:val="0"/>
      <w:sz w:val="18"/>
      <w:szCs w:val="18"/>
      <w:lang w:eastAsia="it-IT"/>
      <w14:ligatures w14:val="none"/>
    </w:rPr>
  </w:style>
  <w:style w:type="paragraph" w:styleId="Intestazione">
    <w:name w:val="header"/>
    <w:basedOn w:val="Normale"/>
    <w:link w:val="IntestazioneCarattere"/>
    <w:uiPriority w:val="99"/>
    <w:unhideWhenUsed/>
    <w:rsid w:val="009B6EDD"/>
    <w:pPr>
      <w:tabs>
        <w:tab w:val="center" w:pos="4819"/>
        <w:tab w:val="right" w:pos="9638"/>
      </w:tabs>
    </w:pPr>
  </w:style>
  <w:style w:type="character" w:customStyle="1" w:styleId="IntestazioneCarattere">
    <w:name w:val="Intestazione Carattere"/>
    <w:basedOn w:val="Carpredefinitoparagrafo"/>
    <w:link w:val="Intestazione"/>
    <w:uiPriority w:val="99"/>
    <w:rsid w:val="009B6EDD"/>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unhideWhenUsed/>
    <w:rsid w:val="009B6EDD"/>
    <w:pPr>
      <w:tabs>
        <w:tab w:val="center" w:pos="4819"/>
        <w:tab w:val="right" w:pos="9638"/>
      </w:tabs>
    </w:pPr>
  </w:style>
  <w:style w:type="character" w:customStyle="1" w:styleId="PidipaginaCarattere">
    <w:name w:val="Piè di pagina Carattere"/>
    <w:basedOn w:val="Carpredefinitoparagrafo"/>
    <w:link w:val="Pidipagina"/>
    <w:uiPriority w:val="99"/>
    <w:rsid w:val="009B6EDD"/>
    <w:rPr>
      <w:rFonts w:ascii="Times New Roman" w:eastAsia="Times New Roman" w:hAnsi="Times New Roman" w:cs="Times New Roman"/>
      <w:kern w:val="0"/>
      <w:sz w:val="24"/>
      <w:szCs w:val="24"/>
      <w:lang w:eastAsia="it-IT"/>
      <w14:ligatures w14:val="none"/>
    </w:rPr>
  </w:style>
  <w:style w:type="character" w:styleId="Numeropagina">
    <w:name w:val="page number"/>
    <w:basedOn w:val="Carpredefinitoparagrafo"/>
    <w:uiPriority w:val="99"/>
    <w:semiHidden/>
    <w:unhideWhenUsed/>
    <w:rsid w:val="009B6EDD"/>
  </w:style>
  <w:style w:type="paragraph" w:styleId="Soggettocommento">
    <w:name w:val="annotation subject"/>
    <w:basedOn w:val="Testocommento"/>
    <w:next w:val="Testocommento"/>
    <w:link w:val="SoggettocommentoCarattere"/>
    <w:uiPriority w:val="99"/>
    <w:semiHidden/>
    <w:unhideWhenUsed/>
    <w:rsid w:val="00F41FEF"/>
    <w:rPr>
      <w:b/>
      <w:bCs/>
    </w:rPr>
  </w:style>
  <w:style w:type="character" w:customStyle="1" w:styleId="SoggettocommentoCarattere">
    <w:name w:val="Soggetto commento Carattere"/>
    <w:basedOn w:val="TestocommentoCarattere"/>
    <w:link w:val="Soggettocommento"/>
    <w:uiPriority w:val="99"/>
    <w:semiHidden/>
    <w:rsid w:val="00F41FEF"/>
    <w:rPr>
      <w:rFonts w:ascii="Times New Roman" w:eastAsia="Times New Roman" w:hAnsi="Times New Roman" w:cs="Times New Roman"/>
      <w:b/>
      <w:bCs/>
      <w:kern w:val="0"/>
      <w:sz w:val="20"/>
      <w:szCs w:val="20"/>
      <w:lang w:eastAsia="it-IT"/>
      <w14:ligatures w14:val="none"/>
    </w:rPr>
  </w:style>
  <w:style w:type="paragraph" w:customStyle="1" w:styleId="Acknowledgement">
    <w:name w:val="Acknowledgement"/>
    <w:basedOn w:val="Normale"/>
    <w:rsid w:val="00564C6D"/>
    <w:pPr>
      <w:spacing w:before="120"/>
      <w:ind w:left="720" w:hanging="72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161653">
      <w:bodyDiv w:val="1"/>
      <w:marLeft w:val="0"/>
      <w:marRight w:val="0"/>
      <w:marTop w:val="0"/>
      <w:marBottom w:val="0"/>
      <w:divBdr>
        <w:top w:val="none" w:sz="0" w:space="0" w:color="auto"/>
        <w:left w:val="none" w:sz="0" w:space="0" w:color="auto"/>
        <w:bottom w:val="none" w:sz="0" w:space="0" w:color="auto"/>
        <w:right w:val="none" w:sz="0" w:space="0" w:color="auto"/>
      </w:divBdr>
      <w:divsChild>
        <w:div w:id="1254123601">
          <w:marLeft w:val="0"/>
          <w:marRight w:val="0"/>
          <w:marTop w:val="0"/>
          <w:marBottom w:val="0"/>
          <w:divBdr>
            <w:top w:val="none" w:sz="0" w:space="0" w:color="auto"/>
            <w:left w:val="none" w:sz="0" w:space="0" w:color="auto"/>
            <w:bottom w:val="none" w:sz="0" w:space="0" w:color="auto"/>
            <w:right w:val="none" w:sz="0" w:space="0" w:color="auto"/>
          </w:divBdr>
          <w:divsChild>
            <w:div w:id="137646878">
              <w:marLeft w:val="0"/>
              <w:marRight w:val="0"/>
              <w:marTop w:val="0"/>
              <w:marBottom w:val="0"/>
              <w:divBdr>
                <w:top w:val="none" w:sz="0" w:space="0" w:color="auto"/>
                <w:left w:val="none" w:sz="0" w:space="0" w:color="auto"/>
                <w:bottom w:val="none" w:sz="0" w:space="0" w:color="auto"/>
                <w:right w:val="none" w:sz="0" w:space="0" w:color="auto"/>
              </w:divBdr>
              <w:divsChild>
                <w:div w:id="1780368963">
                  <w:marLeft w:val="0"/>
                  <w:marRight w:val="0"/>
                  <w:marTop w:val="0"/>
                  <w:marBottom w:val="0"/>
                  <w:divBdr>
                    <w:top w:val="none" w:sz="0" w:space="0" w:color="auto"/>
                    <w:left w:val="none" w:sz="0" w:space="0" w:color="auto"/>
                    <w:bottom w:val="none" w:sz="0" w:space="0" w:color="auto"/>
                    <w:right w:val="none" w:sz="0" w:space="0" w:color="auto"/>
                  </w:divBdr>
                  <w:divsChild>
                    <w:div w:id="17242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81897">
      <w:bodyDiv w:val="1"/>
      <w:marLeft w:val="0"/>
      <w:marRight w:val="0"/>
      <w:marTop w:val="0"/>
      <w:marBottom w:val="0"/>
      <w:divBdr>
        <w:top w:val="none" w:sz="0" w:space="0" w:color="auto"/>
        <w:left w:val="none" w:sz="0" w:space="0" w:color="auto"/>
        <w:bottom w:val="none" w:sz="0" w:space="0" w:color="auto"/>
        <w:right w:val="none" w:sz="0" w:space="0" w:color="auto"/>
      </w:divBdr>
      <w:divsChild>
        <w:div w:id="1986199841">
          <w:marLeft w:val="0"/>
          <w:marRight w:val="0"/>
          <w:marTop w:val="0"/>
          <w:marBottom w:val="0"/>
          <w:divBdr>
            <w:top w:val="none" w:sz="0" w:space="0" w:color="auto"/>
            <w:left w:val="none" w:sz="0" w:space="0" w:color="auto"/>
            <w:bottom w:val="none" w:sz="0" w:space="0" w:color="auto"/>
            <w:right w:val="none" w:sz="0" w:space="0" w:color="auto"/>
          </w:divBdr>
          <w:divsChild>
            <w:div w:id="882668942">
              <w:marLeft w:val="0"/>
              <w:marRight w:val="0"/>
              <w:marTop w:val="0"/>
              <w:marBottom w:val="0"/>
              <w:divBdr>
                <w:top w:val="none" w:sz="0" w:space="0" w:color="auto"/>
                <w:left w:val="none" w:sz="0" w:space="0" w:color="auto"/>
                <w:bottom w:val="none" w:sz="0" w:space="0" w:color="auto"/>
                <w:right w:val="none" w:sz="0" w:space="0" w:color="auto"/>
              </w:divBdr>
              <w:divsChild>
                <w:div w:id="1318869">
                  <w:marLeft w:val="0"/>
                  <w:marRight w:val="0"/>
                  <w:marTop w:val="0"/>
                  <w:marBottom w:val="0"/>
                  <w:divBdr>
                    <w:top w:val="none" w:sz="0" w:space="0" w:color="auto"/>
                    <w:left w:val="none" w:sz="0" w:space="0" w:color="auto"/>
                    <w:bottom w:val="none" w:sz="0" w:space="0" w:color="auto"/>
                    <w:right w:val="none" w:sz="0" w:space="0" w:color="auto"/>
                  </w:divBdr>
                  <w:divsChild>
                    <w:div w:id="18449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0318A-C679-4BD5-875A-FA292C56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10632</Words>
  <Characters>60608</Characters>
  <Application>Microsoft Office Word</Application>
  <DocSecurity>0</DocSecurity>
  <Lines>505</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Panagis</dc:creator>
  <cp:keywords/>
  <dc:description/>
  <cp:lastModifiedBy>Moda Fabio</cp:lastModifiedBy>
  <cp:revision>5</cp:revision>
  <cp:lastPrinted>2023-02-01T14:34:00Z</cp:lastPrinted>
  <dcterms:created xsi:type="dcterms:W3CDTF">2023-06-08T17:54:00Z</dcterms:created>
  <dcterms:modified xsi:type="dcterms:W3CDTF">2023-06-09T07:57:00Z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id="HqzwHlts"/&gt;&lt;style id="http://www.zotero.org/styles/science-translational-medicine" hasBibliography="1" bibliographyStyleHasBeenSet="1"/&gt;&lt;prefs&gt;&lt;pref name="fieldType" value="Field"/&gt;&lt;/prefs&gt;&lt;/data</vt:lpwstr>
  </property>
  <property fmtid="{D5CDD505-2E9C-101B-9397-08002B2CF9AE}" pid="3" name="ZOTERO_PREF_2">
    <vt:lpwstr>&gt;</vt:lpwstr>
  </property>
  <property fmtid="{D5CDD505-2E9C-101B-9397-08002B2CF9AE}" pid="4" name="Mendeley Document_1">
    <vt:lpwstr>True</vt:lpwstr>
  </property>
  <property fmtid="{D5CDD505-2E9C-101B-9397-08002B2CF9AE}" pid="5" name="Mendeley Unique User Id_1">
    <vt:lpwstr>10929b45-3238-3739-ae1e-a7e5a418392e</vt:lpwstr>
  </property>
  <property fmtid="{D5CDD505-2E9C-101B-9397-08002B2CF9AE}" pid="6" name="Mendeley Citation Style_1">
    <vt:lpwstr>http://www.zotero.org/styles/translational-neurodegeneration</vt:lpwstr>
  </property>
  <property fmtid="{D5CDD505-2E9C-101B-9397-08002B2CF9AE}" pid="7" name="Mendeley Recent Style Id 0_1">
    <vt:lpwstr>http://www.zotero.org/styles/chicago-author-date</vt:lpwstr>
  </property>
  <property fmtid="{D5CDD505-2E9C-101B-9397-08002B2CF9AE}" pid="8" name="Mendeley Recent Style Name 0_1">
    <vt:lpwstr>Chicago Manual of Style 17th edition (author-date)</vt:lpwstr>
  </property>
  <property fmtid="{D5CDD505-2E9C-101B-9397-08002B2CF9AE}" pid="9" name="Mendeley Recent Style Id 1_1">
    <vt:lpwstr>http://www.zotero.org/styles/harvard-cite-them-right</vt:lpwstr>
  </property>
  <property fmtid="{D5CDD505-2E9C-101B-9397-08002B2CF9AE}" pid="10" name="Mendeley Recent Style Name 1_1">
    <vt:lpwstr>Cite Them Right 10th edition - Harvard</vt:lpwstr>
  </property>
  <property fmtid="{D5CDD505-2E9C-101B-9397-08002B2CF9AE}" pid="11" name="Mendeley Recent Style Id 2_1">
    <vt:lpwstr>http://www.zotero.org/styles/frontiers-in-aging-neuroscience</vt:lpwstr>
  </property>
  <property fmtid="{D5CDD505-2E9C-101B-9397-08002B2CF9AE}" pid="12" name="Mendeley Recent Style Name 2_1">
    <vt:lpwstr>Frontiers in Aging Neuroscience</vt:lpwstr>
  </property>
  <property fmtid="{D5CDD505-2E9C-101B-9397-08002B2CF9AE}" pid="13" name="Mendeley Recent Style Id 3_1">
    <vt:lpwstr>http://www.zotero.org/styles/ieee</vt:lpwstr>
  </property>
  <property fmtid="{D5CDD505-2E9C-101B-9397-08002B2CF9AE}" pid="14" name="Mendeley Recent Style Name 3_1">
    <vt:lpwstr>IEEE</vt:lpwstr>
  </property>
  <property fmtid="{D5CDD505-2E9C-101B-9397-08002B2CF9AE}" pid="15" name="Mendeley Recent Style Id 4_1">
    <vt:lpwstr>http://www.zotero.org/styles/modern-humanities-research-association</vt:lpwstr>
  </property>
  <property fmtid="{D5CDD505-2E9C-101B-9397-08002B2CF9AE}" pid="16" name="Mendeley Recent Style Name 4_1">
    <vt:lpwstr>Modern Humanities Research Association 3rd edition (note with bibliography)</vt:lpwstr>
  </property>
  <property fmtid="{D5CDD505-2E9C-101B-9397-08002B2CF9AE}" pid="17" name="Mendeley Recent Style Id 5_1">
    <vt:lpwstr>http://www.zotero.org/styles/nature</vt:lpwstr>
  </property>
  <property fmtid="{D5CDD505-2E9C-101B-9397-08002B2CF9AE}" pid="18" name="Mendeley Recent Style Name 5_1">
    <vt:lpwstr>Nature</vt:lpwstr>
  </property>
  <property fmtid="{D5CDD505-2E9C-101B-9397-08002B2CF9AE}" pid="19" name="Mendeley Recent Style Id 6_1">
    <vt:lpwstr>http://www.zotero.org/styles/science-translational-medicine</vt:lpwstr>
  </property>
  <property fmtid="{D5CDD505-2E9C-101B-9397-08002B2CF9AE}" pid="20" name="Mendeley Recent Style Name 6_1">
    <vt:lpwstr>Science Translational Medicine</vt:lpwstr>
  </property>
  <property fmtid="{D5CDD505-2E9C-101B-9397-08002B2CF9AE}" pid="21" name="Mendeley Recent Style Id 7_1">
    <vt:lpwstr>http://www.zotero.org/styles/translational-neurodegeneration</vt:lpwstr>
  </property>
  <property fmtid="{D5CDD505-2E9C-101B-9397-08002B2CF9AE}" pid="22" name="Mendeley Recent Style Name 7_1">
    <vt:lpwstr>Translational Neurodegeneration</vt:lpwstr>
  </property>
  <property fmtid="{D5CDD505-2E9C-101B-9397-08002B2CF9AE}" pid="23" name="Mendeley Recent Style Id 8_1">
    <vt:lpwstr>http://www.zotero.org/styles/vancouver</vt:lpwstr>
  </property>
  <property fmtid="{D5CDD505-2E9C-101B-9397-08002B2CF9AE}" pid="24" name="Mendeley Recent Style Name 8_1">
    <vt:lpwstr>Vancouver</vt:lpwstr>
  </property>
  <property fmtid="{D5CDD505-2E9C-101B-9397-08002B2CF9AE}" pid="25" name="Mendeley Recent Style Id 9_1">
    <vt:lpwstr>http://www.zotero.org/styles/vancouver-brackets-no-et-al</vt:lpwstr>
  </property>
  <property fmtid="{D5CDD505-2E9C-101B-9397-08002B2CF9AE}" pid="26" name="Mendeley Recent Style Name 9_1">
    <vt:lpwstr>Vancouver (brackets, no "et al.")</vt:lpwstr>
  </property>
</Properties>
</file>