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00" w:rsidRDefault="00086A00" w:rsidP="00086A00">
      <w:pPr>
        <w:jc w:val="center"/>
        <w:rPr>
          <w:b/>
          <w:lang w:val="en-US"/>
        </w:rPr>
      </w:pPr>
      <w:r>
        <w:rPr>
          <w:b/>
          <w:lang w:val="en-US"/>
        </w:rPr>
        <w:t>Electronic Supplementary Material</w:t>
      </w:r>
    </w:p>
    <w:p w:rsidR="003F5886" w:rsidRPr="00086A00" w:rsidRDefault="003F5886" w:rsidP="003F5886">
      <w:pPr>
        <w:rPr>
          <w:b/>
          <w:i/>
          <w:color w:val="C00000"/>
          <w:lang w:val="en-US"/>
        </w:rPr>
      </w:pPr>
      <w:r w:rsidRPr="00086A00">
        <w:rPr>
          <w:b/>
          <w:i/>
          <w:color w:val="C00000"/>
          <w:lang w:val="en-US"/>
        </w:rPr>
        <w:t>Clinical Pharmacokinetics</w:t>
      </w:r>
    </w:p>
    <w:p w:rsidR="003F5886" w:rsidRPr="00086A00" w:rsidRDefault="003F5886" w:rsidP="003F5886">
      <w:pPr>
        <w:rPr>
          <w:b/>
          <w:sz w:val="24"/>
          <w:lang w:val="en-US"/>
        </w:rPr>
      </w:pPr>
      <w:r w:rsidRPr="00086A00">
        <w:rPr>
          <w:b/>
          <w:sz w:val="24"/>
          <w:lang w:val="en-US"/>
        </w:rPr>
        <w:t>Levothyrox® new and old formulations are unlikely switchable for millions of patients</w:t>
      </w:r>
    </w:p>
    <w:p w:rsidR="00086A00" w:rsidRDefault="00086A00" w:rsidP="003F5886"/>
    <w:p w:rsidR="003F5886" w:rsidRPr="00086A00" w:rsidRDefault="003F5886" w:rsidP="003F5886">
      <w:r w:rsidRPr="00086A00">
        <w:t xml:space="preserve">D. </w:t>
      </w:r>
      <w:proofErr w:type="spellStart"/>
      <w:r w:rsidRPr="00086A00">
        <w:t>Concordet</w:t>
      </w:r>
      <w:proofErr w:type="spellEnd"/>
      <w:r w:rsidRPr="00086A00">
        <w:t xml:space="preserve">, P. </w:t>
      </w:r>
      <w:proofErr w:type="spellStart"/>
      <w:r w:rsidRPr="00086A00">
        <w:t>Gandia</w:t>
      </w:r>
      <w:proofErr w:type="spellEnd"/>
      <w:r w:rsidRPr="00086A00">
        <w:t xml:space="preserve">, J.L. </w:t>
      </w:r>
      <w:proofErr w:type="spellStart"/>
      <w:r w:rsidRPr="00086A00">
        <w:t>Montastruc</w:t>
      </w:r>
      <w:proofErr w:type="spellEnd"/>
      <w:r w:rsidRPr="00086A00">
        <w:t>, A. Bousquet-</w:t>
      </w:r>
      <w:proofErr w:type="spellStart"/>
      <w:r w:rsidRPr="00086A00">
        <w:t>Mélou</w:t>
      </w:r>
      <w:proofErr w:type="spellEnd"/>
      <w:r w:rsidRPr="00086A00">
        <w:t>, P Lees, A. Ferran, P.L. Toutain*</w:t>
      </w:r>
    </w:p>
    <w:p w:rsidR="003F5886" w:rsidRPr="003F5886" w:rsidRDefault="003F5886" w:rsidP="003F5886">
      <w:pPr>
        <w:rPr>
          <w:b/>
        </w:rPr>
      </w:pPr>
      <w:r w:rsidRPr="003F5886">
        <w:rPr>
          <w:b/>
        </w:rPr>
        <w:t>INTHERES, Université de Toulouse, INRA, ENVT, Toulouse, France</w:t>
      </w:r>
    </w:p>
    <w:p w:rsidR="003F5886" w:rsidRPr="003F5886" w:rsidRDefault="003F5886" w:rsidP="003F5886">
      <w:pPr>
        <w:rPr>
          <w:b/>
          <w:lang w:val="en-US"/>
        </w:rPr>
      </w:pPr>
      <w:r w:rsidRPr="003F5886">
        <w:rPr>
          <w:b/>
          <w:lang w:val="en-US"/>
        </w:rPr>
        <w:t>The Royal Veterinary College, University of London, London, United Kingdom</w:t>
      </w:r>
    </w:p>
    <w:p w:rsidR="00E165FD" w:rsidRPr="00E165FD" w:rsidRDefault="003F5886" w:rsidP="00E165FD">
      <w:pPr>
        <w:pStyle w:val="HTMLPreformatted"/>
        <w:rPr>
          <w:rFonts w:asciiTheme="minorHAnsi" w:hAnsiTheme="minorHAnsi" w:cstheme="minorHAnsi"/>
          <w:lang w:val="en-US"/>
        </w:rPr>
      </w:pPr>
      <w:r w:rsidRPr="00E165FD">
        <w:rPr>
          <w:rFonts w:asciiTheme="minorHAnsi" w:hAnsiTheme="minorHAnsi" w:cstheme="minorHAnsi"/>
          <w:b/>
          <w:lang w:val="en-US"/>
        </w:rPr>
        <w:t xml:space="preserve">*Corresponding author: </w:t>
      </w:r>
      <w:hyperlink r:id="rId5" w:history="1">
        <w:r w:rsidR="00E165FD" w:rsidRPr="00E165FD">
          <w:rPr>
            <w:rStyle w:val="Hyperlink"/>
            <w:rFonts w:asciiTheme="minorHAnsi" w:hAnsiTheme="minorHAnsi" w:cstheme="minorHAnsi"/>
            <w:lang w:val="en-US"/>
          </w:rPr>
          <w:t>pltoutain@wanadoo.fr</w:t>
        </w:r>
      </w:hyperlink>
    </w:p>
    <w:p w:rsidR="003F5886" w:rsidRDefault="003F5886" w:rsidP="003F5886">
      <w:pPr>
        <w:rPr>
          <w:b/>
          <w:lang w:val="en-US"/>
        </w:rPr>
      </w:pPr>
    </w:p>
    <w:p w:rsidR="00086A00" w:rsidRDefault="00086A00" w:rsidP="003F5886">
      <w:pPr>
        <w:rPr>
          <w:b/>
          <w:lang w:val="en-US"/>
        </w:rPr>
      </w:pPr>
    </w:p>
    <w:p w:rsidR="00E21C31" w:rsidRDefault="00E21C31" w:rsidP="003F5886">
      <w:pPr>
        <w:rPr>
          <w:lang w:val="en-US"/>
        </w:rPr>
      </w:pPr>
      <w:r w:rsidRPr="00E21C31">
        <w:rPr>
          <w:b/>
          <w:lang w:val="en-US"/>
        </w:rPr>
        <w:t xml:space="preserve">File </w:t>
      </w:r>
      <w:proofErr w:type="spellStart"/>
      <w:r w:rsidRPr="00E21C31">
        <w:rPr>
          <w:b/>
          <w:lang w:val="en-US"/>
        </w:rPr>
        <w:t>R_File.R</w:t>
      </w:r>
      <w:proofErr w:type="spellEnd"/>
      <w:r w:rsidRPr="00E21C31">
        <w:rPr>
          <w:lang w:val="en-US"/>
        </w:rPr>
        <w:t>: This f</w:t>
      </w:r>
      <w:r>
        <w:rPr>
          <w:lang w:val="en-US"/>
        </w:rPr>
        <w:t>ile contains the R commands that read the data, compute the AUC’s, perform the Figure 1 and compute Table 1.</w:t>
      </w:r>
    </w:p>
    <w:p w:rsidR="00E21C31" w:rsidRPr="00CA2587" w:rsidRDefault="00E21C31">
      <w:pPr>
        <w:rPr>
          <w:b/>
          <w:lang w:val="en-US"/>
        </w:rPr>
      </w:pPr>
      <w:r w:rsidRPr="00E21C31">
        <w:rPr>
          <w:b/>
          <w:lang w:val="en-US"/>
        </w:rPr>
        <w:t xml:space="preserve">File </w:t>
      </w:r>
      <w:r>
        <w:rPr>
          <w:b/>
          <w:lang w:val="en-US"/>
        </w:rPr>
        <w:t>T4_Reference</w:t>
      </w:r>
      <w:r w:rsidRPr="00E21C31">
        <w:rPr>
          <w:b/>
          <w:lang w:val="en-US"/>
        </w:rPr>
        <w:t>.</w:t>
      </w:r>
      <w:r>
        <w:rPr>
          <w:b/>
          <w:lang w:val="en-US"/>
        </w:rPr>
        <w:t xml:space="preserve">txt: </w:t>
      </w:r>
      <w:r w:rsidRPr="00AF41D3">
        <w:rPr>
          <w:lang w:val="en-US"/>
        </w:rPr>
        <w:t xml:space="preserve">This file contains the T4 concentrations observed in 204 individuals after the administration of the </w:t>
      </w:r>
      <w:r w:rsidR="00AF41D3" w:rsidRPr="00AF41D3">
        <w:rPr>
          <w:b/>
          <w:lang w:val="en-US"/>
        </w:rPr>
        <w:t>R</w:t>
      </w:r>
      <w:r w:rsidRPr="00AF41D3">
        <w:rPr>
          <w:b/>
          <w:lang w:val="en-US"/>
        </w:rPr>
        <w:t>eference</w:t>
      </w:r>
      <w:r w:rsidRPr="00AF41D3">
        <w:rPr>
          <w:lang w:val="en-US"/>
        </w:rPr>
        <w:t xml:space="preserve"> formulation. The data of each individual is stored by row. </w:t>
      </w:r>
      <w:r w:rsidRPr="00CA2587">
        <w:rPr>
          <w:lang w:val="en-US"/>
        </w:rPr>
        <w:t xml:space="preserve">The first column contains the patient number, the columns T0, T0.5, T1, T1.5, T2, T2.5, T3, T4, T6, T8, T10, T12, T18, T24, T36, T48, T72 contain the concentrations observed at </w:t>
      </w:r>
      <w:r w:rsidR="00CA2587" w:rsidRPr="00CA2587">
        <w:rPr>
          <w:lang w:val="en-US"/>
        </w:rPr>
        <w:t>the corresponding</w:t>
      </w:r>
      <w:r w:rsidRPr="00CA2587">
        <w:rPr>
          <w:lang w:val="en-US"/>
        </w:rPr>
        <w:t xml:space="preserve"> time.</w:t>
      </w:r>
    </w:p>
    <w:p w:rsidR="00AF41D3" w:rsidRPr="00E21C31" w:rsidRDefault="00AF41D3" w:rsidP="00AF41D3">
      <w:pPr>
        <w:rPr>
          <w:b/>
          <w:lang w:val="en-US"/>
        </w:rPr>
      </w:pPr>
      <w:r w:rsidRPr="00E21C31">
        <w:rPr>
          <w:b/>
          <w:lang w:val="en-US"/>
        </w:rPr>
        <w:t xml:space="preserve">File </w:t>
      </w:r>
      <w:r>
        <w:rPr>
          <w:b/>
          <w:lang w:val="en-US"/>
        </w:rPr>
        <w:t>T4_Test</w:t>
      </w:r>
      <w:r w:rsidRPr="00E21C31">
        <w:rPr>
          <w:b/>
          <w:lang w:val="en-US"/>
        </w:rPr>
        <w:t>.</w:t>
      </w:r>
      <w:r>
        <w:rPr>
          <w:b/>
          <w:lang w:val="en-US"/>
        </w:rPr>
        <w:t xml:space="preserve">txt: </w:t>
      </w:r>
      <w:r w:rsidRPr="00AF41D3">
        <w:rPr>
          <w:lang w:val="en-US"/>
        </w:rPr>
        <w:t xml:space="preserve">This file contains the T4 concentrations observed in 204 individuals after the administration of the </w:t>
      </w:r>
      <w:r w:rsidRPr="00AF41D3">
        <w:rPr>
          <w:b/>
          <w:lang w:val="en-US"/>
        </w:rPr>
        <w:t>Test</w:t>
      </w:r>
      <w:r w:rsidRPr="00AF41D3">
        <w:rPr>
          <w:lang w:val="en-US"/>
        </w:rPr>
        <w:t xml:space="preserve"> formulation. The data of each individual is stored by row. The first column contains the patient number, the columns T0, T0.5, T1, T1.5, T2, T2.5, T3, T4, T6, T8, T10, T12, T18, T24, T36, T48, T72 contain the concentrations observed at </w:t>
      </w:r>
      <w:r w:rsidR="00CA2587" w:rsidRPr="00CA2587">
        <w:rPr>
          <w:lang w:val="en-US"/>
        </w:rPr>
        <w:t>the corresponding</w:t>
      </w:r>
      <w:r w:rsidR="00CA2587" w:rsidRPr="00AF41D3">
        <w:rPr>
          <w:lang w:val="en-US"/>
        </w:rPr>
        <w:t xml:space="preserve"> </w:t>
      </w:r>
      <w:r w:rsidRPr="00AF41D3">
        <w:rPr>
          <w:lang w:val="en-US"/>
        </w:rPr>
        <w:t>time.</w:t>
      </w:r>
    </w:p>
    <w:p w:rsidR="00E21C31" w:rsidRDefault="00E21C31">
      <w:pPr>
        <w:rPr>
          <w:lang w:val="en-US"/>
        </w:rPr>
      </w:pPr>
    </w:p>
    <w:p w:rsidR="00086A00" w:rsidRPr="00E21C31" w:rsidRDefault="00086A00">
      <w:pPr>
        <w:rPr>
          <w:lang w:val="en-US"/>
        </w:rPr>
      </w:pPr>
      <w:r>
        <w:rPr>
          <w:lang w:val="en-US"/>
        </w:rPr>
        <w:object w:dxaOrig="72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40.3pt" o:ole="">
            <v:imagedata r:id="rId6" o:title=""/>
          </v:shape>
          <o:OLEObject Type="Embed" ProgID="Package" ShapeID="_x0000_i1027" DrawAspect="Content" ObjectID="_1615634722" r:id="rId7"/>
        </w:object>
      </w:r>
      <w:r>
        <w:rPr>
          <w:lang w:val="en-US"/>
        </w:rPr>
        <w:object w:dxaOrig="1621" w:dyaOrig="811">
          <v:shape id="_x0000_i1031" type="#_x0000_t75" style="width:81.15pt;height:40.3pt" o:ole="">
            <v:imagedata r:id="rId8" o:title=""/>
          </v:shape>
          <o:OLEObject Type="Embed" ProgID="Package" ShapeID="_x0000_i1031" DrawAspect="Content" ObjectID="_1615634723" r:id="rId9"/>
        </w:object>
      </w:r>
      <w:r>
        <w:rPr>
          <w:lang w:val="en-US"/>
        </w:rPr>
        <w:object w:dxaOrig="1065" w:dyaOrig="811">
          <v:shape id="_x0000_i1035" type="#_x0000_t75" style="width:53.2pt;height:40.3pt" o:ole="">
            <v:imagedata r:id="rId10" o:title=""/>
          </v:shape>
          <o:OLEObject Type="Embed" ProgID="Package" ShapeID="_x0000_i1035" DrawAspect="Content" ObjectID="_1615634724" r:id="rId11"/>
        </w:object>
      </w:r>
      <w:bookmarkStart w:id="0" w:name="_GoBack"/>
      <w:bookmarkEnd w:id="0"/>
    </w:p>
    <w:sectPr w:rsidR="00086A00" w:rsidRPr="00E21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31"/>
    <w:rsid w:val="00086A00"/>
    <w:rsid w:val="003F5886"/>
    <w:rsid w:val="00AF41D3"/>
    <w:rsid w:val="00CA2587"/>
    <w:rsid w:val="00E165FD"/>
    <w:rsid w:val="00E21C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886"/>
    <w:rPr>
      <w:color w:val="0563C1" w:themeColor="hyperlink"/>
      <w:u w:val="single"/>
    </w:rPr>
  </w:style>
  <w:style w:type="character" w:customStyle="1" w:styleId="UnresolvedMention">
    <w:name w:val="Unresolved Mention"/>
    <w:basedOn w:val="DefaultParagraphFont"/>
    <w:uiPriority w:val="99"/>
    <w:semiHidden/>
    <w:unhideWhenUsed/>
    <w:rsid w:val="003F5886"/>
    <w:rPr>
      <w:color w:val="605E5C"/>
      <w:shd w:val="clear" w:color="auto" w:fill="E1DFDD"/>
    </w:rPr>
  </w:style>
  <w:style w:type="paragraph" w:styleId="HTMLPreformatted">
    <w:name w:val="HTML Preformatted"/>
    <w:basedOn w:val="Normal"/>
    <w:link w:val="HTMLPreformattedChar"/>
    <w:uiPriority w:val="99"/>
    <w:semiHidden/>
    <w:unhideWhenUsed/>
    <w:rsid w:val="00E1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165FD"/>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886"/>
    <w:rPr>
      <w:color w:val="0563C1" w:themeColor="hyperlink"/>
      <w:u w:val="single"/>
    </w:rPr>
  </w:style>
  <w:style w:type="character" w:customStyle="1" w:styleId="UnresolvedMention">
    <w:name w:val="Unresolved Mention"/>
    <w:basedOn w:val="DefaultParagraphFont"/>
    <w:uiPriority w:val="99"/>
    <w:semiHidden/>
    <w:unhideWhenUsed/>
    <w:rsid w:val="003F5886"/>
    <w:rPr>
      <w:color w:val="605E5C"/>
      <w:shd w:val="clear" w:color="auto" w:fill="E1DFDD"/>
    </w:rPr>
  </w:style>
  <w:style w:type="paragraph" w:styleId="HTMLPreformatted">
    <w:name w:val="HTML Preformatted"/>
    <w:basedOn w:val="Normal"/>
    <w:link w:val="HTMLPreformattedChar"/>
    <w:uiPriority w:val="99"/>
    <w:semiHidden/>
    <w:unhideWhenUsed/>
    <w:rsid w:val="00E1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165FD"/>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hyperlink" Target="mailto:pltoutain@wanadoo.fr"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Springer-SBM</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Amitabh Prakash</cp:lastModifiedBy>
  <cp:revision>2</cp:revision>
  <dcterms:created xsi:type="dcterms:W3CDTF">2019-04-01T01:39:00Z</dcterms:created>
  <dcterms:modified xsi:type="dcterms:W3CDTF">2019-04-01T01:39:00Z</dcterms:modified>
</cp:coreProperties>
</file>