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3"/>
        <w:gridCol w:w="811"/>
        <w:gridCol w:w="812"/>
        <w:gridCol w:w="811"/>
        <w:gridCol w:w="812"/>
        <w:gridCol w:w="812"/>
        <w:gridCol w:w="812"/>
        <w:gridCol w:w="811"/>
        <w:gridCol w:w="812"/>
        <w:gridCol w:w="811"/>
        <w:gridCol w:w="812"/>
        <w:gridCol w:w="819"/>
      </w:tblGrid>
      <w:tr w:rsidR="009D131C" w:rsidRPr="00CD0E5C" w:rsidTr="00400A09">
        <w:trPr>
          <w:trHeight w:val="683"/>
          <w:jc w:val="center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400A09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Reference</w:t>
            </w:r>
          </w:p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(year)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CD0E5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</w:tr>
      <w:tr w:rsidR="009D131C" w:rsidRPr="00CD0E5C" w:rsidTr="00400A09">
        <w:trPr>
          <w:trHeight w:val="702"/>
          <w:jc w:val="center"/>
        </w:trPr>
        <w:tc>
          <w:tcPr>
            <w:tcW w:w="202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B6475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 xml:space="preserve">Clark </w:t>
            </w:r>
            <w:r w:rsidRPr="00CB647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CB6475" w:rsidRPr="00CB6475">
              <w:rPr>
                <w:rFonts w:ascii="Arial" w:hAnsi="Arial" w:cs="Arial"/>
                <w:sz w:val="20"/>
                <w:szCs w:val="20"/>
                <w:lang w:val="en-US"/>
              </w:rPr>
              <w:t xml:space="preserve">t </w:t>
            </w:r>
            <w:r w:rsidRPr="00CB6475">
              <w:rPr>
                <w:rFonts w:ascii="Arial" w:hAnsi="Arial" w:cs="Arial"/>
                <w:sz w:val="20"/>
                <w:szCs w:val="20"/>
                <w:lang w:val="en-US"/>
              </w:rPr>
              <w:t>al.</w:t>
            </w:r>
          </w:p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(2011)</w:t>
            </w:r>
            <w:r w:rsidR="00ED0FEB">
              <w:rPr>
                <w:rFonts w:ascii="Arial" w:hAnsi="Arial" w:cs="Arial"/>
                <w:sz w:val="20"/>
                <w:szCs w:val="20"/>
                <w:lang w:val="en-US"/>
              </w:rPr>
              <w:t xml:space="preserve"> [15]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9D131C" w:rsidRPr="00CD0E5C" w:rsidTr="00400A09">
        <w:trPr>
          <w:trHeight w:val="683"/>
          <w:jc w:val="center"/>
        </w:trPr>
        <w:tc>
          <w:tcPr>
            <w:tcW w:w="2023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Ellefsen</w:t>
            </w:r>
            <w:r w:rsidRPr="00CD0E5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CB6475">
              <w:rPr>
                <w:rFonts w:ascii="Arial" w:hAnsi="Arial" w:cs="Arial"/>
                <w:sz w:val="20"/>
                <w:szCs w:val="20"/>
                <w:lang w:val="en-US"/>
              </w:rPr>
              <w:t>et al.</w:t>
            </w: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 xml:space="preserve"> (2015)</w:t>
            </w:r>
            <w:r w:rsidR="00ED0FEB">
              <w:rPr>
                <w:rFonts w:ascii="Arial" w:hAnsi="Arial" w:cs="Arial"/>
                <w:sz w:val="20"/>
                <w:szCs w:val="20"/>
                <w:lang w:val="en-US"/>
              </w:rPr>
              <w:t xml:space="preserve"> [19]</w:t>
            </w:r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81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9D131C" w:rsidRPr="00CD0E5C" w:rsidTr="00400A09">
        <w:trPr>
          <w:trHeight w:val="702"/>
          <w:jc w:val="center"/>
        </w:trPr>
        <w:tc>
          <w:tcPr>
            <w:tcW w:w="2023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 xml:space="preserve">Karabulut </w:t>
            </w:r>
            <w:r w:rsidRPr="00CB6475">
              <w:rPr>
                <w:rFonts w:ascii="Arial" w:hAnsi="Arial" w:cs="Arial"/>
                <w:sz w:val="20"/>
                <w:szCs w:val="20"/>
                <w:lang w:val="en-US"/>
              </w:rPr>
              <w:t>et al.</w:t>
            </w:r>
            <w:r w:rsidRPr="00CD0E5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(2010)</w:t>
            </w:r>
            <w:r w:rsidR="00ED0FEB">
              <w:rPr>
                <w:rFonts w:ascii="Arial" w:hAnsi="Arial" w:cs="Arial"/>
                <w:sz w:val="20"/>
                <w:szCs w:val="20"/>
                <w:lang w:val="en-US"/>
              </w:rPr>
              <w:t xml:space="preserve"> [12]</w:t>
            </w:r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81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9D131C" w:rsidRPr="00CD0E5C" w:rsidTr="00400A09">
        <w:trPr>
          <w:trHeight w:val="683"/>
          <w:jc w:val="center"/>
        </w:trPr>
        <w:tc>
          <w:tcPr>
            <w:tcW w:w="2023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B6475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 xml:space="preserve">Kubo </w:t>
            </w:r>
            <w:r w:rsidRPr="00CB6475">
              <w:rPr>
                <w:rFonts w:ascii="Arial" w:hAnsi="Arial" w:cs="Arial"/>
                <w:sz w:val="20"/>
                <w:szCs w:val="20"/>
                <w:lang w:val="en-US"/>
              </w:rPr>
              <w:t>et al.</w:t>
            </w:r>
          </w:p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6475">
              <w:rPr>
                <w:rFonts w:ascii="Arial" w:hAnsi="Arial" w:cs="Arial"/>
                <w:sz w:val="20"/>
                <w:szCs w:val="20"/>
                <w:lang w:val="en-US"/>
              </w:rPr>
              <w:t>(2006)</w:t>
            </w:r>
            <w:r w:rsidR="00ED0FEB" w:rsidRPr="00CB6475">
              <w:rPr>
                <w:rFonts w:ascii="Arial" w:hAnsi="Arial" w:cs="Arial"/>
                <w:sz w:val="20"/>
                <w:szCs w:val="20"/>
                <w:lang w:val="en-US"/>
              </w:rPr>
              <w:t xml:space="preserve"> [11</w:t>
            </w:r>
            <w:r w:rsidR="00ED0FEB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81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9D131C" w:rsidRPr="00CD0E5C" w:rsidTr="00400A09">
        <w:trPr>
          <w:trHeight w:val="702"/>
          <w:jc w:val="center"/>
        </w:trPr>
        <w:tc>
          <w:tcPr>
            <w:tcW w:w="2023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9A5554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 xml:space="preserve">Laurentino </w:t>
            </w:r>
            <w:r w:rsidRPr="00CB6475">
              <w:rPr>
                <w:rFonts w:ascii="Arial" w:hAnsi="Arial" w:cs="Arial"/>
                <w:sz w:val="20"/>
                <w:szCs w:val="20"/>
                <w:lang w:val="en-US"/>
              </w:rPr>
              <w:t>et al.</w:t>
            </w:r>
            <w:r w:rsidRPr="00CD0E5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(2012)</w:t>
            </w:r>
            <w:r w:rsidR="00ED0FEB">
              <w:rPr>
                <w:rFonts w:ascii="Arial" w:hAnsi="Arial" w:cs="Arial"/>
                <w:sz w:val="20"/>
                <w:szCs w:val="20"/>
                <w:lang w:val="en-US"/>
              </w:rPr>
              <w:t xml:space="preserve"> [</w:t>
            </w:r>
            <w:r w:rsidR="009A5554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  <w:r w:rsidR="00ED0FEB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81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9D131C" w:rsidRPr="00CD0E5C" w:rsidTr="00400A09">
        <w:trPr>
          <w:trHeight w:val="683"/>
          <w:jc w:val="center"/>
        </w:trPr>
        <w:tc>
          <w:tcPr>
            <w:tcW w:w="2023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B6475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</w:rPr>
              <w:t>Libardi</w:t>
            </w:r>
            <w:r w:rsidRPr="00CD0E5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B6475">
              <w:rPr>
                <w:rFonts w:ascii="Arial" w:hAnsi="Arial" w:cs="Arial"/>
                <w:sz w:val="20"/>
                <w:szCs w:val="20"/>
              </w:rPr>
              <w:t>et al.</w:t>
            </w:r>
          </w:p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</w:rPr>
              <w:t>(2015)</w:t>
            </w:r>
            <w:r w:rsidR="00ED0FEB">
              <w:rPr>
                <w:rFonts w:ascii="Arial" w:hAnsi="Arial" w:cs="Arial"/>
                <w:sz w:val="20"/>
                <w:szCs w:val="20"/>
              </w:rPr>
              <w:t xml:space="preserve"> [20]</w:t>
            </w:r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</w:p>
        </w:tc>
        <w:tc>
          <w:tcPr>
            <w:tcW w:w="81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D131C" w:rsidRPr="00CD0E5C" w:rsidTr="00400A09">
        <w:trPr>
          <w:trHeight w:val="683"/>
          <w:jc w:val="center"/>
        </w:trPr>
        <w:tc>
          <w:tcPr>
            <w:tcW w:w="2023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CB6475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</w:rPr>
              <w:t>Lixandr</w:t>
            </w:r>
            <w:r w:rsidR="00CB6475">
              <w:rPr>
                <w:rFonts w:ascii="Arial" w:hAnsi="Arial" w:cs="Arial"/>
                <w:sz w:val="20"/>
                <w:szCs w:val="20"/>
              </w:rPr>
              <w:t>a</w:t>
            </w:r>
            <w:r w:rsidRPr="00CD0E5C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CB6475">
              <w:rPr>
                <w:rFonts w:ascii="Arial" w:hAnsi="Arial" w:cs="Arial"/>
                <w:sz w:val="20"/>
                <w:szCs w:val="20"/>
              </w:rPr>
              <w:t>et al.</w:t>
            </w:r>
            <w:r w:rsidRPr="00CD0E5C">
              <w:rPr>
                <w:rFonts w:ascii="Arial" w:hAnsi="Arial" w:cs="Arial"/>
                <w:sz w:val="20"/>
                <w:szCs w:val="20"/>
              </w:rPr>
              <w:t xml:space="preserve"> (2015)</w:t>
            </w:r>
            <w:r w:rsidR="00ED0FEB">
              <w:rPr>
                <w:rFonts w:ascii="Arial" w:hAnsi="Arial" w:cs="Arial"/>
                <w:sz w:val="20"/>
                <w:szCs w:val="20"/>
              </w:rPr>
              <w:t xml:space="preserve"> [6]</w:t>
            </w:r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</w:p>
        </w:tc>
        <w:tc>
          <w:tcPr>
            <w:tcW w:w="81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D131C" w:rsidRPr="00CD0E5C" w:rsidTr="00400A09">
        <w:trPr>
          <w:trHeight w:val="528"/>
          <w:jc w:val="center"/>
        </w:trPr>
        <w:tc>
          <w:tcPr>
            <w:tcW w:w="2023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5A0D58" w:rsidP="009A5554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</w:t>
            </w:r>
            <w:bookmarkStart w:id="0" w:name="_GoBack"/>
            <w:bookmarkEnd w:id="0"/>
            <w:r w:rsidR="00CB6475">
              <w:rPr>
                <w:rFonts w:ascii="Arial" w:hAnsi="Arial" w:cs="Arial"/>
                <w:sz w:val="20"/>
                <w:szCs w:val="20"/>
              </w:rPr>
              <w:t>n-Herna</w:t>
            </w:r>
            <w:r w:rsidR="009D131C" w:rsidRPr="00CD0E5C">
              <w:rPr>
                <w:rFonts w:ascii="Arial" w:hAnsi="Arial" w:cs="Arial"/>
                <w:sz w:val="20"/>
                <w:szCs w:val="20"/>
              </w:rPr>
              <w:t xml:space="preserve">ndez </w:t>
            </w:r>
            <w:r w:rsidR="009D131C" w:rsidRPr="00CB6475">
              <w:rPr>
                <w:rFonts w:ascii="Arial" w:hAnsi="Arial" w:cs="Arial"/>
                <w:sz w:val="20"/>
                <w:szCs w:val="20"/>
              </w:rPr>
              <w:t>et al.</w:t>
            </w:r>
            <w:r w:rsidR="009D131C" w:rsidRPr="00CD0E5C">
              <w:rPr>
                <w:rFonts w:ascii="Arial" w:hAnsi="Arial" w:cs="Arial"/>
                <w:sz w:val="20"/>
                <w:szCs w:val="20"/>
              </w:rPr>
              <w:t xml:space="preserve"> (201</w:t>
            </w:r>
            <w:r w:rsidR="009A5554">
              <w:rPr>
                <w:rFonts w:ascii="Arial" w:hAnsi="Arial" w:cs="Arial"/>
                <w:sz w:val="20"/>
                <w:szCs w:val="20"/>
              </w:rPr>
              <w:t>3</w:t>
            </w:r>
            <w:r w:rsidR="009D131C" w:rsidRPr="00CD0E5C">
              <w:rPr>
                <w:rFonts w:ascii="Arial" w:hAnsi="Arial" w:cs="Arial"/>
                <w:sz w:val="20"/>
                <w:szCs w:val="20"/>
              </w:rPr>
              <w:t>)</w:t>
            </w:r>
            <w:r w:rsidR="00ED0FEB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="009A5554">
              <w:rPr>
                <w:rFonts w:ascii="Arial" w:hAnsi="Arial" w:cs="Arial"/>
                <w:sz w:val="20"/>
                <w:szCs w:val="20"/>
              </w:rPr>
              <w:t>14</w:t>
            </w:r>
            <w:r w:rsidR="00ED0FE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</w:p>
        </w:tc>
        <w:tc>
          <w:tcPr>
            <w:tcW w:w="81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D131C" w:rsidRPr="00CD0E5C" w:rsidTr="00400A09">
        <w:trPr>
          <w:trHeight w:val="702"/>
          <w:jc w:val="center"/>
        </w:trPr>
        <w:tc>
          <w:tcPr>
            <w:tcW w:w="2023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B6475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</w:rPr>
              <w:t xml:space="preserve">Ozaki </w:t>
            </w:r>
            <w:r w:rsidRPr="00CB6475">
              <w:rPr>
                <w:rFonts w:ascii="Arial" w:hAnsi="Arial" w:cs="Arial"/>
                <w:sz w:val="20"/>
                <w:szCs w:val="20"/>
              </w:rPr>
              <w:t>et al.</w:t>
            </w:r>
          </w:p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</w:rPr>
              <w:t>(2013)</w:t>
            </w:r>
            <w:r w:rsidR="00ED0FEB">
              <w:rPr>
                <w:rFonts w:ascii="Arial" w:hAnsi="Arial" w:cs="Arial"/>
                <w:sz w:val="20"/>
                <w:szCs w:val="20"/>
              </w:rPr>
              <w:t xml:space="preserve"> [17]</w:t>
            </w:r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</w:p>
        </w:tc>
        <w:tc>
          <w:tcPr>
            <w:tcW w:w="81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D131C" w:rsidRPr="00CD0E5C" w:rsidTr="00400A09">
        <w:trPr>
          <w:trHeight w:val="683"/>
          <w:jc w:val="center"/>
        </w:trPr>
        <w:tc>
          <w:tcPr>
            <w:tcW w:w="2023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</w:rPr>
              <w:t xml:space="preserve">Thiebaud </w:t>
            </w:r>
            <w:r w:rsidRPr="00CB6475">
              <w:rPr>
                <w:rFonts w:ascii="Arial" w:hAnsi="Arial" w:cs="Arial"/>
                <w:sz w:val="20"/>
                <w:szCs w:val="20"/>
              </w:rPr>
              <w:t>et al.</w:t>
            </w:r>
            <w:r w:rsidRPr="00CD0E5C">
              <w:rPr>
                <w:rFonts w:ascii="Arial" w:hAnsi="Arial" w:cs="Arial"/>
                <w:sz w:val="20"/>
                <w:szCs w:val="20"/>
              </w:rPr>
              <w:t xml:space="preserve"> (2013)</w:t>
            </w:r>
            <w:r w:rsidR="00ED0FEB">
              <w:rPr>
                <w:rFonts w:ascii="Arial" w:hAnsi="Arial" w:cs="Arial"/>
                <w:sz w:val="20"/>
                <w:szCs w:val="20"/>
              </w:rPr>
              <w:t xml:space="preserve"> [18]</w:t>
            </w:r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</w:p>
        </w:tc>
        <w:tc>
          <w:tcPr>
            <w:tcW w:w="81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D131C" w:rsidRPr="00CD0E5C" w:rsidTr="00400A09">
        <w:trPr>
          <w:trHeight w:val="702"/>
          <w:jc w:val="center"/>
        </w:trPr>
        <w:tc>
          <w:tcPr>
            <w:tcW w:w="2023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B6475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</w:rPr>
              <w:t xml:space="preserve">Vechin </w:t>
            </w:r>
            <w:r w:rsidRPr="00CB6475">
              <w:rPr>
                <w:rFonts w:ascii="Arial" w:hAnsi="Arial" w:cs="Arial"/>
                <w:sz w:val="20"/>
                <w:szCs w:val="20"/>
              </w:rPr>
              <w:t xml:space="preserve">et al. </w:t>
            </w:r>
          </w:p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</w:rPr>
              <w:t>(2015)</w:t>
            </w:r>
            <w:r w:rsidR="00ED0FEB">
              <w:rPr>
                <w:rFonts w:ascii="Arial" w:hAnsi="Arial" w:cs="Arial"/>
                <w:sz w:val="20"/>
                <w:szCs w:val="20"/>
              </w:rPr>
              <w:t xml:space="preserve"> [7]</w:t>
            </w:r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</w:p>
        </w:tc>
        <w:tc>
          <w:tcPr>
            <w:tcW w:w="81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D131C" w:rsidRPr="00CD0E5C" w:rsidTr="00400A09">
        <w:trPr>
          <w:trHeight w:val="683"/>
          <w:jc w:val="center"/>
        </w:trPr>
        <w:tc>
          <w:tcPr>
            <w:tcW w:w="2023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B6475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</w:rPr>
              <w:t xml:space="preserve">Yasuda </w:t>
            </w:r>
            <w:r w:rsidRPr="00CB6475">
              <w:rPr>
                <w:rFonts w:ascii="Arial" w:hAnsi="Arial" w:cs="Arial"/>
                <w:sz w:val="20"/>
                <w:szCs w:val="20"/>
              </w:rPr>
              <w:t>et al.</w:t>
            </w:r>
          </w:p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</w:rPr>
              <w:t>(2011)</w:t>
            </w:r>
            <w:r w:rsidR="00ED0FEB">
              <w:rPr>
                <w:rFonts w:ascii="Arial" w:hAnsi="Arial" w:cs="Arial"/>
                <w:sz w:val="20"/>
                <w:szCs w:val="20"/>
              </w:rPr>
              <w:t xml:space="preserve"> [13]</w:t>
            </w:r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</w:p>
        </w:tc>
        <w:tc>
          <w:tcPr>
            <w:tcW w:w="81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</w:p>
        </w:tc>
        <w:tc>
          <w:tcPr>
            <w:tcW w:w="81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D131C" w:rsidRPr="00CD0E5C" w:rsidTr="00400A09">
        <w:trPr>
          <w:trHeight w:val="683"/>
          <w:jc w:val="center"/>
        </w:trPr>
        <w:tc>
          <w:tcPr>
            <w:tcW w:w="20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</w:rPr>
              <w:t xml:space="preserve">Yasuda </w:t>
            </w:r>
            <w:r w:rsidRPr="00CB6475">
              <w:rPr>
                <w:rFonts w:ascii="Arial" w:hAnsi="Arial" w:cs="Arial"/>
                <w:sz w:val="20"/>
                <w:szCs w:val="20"/>
              </w:rPr>
              <w:t>et al.</w:t>
            </w:r>
            <w:r w:rsidRPr="00CD0E5C">
              <w:rPr>
                <w:rFonts w:ascii="Arial" w:hAnsi="Arial" w:cs="Arial"/>
                <w:sz w:val="20"/>
                <w:szCs w:val="20"/>
              </w:rPr>
              <w:t xml:space="preserve"> (2011a)</w:t>
            </w:r>
            <w:r w:rsidR="00ED0FEB">
              <w:rPr>
                <w:rFonts w:ascii="Arial" w:hAnsi="Arial" w:cs="Arial"/>
                <w:sz w:val="20"/>
                <w:szCs w:val="20"/>
              </w:rPr>
              <w:t xml:space="preserve"> [21]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E5C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D131C" w:rsidRPr="00CD0E5C" w:rsidRDefault="009D131C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E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41744A" w:rsidRDefault="0041744A"/>
    <w:p w:rsidR="0041744A" w:rsidRPr="0041744A" w:rsidRDefault="006173FC" w:rsidP="0041744A">
      <w:pPr>
        <w:pStyle w:val="Standard"/>
        <w:spacing w:line="360" w:lineRule="auto"/>
        <w:ind w:left="-1134" w:right="-1277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Electronic supplementary material S1</w:t>
      </w:r>
      <w:r w:rsidR="0041744A" w:rsidRPr="0041744A">
        <w:rPr>
          <w:rFonts w:ascii="Arial" w:hAnsi="Arial" w:cs="Arial"/>
          <w:b/>
          <w:sz w:val="20"/>
          <w:lang w:val="en-US"/>
        </w:rPr>
        <w:t xml:space="preserve"> </w:t>
      </w:r>
      <w:r w:rsidR="0041744A" w:rsidRPr="0041744A">
        <w:rPr>
          <w:rFonts w:ascii="Arial" w:hAnsi="Arial" w:cs="Arial"/>
          <w:sz w:val="20"/>
          <w:lang w:val="en-US"/>
        </w:rPr>
        <w:t xml:space="preserve">Pedro’s scale. y: yes; n: no. 2 = subjects were randomly allocated to groups (in a crossover study, subjects were randomly allocated and order in which treatments were received; 3 = allocation was concealed; 4 = the groups were similar at baseline regarding the most important prognostic indicators; 5 = there was blinding of all subjects; 6 = there was blinding of all therapists who administered the therapy; 7 = there </w:t>
      </w:r>
      <w:r w:rsidR="00B750E4">
        <w:rPr>
          <w:rFonts w:ascii="Arial" w:hAnsi="Arial" w:cs="Arial"/>
          <w:sz w:val="20"/>
          <w:lang w:val="en-US"/>
        </w:rPr>
        <w:t>w</w:t>
      </w:r>
      <w:r w:rsidR="0041744A" w:rsidRPr="0041744A">
        <w:rPr>
          <w:rFonts w:ascii="Arial" w:hAnsi="Arial" w:cs="Arial"/>
          <w:sz w:val="20"/>
          <w:lang w:val="en-US"/>
        </w:rPr>
        <w:t xml:space="preserve">as blinding of all assessors who measured at least one key outcome; 8 = measures of at least one key outcome were obtained from more than 85% of the subjects initially allocated to groups; 9 = all subjects from whom outcome measures were available received the treatment or control condition as allocated or, where this was not the case, data for at least one key outcome </w:t>
      </w:r>
      <w:r w:rsidR="00B750E4">
        <w:rPr>
          <w:rFonts w:ascii="Arial" w:hAnsi="Arial" w:cs="Arial"/>
          <w:sz w:val="20"/>
          <w:lang w:val="en-US"/>
        </w:rPr>
        <w:t xml:space="preserve">were </w:t>
      </w:r>
      <w:r w:rsidR="0041744A" w:rsidRPr="0041744A">
        <w:rPr>
          <w:rFonts w:ascii="Arial" w:hAnsi="Arial" w:cs="Arial"/>
          <w:sz w:val="20"/>
          <w:lang w:val="en-US"/>
        </w:rPr>
        <w:t xml:space="preserve">analyzed by “intention to treat”; 10 = the results of between-group statistical comparisons </w:t>
      </w:r>
      <w:r w:rsidR="00B750E4">
        <w:rPr>
          <w:rFonts w:ascii="Arial" w:hAnsi="Arial" w:cs="Arial"/>
          <w:sz w:val="20"/>
          <w:lang w:val="en-US"/>
        </w:rPr>
        <w:t>were</w:t>
      </w:r>
      <w:r w:rsidR="0041744A" w:rsidRPr="0041744A">
        <w:rPr>
          <w:rFonts w:ascii="Arial" w:hAnsi="Arial" w:cs="Arial"/>
          <w:sz w:val="20"/>
          <w:lang w:val="en-US"/>
        </w:rPr>
        <w:t xml:space="preserve"> reported for at least one key outcome; 11 = the study provide</w:t>
      </w:r>
      <w:r w:rsidR="00B750E4">
        <w:rPr>
          <w:rFonts w:ascii="Arial" w:hAnsi="Arial" w:cs="Arial"/>
          <w:sz w:val="20"/>
          <w:lang w:val="en-US"/>
        </w:rPr>
        <w:t>d</w:t>
      </w:r>
      <w:r w:rsidR="0041744A" w:rsidRPr="0041744A">
        <w:rPr>
          <w:rFonts w:ascii="Arial" w:hAnsi="Arial" w:cs="Arial"/>
          <w:sz w:val="20"/>
          <w:lang w:val="en-US"/>
        </w:rPr>
        <w:t xml:space="preserve"> both point measures and measures of variability for at least one key outcome.</w:t>
      </w:r>
    </w:p>
    <w:p w:rsidR="0041744A" w:rsidRPr="0041744A" w:rsidRDefault="0041744A" w:rsidP="0041744A">
      <w:pPr>
        <w:ind w:left="-1134" w:right="-1277"/>
        <w:rPr>
          <w:rFonts w:ascii="Arial" w:hAnsi="Arial" w:cs="Arial"/>
          <w:lang w:val="en-US"/>
        </w:rPr>
      </w:pPr>
    </w:p>
    <w:p w:rsidR="0041744A" w:rsidRPr="0041744A" w:rsidRDefault="0041744A" w:rsidP="0041744A">
      <w:pPr>
        <w:ind w:left="-1134" w:right="-1277"/>
        <w:rPr>
          <w:sz w:val="16"/>
          <w:lang w:val="en-US"/>
        </w:rPr>
      </w:pPr>
    </w:p>
    <w:sectPr w:rsidR="0041744A" w:rsidRPr="004174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1C"/>
    <w:rsid w:val="00400A09"/>
    <w:rsid w:val="0041744A"/>
    <w:rsid w:val="005A0D58"/>
    <w:rsid w:val="006173FC"/>
    <w:rsid w:val="009A5554"/>
    <w:rsid w:val="009D131C"/>
    <w:rsid w:val="00B750E4"/>
    <w:rsid w:val="00CB6475"/>
    <w:rsid w:val="00CD0E5C"/>
    <w:rsid w:val="00ED0FEB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A6630-67D3-4580-BD2E-1A6BD655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131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0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link w:val="StandardChar"/>
    <w:rsid w:val="009D131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color w:val="00000A"/>
      <w:kern w:val="3"/>
      <w:sz w:val="24"/>
      <w:szCs w:val="24"/>
      <w:lang w:eastAsia="zh-CN" w:bidi="hi-IN"/>
    </w:rPr>
  </w:style>
  <w:style w:type="character" w:customStyle="1" w:styleId="StandardChar">
    <w:name w:val="Standard Char"/>
    <w:basedOn w:val="Fontepargpadro"/>
    <w:link w:val="Standard"/>
    <w:rsid w:val="009D131C"/>
    <w:rPr>
      <w:rFonts w:ascii="Liberation Serif" w:eastAsia="Noto Sans CJK SC Regular" w:hAnsi="Liberation Serif" w:cs="FreeSans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</dc:creator>
  <cp:keywords/>
  <dc:description/>
  <cp:lastModifiedBy>Mané</cp:lastModifiedBy>
  <cp:revision>10</cp:revision>
  <dcterms:created xsi:type="dcterms:W3CDTF">2017-02-20T19:03:00Z</dcterms:created>
  <dcterms:modified xsi:type="dcterms:W3CDTF">2017-09-09T21:00:00Z</dcterms:modified>
</cp:coreProperties>
</file>