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E4" w:rsidRPr="00386B3A" w:rsidRDefault="006051E4" w:rsidP="006051E4">
      <w:pPr>
        <w:spacing w:after="0"/>
        <w:rPr>
          <w:b/>
          <w:bCs/>
          <w:sz w:val="36"/>
          <w:szCs w:val="36"/>
          <w:highlight w:val="yellow"/>
        </w:rPr>
      </w:pPr>
      <w:r>
        <w:rPr>
          <w:b/>
          <w:bCs/>
          <w:sz w:val="36"/>
          <w:szCs w:val="36"/>
          <w:highlight w:val="yellow"/>
        </w:rPr>
        <w:t xml:space="preserve">Optic Nerve Thinning and Neurosensory Retinal </w:t>
      </w:r>
      <w:r w:rsidRPr="00386B3A">
        <w:rPr>
          <w:b/>
          <w:bCs/>
          <w:sz w:val="36"/>
          <w:szCs w:val="36"/>
          <w:highlight w:val="yellow"/>
        </w:rPr>
        <w:t>Degeneratio</w:t>
      </w:r>
      <w:r>
        <w:rPr>
          <w:b/>
          <w:bCs/>
          <w:sz w:val="36"/>
          <w:szCs w:val="36"/>
          <w:highlight w:val="yellow"/>
        </w:rPr>
        <w:t xml:space="preserve">n in the rTg4510 Mouse Model of </w:t>
      </w:r>
      <w:r w:rsidRPr="00386B3A">
        <w:rPr>
          <w:b/>
          <w:bCs/>
          <w:sz w:val="36"/>
          <w:szCs w:val="36"/>
          <w:highlight w:val="yellow"/>
        </w:rPr>
        <w:t>Frontotemporal De</w:t>
      </w:r>
      <w:r w:rsidR="00DC4A46">
        <w:rPr>
          <w:b/>
          <w:bCs/>
          <w:sz w:val="36"/>
          <w:szCs w:val="36"/>
          <w:highlight w:val="yellow"/>
        </w:rPr>
        <w:t>mentia</w:t>
      </w:r>
    </w:p>
    <w:p w:rsidR="00084314" w:rsidRPr="004B713F" w:rsidRDefault="00084314" w:rsidP="00084314">
      <w:pPr>
        <w:spacing w:after="0"/>
        <w:jc w:val="center"/>
        <w:rPr>
          <w:u w:val="single"/>
        </w:rPr>
      </w:pPr>
    </w:p>
    <w:p w:rsidR="00084314" w:rsidRPr="00FB3211" w:rsidRDefault="00084314" w:rsidP="00084314">
      <w:pPr>
        <w:spacing w:after="0"/>
        <w:jc w:val="both"/>
        <w:rPr>
          <w:b/>
          <w:iCs/>
        </w:rPr>
      </w:pPr>
      <w:r w:rsidRPr="007E7A60">
        <w:rPr>
          <w:rFonts w:cs="Arial"/>
          <w:b/>
          <w:noProof/>
        </w:rPr>
        <w:t>Ian F. Harrison</w:t>
      </w:r>
      <w:r w:rsidRPr="007E7A60">
        <w:rPr>
          <w:rFonts w:cs="Arial"/>
          <w:b/>
          <w:noProof/>
          <w:vertAlign w:val="superscript"/>
        </w:rPr>
        <w:t>1</w:t>
      </w:r>
      <w:r w:rsidRPr="007E7A60">
        <w:rPr>
          <w:rFonts w:cs="Arial"/>
          <w:b/>
          <w:noProof/>
        </w:rPr>
        <w:t>*</w:t>
      </w:r>
      <w:r w:rsidRPr="007E7A60">
        <w:rPr>
          <w:rFonts w:cs="Arial"/>
          <w:b/>
          <w:noProof/>
          <w:vertAlign w:val="superscript"/>
        </w:rPr>
        <w:t>†</w:t>
      </w:r>
      <w:r w:rsidRPr="007E7A60">
        <w:rPr>
          <w:rFonts w:cs="Arial"/>
          <w:b/>
          <w:noProof/>
        </w:rPr>
        <w:t>,</w:t>
      </w:r>
      <w:r w:rsidRPr="007E7A60">
        <w:rPr>
          <w:rFonts w:cs="Arial"/>
          <w:b/>
        </w:rPr>
        <w:t xml:space="preserve"> </w:t>
      </w:r>
      <w:proofErr w:type="spellStart"/>
      <w:r w:rsidRPr="007E7A60">
        <w:rPr>
          <w:rFonts w:cs="Arial"/>
          <w:b/>
        </w:rPr>
        <w:t>Rozalind</w:t>
      </w:r>
      <w:proofErr w:type="spellEnd"/>
      <w:r w:rsidRPr="007E7A60">
        <w:rPr>
          <w:rFonts w:cs="Arial"/>
          <w:b/>
        </w:rPr>
        <w:t xml:space="preserve"> Whitaker</w:t>
      </w:r>
      <w:r w:rsidRPr="007E7A60">
        <w:rPr>
          <w:rFonts w:cs="Arial"/>
          <w:b/>
          <w:vertAlign w:val="superscript"/>
        </w:rPr>
        <w:t>2</w:t>
      </w:r>
      <w:r w:rsidRPr="007E7A60">
        <w:rPr>
          <w:rFonts w:cs="Arial"/>
          <w:b/>
        </w:rPr>
        <w:t>*, Pietro Maria Bertelli</w:t>
      </w:r>
      <w:r w:rsidRPr="007E7A60">
        <w:rPr>
          <w:rFonts w:cs="Arial"/>
          <w:b/>
          <w:vertAlign w:val="superscript"/>
        </w:rPr>
        <w:t>2,4</w:t>
      </w:r>
      <w:r w:rsidRPr="007E7A60">
        <w:rPr>
          <w:rFonts w:cs="Arial"/>
          <w:b/>
        </w:rPr>
        <w:t>, James M. O’Callaghan</w:t>
      </w:r>
      <w:r w:rsidRPr="007E7A60">
        <w:rPr>
          <w:rFonts w:cs="Arial"/>
          <w:b/>
          <w:vertAlign w:val="superscript"/>
        </w:rPr>
        <w:t>1</w:t>
      </w:r>
      <w:r w:rsidRPr="007E7A60">
        <w:rPr>
          <w:rFonts w:cs="Arial"/>
          <w:b/>
        </w:rPr>
        <w:t>, Lajos Csincsik</w:t>
      </w:r>
      <w:r w:rsidRPr="007E7A60">
        <w:rPr>
          <w:rFonts w:cs="Arial"/>
          <w:b/>
          <w:vertAlign w:val="superscript"/>
        </w:rPr>
        <w:t>2,4</w:t>
      </w:r>
      <w:r w:rsidRPr="007E7A60">
        <w:rPr>
          <w:rFonts w:cs="Arial"/>
          <w:b/>
        </w:rPr>
        <w:t>, Martina Bocchetta</w:t>
      </w:r>
      <w:r w:rsidRPr="007E7A60">
        <w:rPr>
          <w:rFonts w:cs="Arial"/>
          <w:b/>
          <w:vertAlign w:val="superscript"/>
        </w:rPr>
        <w:t>3</w:t>
      </w:r>
      <w:r w:rsidRPr="007E7A60">
        <w:rPr>
          <w:rFonts w:cs="Arial"/>
          <w:b/>
        </w:rPr>
        <w:t>, Da Ma</w:t>
      </w:r>
      <w:r w:rsidRPr="007E7A60">
        <w:rPr>
          <w:rFonts w:cs="Arial"/>
          <w:b/>
          <w:vertAlign w:val="superscript"/>
        </w:rPr>
        <w:t>1</w:t>
      </w:r>
      <w:r>
        <w:rPr>
          <w:rFonts w:cs="Arial"/>
          <w:b/>
          <w:vertAlign w:val="superscript"/>
        </w:rPr>
        <w:t>,5</w:t>
      </w:r>
      <w:r w:rsidRPr="007E7A60">
        <w:rPr>
          <w:rFonts w:cs="Arial"/>
          <w:b/>
        </w:rPr>
        <w:t>, Alice Fisher</w:t>
      </w:r>
      <w:r>
        <w:rPr>
          <w:rFonts w:cs="Arial"/>
          <w:b/>
          <w:vertAlign w:val="superscript"/>
        </w:rPr>
        <w:t>6</w:t>
      </w:r>
      <w:r w:rsidRPr="007E7A60">
        <w:rPr>
          <w:rFonts w:cs="Arial"/>
          <w:b/>
        </w:rPr>
        <w:t xml:space="preserve">, </w:t>
      </w:r>
      <w:proofErr w:type="spellStart"/>
      <w:r w:rsidRPr="007E7A60">
        <w:rPr>
          <w:rFonts w:cs="Arial"/>
          <w:b/>
        </w:rPr>
        <w:t>Zeshan</w:t>
      </w:r>
      <w:proofErr w:type="spellEnd"/>
      <w:r w:rsidRPr="007E7A60">
        <w:rPr>
          <w:rFonts w:cs="Arial"/>
          <w:b/>
        </w:rPr>
        <w:t xml:space="preserve"> Ahmed</w:t>
      </w:r>
      <w:r>
        <w:rPr>
          <w:rFonts w:cs="Arial"/>
          <w:b/>
          <w:vertAlign w:val="superscript"/>
        </w:rPr>
        <w:t>6</w:t>
      </w:r>
      <w:r w:rsidRPr="007E7A60">
        <w:rPr>
          <w:rFonts w:cs="Arial"/>
          <w:b/>
        </w:rPr>
        <w:t>, Tracey K Murray</w:t>
      </w:r>
      <w:r>
        <w:rPr>
          <w:rFonts w:cs="Arial"/>
          <w:b/>
          <w:vertAlign w:val="superscript"/>
        </w:rPr>
        <w:t>6</w:t>
      </w:r>
      <w:r w:rsidRPr="007E7A60">
        <w:rPr>
          <w:rFonts w:cs="Arial"/>
          <w:b/>
        </w:rPr>
        <w:t>, Michael J O'Neill</w:t>
      </w:r>
      <w:r>
        <w:rPr>
          <w:rFonts w:cs="Arial"/>
          <w:b/>
          <w:vertAlign w:val="superscript"/>
        </w:rPr>
        <w:t>6</w:t>
      </w:r>
      <w:r w:rsidRPr="007E7A60">
        <w:rPr>
          <w:rFonts w:cs="Arial"/>
          <w:b/>
        </w:rPr>
        <w:t>, Jonathan D. Rohrer</w:t>
      </w:r>
      <w:r w:rsidRPr="007E7A60">
        <w:rPr>
          <w:rFonts w:cs="Arial"/>
          <w:b/>
          <w:vertAlign w:val="superscript"/>
        </w:rPr>
        <w:t>3</w:t>
      </w:r>
      <w:r w:rsidRPr="007E7A60">
        <w:rPr>
          <w:rFonts w:cs="Arial"/>
          <w:b/>
        </w:rPr>
        <w:t>, Mark F. Lythgoe</w:t>
      </w:r>
      <w:r w:rsidRPr="007E7A60">
        <w:rPr>
          <w:rFonts w:cs="Arial"/>
          <w:b/>
          <w:noProof/>
          <w:vertAlign w:val="superscript"/>
        </w:rPr>
        <w:t>1</w:t>
      </w:r>
      <w:r w:rsidRPr="007E7A60">
        <w:rPr>
          <w:b/>
          <w:iCs/>
          <w:vertAlign w:val="superscript"/>
        </w:rPr>
        <w:t>ǂ</w:t>
      </w:r>
      <w:r w:rsidRPr="007E7A60">
        <w:rPr>
          <w:rFonts w:cs="Arial"/>
          <w:b/>
        </w:rPr>
        <w:t xml:space="preserve">, </w:t>
      </w:r>
      <w:proofErr w:type="spellStart"/>
      <w:r w:rsidRPr="007E7A60">
        <w:rPr>
          <w:rFonts w:cs="Arial"/>
          <w:b/>
        </w:rPr>
        <w:t>Imre</w:t>
      </w:r>
      <w:proofErr w:type="spellEnd"/>
      <w:r w:rsidRPr="007E7A60">
        <w:rPr>
          <w:rFonts w:cs="Arial"/>
          <w:b/>
        </w:rPr>
        <w:t xml:space="preserve"> Lengyel</w:t>
      </w:r>
      <w:r w:rsidRPr="007E7A60">
        <w:rPr>
          <w:rFonts w:cs="Arial"/>
          <w:b/>
          <w:vertAlign w:val="superscript"/>
        </w:rPr>
        <w:t>2,4</w:t>
      </w:r>
      <w:r w:rsidRPr="007E7A60">
        <w:rPr>
          <w:b/>
          <w:iCs/>
          <w:vertAlign w:val="superscript"/>
        </w:rPr>
        <w:t>ǂ</w:t>
      </w:r>
    </w:p>
    <w:p w:rsidR="00084314" w:rsidRPr="001767B1" w:rsidRDefault="00084314" w:rsidP="00084314">
      <w:pPr>
        <w:pStyle w:val="BodyText"/>
        <w:spacing w:line="276" w:lineRule="auto"/>
        <w:rPr>
          <w:rFonts w:asciiTheme="minorHAnsi" w:hAnsiTheme="minorHAnsi" w:cs="Arial"/>
          <w:i/>
          <w:iCs/>
          <w:sz w:val="20"/>
          <w:szCs w:val="18"/>
          <w:lang w:val="en-GB"/>
        </w:rPr>
      </w:pPr>
    </w:p>
    <w:p w:rsidR="00084314" w:rsidRPr="001767B1" w:rsidRDefault="00084314" w:rsidP="00084314">
      <w:pPr>
        <w:pStyle w:val="BodyText"/>
        <w:spacing w:line="276" w:lineRule="auto"/>
        <w:ind w:left="720" w:hanging="720"/>
        <w:rPr>
          <w:rFonts w:asciiTheme="minorHAnsi" w:hAnsiTheme="minorHAnsi"/>
          <w:sz w:val="28"/>
        </w:rPr>
      </w:pPr>
      <w:r>
        <w:rPr>
          <w:rFonts w:asciiTheme="minorHAnsi" w:hAnsiTheme="minorHAnsi" w:cs="Arial"/>
          <w:i/>
          <w:iCs/>
          <w:sz w:val="20"/>
          <w:szCs w:val="18"/>
          <w:lang w:val="en-GB"/>
        </w:rPr>
        <w:t>(1)</w:t>
      </w:r>
      <w:r>
        <w:rPr>
          <w:rFonts w:asciiTheme="minorHAnsi" w:hAnsiTheme="minorHAnsi" w:cs="Arial"/>
          <w:i/>
          <w:iCs/>
          <w:sz w:val="20"/>
          <w:szCs w:val="18"/>
          <w:lang w:val="en-GB"/>
        </w:rPr>
        <w:tab/>
        <w:t>U</w:t>
      </w:r>
      <w:r w:rsidRPr="001767B1">
        <w:rPr>
          <w:rFonts w:asciiTheme="minorHAnsi" w:hAnsiTheme="minorHAnsi" w:cs="Arial"/>
          <w:i/>
          <w:iCs/>
          <w:sz w:val="20"/>
          <w:szCs w:val="18"/>
        </w:rPr>
        <w:t>CL Centre for Advanced Biomedical Imaging, Division of Medicine, U</w:t>
      </w:r>
      <w:r w:rsidRPr="001767B1">
        <w:rPr>
          <w:rFonts w:asciiTheme="minorHAnsi" w:hAnsiTheme="minorHAnsi" w:cs="Arial"/>
          <w:i/>
          <w:iCs/>
          <w:sz w:val="20"/>
          <w:szCs w:val="18"/>
          <w:lang w:val="en-GB"/>
        </w:rPr>
        <w:t>niversity College London</w:t>
      </w:r>
      <w:r w:rsidRPr="001767B1">
        <w:rPr>
          <w:rFonts w:asciiTheme="minorHAnsi" w:hAnsiTheme="minorHAnsi" w:cs="Arial"/>
          <w:i/>
          <w:iCs/>
          <w:sz w:val="20"/>
          <w:szCs w:val="18"/>
        </w:rPr>
        <w:t xml:space="preserve">, </w:t>
      </w:r>
      <w:r w:rsidRPr="001767B1">
        <w:rPr>
          <w:rFonts w:asciiTheme="minorHAnsi" w:hAnsiTheme="minorHAnsi" w:cs="Arial"/>
          <w:i/>
          <w:iCs/>
          <w:sz w:val="20"/>
          <w:szCs w:val="18"/>
          <w:lang w:val="en-GB"/>
        </w:rPr>
        <w:t xml:space="preserve">Paul O’Gorman Building, </w:t>
      </w:r>
      <w:r w:rsidRPr="001767B1">
        <w:rPr>
          <w:rFonts w:asciiTheme="minorHAnsi" w:hAnsiTheme="minorHAnsi" w:cs="Arial"/>
          <w:i/>
          <w:iCs/>
          <w:sz w:val="20"/>
          <w:szCs w:val="18"/>
        </w:rPr>
        <w:t>72 Huntley Street, London</w:t>
      </w:r>
      <w:r>
        <w:rPr>
          <w:rFonts w:asciiTheme="minorHAnsi" w:hAnsiTheme="minorHAnsi" w:cs="Arial"/>
          <w:i/>
          <w:iCs/>
          <w:sz w:val="20"/>
          <w:szCs w:val="18"/>
          <w:lang w:val="en-GB"/>
        </w:rPr>
        <w:t>,</w:t>
      </w:r>
      <w:r w:rsidRPr="001767B1">
        <w:rPr>
          <w:rFonts w:asciiTheme="minorHAnsi" w:hAnsiTheme="minorHAnsi" w:cs="Arial"/>
          <w:i/>
          <w:iCs/>
          <w:sz w:val="20"/>
          <w:szCs w:val="18"/>
        </w:rPr>
        <w:t xml:space="preserve"> WC1E 6DD, UK</w:t>
      </w:r>
      <w:r w:rsidRPr="001767B1">
        <w:rPr>
          <w:rFonts w:asciiTheme="minorHAnsi" w:hAnsiTheme="minorHAnsi" w:cs="Arial"/>
          <w:i/>
          <w:iCs/>
          <w:sz w:val="20"/>
          <w:szCs w:val="18"/>
          <w:lang w:val="en-GB"/>
        </w:rPr>
        <w:t>.</w:t>
      </w:r>
    </w:p>
    <w:p w:rsidR="00084314" w:rsidRPr="001767B1" w:rsidRDefault="00084314" w:rsidP="00084314">
      <w:pPr>
        <w:pStyle w:val="BodyText"/>
        <w:spacing w:line="276" w:lineRule="auto"/>
        <w:ind w:left="720" w:hanging="720"/>
        <w:rPr>
          <w:rFonts w:asciiTheme="minorHAnsi" w:hAnsiTheme="minorHAnsi"/>
          <w:sz w:val="28"/>
        </w:rPr>
      </w:pPr>
      <w:r w:rsidRPr="00FB3211">
        <w:rPr>
          <w:rFonts w:asciiTheme="minorHAnsi" w:hAnsiTheme="minorHAnsi" w:cs="Arial"/>
          <w:i/>
          <w:iCs/>
          <w:sz w:val="20"/>
          <w:szCs w:val="18"/>
          <w:lang w:val="en-GB"/>
        </w:rPr>
        <w:t>(2)</w:t>
      </w:r>
      <w:r>
        <w:rPr>
          <w:rFonts w:asciiTheme="minorHAnsi" w:hAnsiTheme="minorHAnsi" w:cs="Arial"/>
          <w:iCs/>
          <w:sz w:val="20"/>
          <w:szCs w:val="18"/>
          <w:vertAlign w:val="superscript"/>
        </w:rPr>
        <w:tab/>
      </w:r>
      <w:r w:rsidRPr="001767B1">
        <w:rPr>
          <w:rFonts w:asciiTheme="minorHAnsi" w:hAnsiTheme="minorHAnsi" w:cs="Arial"/>
          <w:i/>
          <w:iCs/>
          <w:sz w:val="20"/>
          <w:szCs w:val="18"/>
        </w:rPr>
        <w:t>UCL Institute of Ophthalmology, University College London, 11-43 Bath Street, London, EC1V 9EL, UK.</w:t>
      </w:r>
    </w:p>
    <w:p w:rsidR="00084314" w:rsidRPr="001767B1" w:rsidRDefault="00084314" w:rsidP="00084314">
      <w:pPr>
        <w:pStyle w:val="BodyText"/>
        <w:spacing w:line="276" w:lineRule="auto"/>
        <w:ind w:left="720" w:hanging="720"/>
        <w:rPr>
          <w:rFonts w:asciiTheme="minorHAnsi" w:hAnsiTheme="minorHAnsi" w:cs="Arial"/>
          <w:i/>
          <w:iCs/>
          <w:sz w:val="20"/>
          <w:szCs w:val="18"/>
        </w:rPr>
      </w:pPr>
      <w:r>
        <w:rPr>
          <w:rFonts w:asciiTheme="minorHAnsi" w:hAnsiTheme="minorHAnsi" w:cs="Arial"/>
          <w:i/>
          <w:iCs/>
          <w:sz w:val="20"/>
          <w:szCs w:val="18"/>
          <w:lang w:val="en-GB"/>
        </w:rPr>
        <w:t>(</w:t>
      </w:r>
      <w:r w:rsidRPr="00FB3211">
        <w:rPr>
          <w:rFonts w:asciiTheme="minorHAnsi" w:hAnsiTheme="minorHAnsi" w:cs="Arial"/>
          <w:i/>
          <w:iCs/>
          <w:sz w:val="20"/>
          <w:szCs w:val="18"/>
          <w:lang w:val="en-GB"/>
        </w:rPr>
        <w:t>3</w:t>
      </w:r>
      <w:r>
        <w:rPr>
          <w:rFonts w:asciiTheme="minorHAnsi" w:hAnsiTheme="minorHAnsi" w:cs="Arial"/>
          <w:i/>
          <w:iCs/>
          <w:sz w:val="20"/>
          <w:szCs w:val="18"/>
          <w:lang w:val="en-GB"/>
        </w:rPr>
        <w:t>)</w:t>
      </w:r>
      <w:r w:rsidRPr="001767B1">
        <w:rPr>
          <w:rFonts w:asciiTheme="minorHAnsi" w:hAnsiTheme="minorHAnsi" w:cs="Arial"/>
          <w:i/>
          <w:iCs/>
          <w:sz w:val="20"/>
          <w:szCs w:val="18"/>
          <w:vertAlign w:val="superscript"/>
          <w:lang w:val="en-GB"/>
        </w:rPr>
        <w:tab/>
      </w:r>
      <w:r w:rsidRPr="001767B1">
        <w:rPr>
          <w:rFonts w:asciiTheme="minorHAnsi" w:hAnsiTheme="minorHAnsi" w:cs="Arial"/>
          <w:i/>
          <w:iCs/>
          <w:sz w:val="20"/>
          <w:szCs w:val="18"/>
        </w:rPr>
        <w:t>Dementia Research Centre, UCL Institute of Neurology, University College London, National Hospital for Neurology and Neurosurgery, London, WC1N 3BG, UK.</w:t>
      </w:r>
    </w:p>
    <w:p w:rsidR="00084314" w:rsidRPr="00984A4B" w:rsidRDefault="00084314" w:rsidP="00084314">
      <w:pPr>
        <w:pStyle w:val="BodyText"/>
        <w:spacing w:line="276" w:lineRule="auto"/>
        <w:rPr>
          <w:rFonts w:asciiTheme="minorHAnsi" w:hAnsiTheme="minorHAnsi" w:cs="Arial"/>
          <w:i/>
          <w:iCs/>
          <w:sz w:val="20"/>
          <w:szCs w:val="18"/>
          <w:lang w:val="en-GB"/>
        </w:rPr>
      </w:pPr>
      <w:r>
        <w:rPr>
          <w:rFonts w:asciiTheme="minorHAnsi" w:hAnsiTheme="minorHAnsi" w:cs="Arial"/>
          <w:i/>
          <w:iCs/>
          <w:sz w:val="20"/>
          <w:szCs w:val="18"/>
          <w:lang w:val="en-GB"/>
        </w:rPr>
        <w:t>(</w:t>
      </w:r>
      <w:r w:rsidRPr="00FB3211">
        <w:rPr>
          <w:rFonts w:asciiTheme="minorHAnsi" w:hAnsiTheme="minorHAnsi" w:cs="Arial"/>
          <w:i/>
          <w:iCs/>
          <w:sz w:val="20"/>
          <w:szCs w:val="18"/>
          <w:lang w:val="en-GB"/>
        </w:rPr>
        <w:t>4</w:t>
      </w:r>
      <w:r>
        <w:rPr>
          <w:rFonts w:asciiTheme="minorHAnsi" w:hAnsiTheme="minorHAnsi" w:cs="Arial"/>
          <w:i/>
          <w:iCs/>
          <w:sz w:val="20"/>
          <w:szCs w:val="18"/>
          <w:lang w:val="en-GB"/>
        </w:rPr>
        <w:t>)</w:t>
      </w:r>
      <w:r w:rsidRPr="001767B1">
        <w:rPr>
          <w:rFonts w:asciiTheme="minorHAnsi" w:hAnsiTheme="minorHAnsi" w:cstheme="minorBidi"/>
          <w:sz w:val="20"/>
          <w:szCs w:val="18"/>
          <w:lang w:val="en-GB"/>
        </w:rPr>
        <w:tab/>
      </w:r>
      <w:r w:rsidRPr="007E7A60">
        <w:rPr>
          <w:rFonts w:asciiTheme="minorHAnsi" w:hAnsiTheme="minorHAnsi" w:cs="Arial"/>
          <w:i/>
          <w:iCs/>
          <w:sz w:val="20"/>
          <w:szCs w:val="18"/>
        </w:rPr>
        <w:t xml:space="preserve">Centre for Experimental Medicine, The Queen’s University Belfast, </w:t>
      </w:r>
      <w:proofErr w:type="gramStart"/>
      <w:r>
        <w:rPr>
          <w:rFonts w:asciiTheme="minorHAnsi" w:hAnsiTheme="minorHAnsi" w:cs="Arial"/>
          <w:i/>
          <w:iCs/>
          <w:sz w:val="20"/>
          <w:szCs w:val="18"/>
          <w:lang w:val="en-GB"/>
        </w:rPr>
        <w:t>Belfast</w:t>
      </w:r>
      <w:proofErr w:type="gramEnd"/>
      <w:r>
        <w:rPr>
          <w:rFonts w:asciiTheme="minorHAnsi" w:hAnsiTheme="minorHAnsi" w:cs="Arial"/>
          <w:i/>
          <w:iCs/>
          <w:sz w:val="20"/>
          <w:szCs w:val="18"/>
          <w:lang w:val="en-GB"/>
        </w:rPr>
        <w:t xml:space="preserve">, </w:t>
      </w:r>
      <w:r w:rsidRPr="007E7A60">
        <w:rPr>
          <w:rFonts w:asciiTheme="minorHAnsi" w:hAnsiTheme="minorHAnsi" w:cs="Arial"/>
          <w:i/>
          <w:iCs/>
          <w:sz w:val="20"/>
          <w:szCs w:val="18"/>
        </w:rPr>
        <w:t>BT9 7BL, UK</w:t>
      </w:r>
      <w:r>
        <w:rPr>
          <w:rFonts w:asciiTheme="minorHAnsi" w:hAnsiTheme="minorHAnsi" w:cs="Arial"/>
          <w:i/>
          <w:iCs/>
          <w:sz w:val="20"/>
          <w:szCs w:val="18"/>
          <w:lang w:val="en-GB"/>
        </w:rPr>
        <w:t>.</w:t>
      </w:r>
    </w:p>
    <w:p w:rsidR="00084314" w:rsidRPr="00984A4B" w:rsidRDefault="00084314" w:rsidP="00084314">
      <w:pPr>
        <w:pStyle w:val="BodyText"/>
        <w:ind w:left="720" w:hanging="720"/>
        <w:rPr>
          <w:rFonts w:asciiTheme="minorHAnsi" w:hAnsiTheme="minorHAnsi" w:cs="Arial"/>
          <w:i/>
          <w:iCs/>
          <w:sz w:val="20"/>
          <w:szCs w:val="18"/>
          <w:lang w:val="en-GB"/>
        </w:rPr>
      </w:pPr>
      <w:r>
        <w:rPr>
          <w:rFonts w:asciiTheme="minorHAnsi" w:hAnsiTheme="minorHAnsi" w:cs="Arial"/>
          <w:i/>
          <w:iCs/>
          <w:sz w:val="20"/>
          <w:szCs w:val="18"/>
          <w:lang w:val="en-GB"/>
        </w:rPr>
        <w:t>(5)</w:t>
      </w:r>
      <w:r>
        <w:rPr>
          <w:rFonts w:asciiTheme="minorHAnsi" w:hAnsiTheme="minorHAnsi" w:cs="Arial"/>
          <w:i/>
          <w:iCs/>
          <w:sz w:val="20"/>
          <w:szCs w:val="18"/>
          <w:lang w:val="en-GB"/>
        </w:rPr>
        <w:tab/>
        <w:t xml:space="preserve">School of Engineering Science, Simon Fraser University, 8888 University Drive, Burnaby BC, </w:t>
      </w:r>
      <w:r w:rsidRPr="00984A4B">
        <w:rPr>
          <w:rFonts w:asciiTheme="minorHAnsi" w:hAnsiTheme="minorHAnsi" w:cs="Arial"/>
          <w:i/>
          <w:iCs/>
          <w:sz w:val="20"/>
          <w:szCs w:val="18"/>
          <w:lang w:val="en-GB"/>
        </w:rPr>
        <w:t>V5A 1S6</w:t>
      </w:r>
      <w:r>
        <w:rPr>
          <w:rFonts w:asciiTheme="minorHAnsi" w:hAnsiTheme="minorHAnsi" w:cs="Arial"/>
          <w:i/>
          <w:iCs/>
          <w:sz w:val="20"/>
          <w:szCs w:val="18"/>
          <w:lang w:val="en-GB"/>
        </w:rPr>
        <w:t>, Canada.</w:t>
      </w:r>
    </w:p>
    <w:p w:rsidR="00084314" w:rsidRDefault="00084314" w:rsidP="00084314">
      <w:pPr>
        <w:spacing w:after="0"/>
        <w:rPr>
          <w:rFonts w:eastAsia="Times New Roman" w:cs="Arial"/>
          <w:i/>
          <w:iCs/>
          <w:sz w:val="20"/>
          <w:szCs w:val="18"/>
          <w:lang w:val="x-none"/>
        </w:rPr>
      </w:pPr>
      <w:r>
        <w:rPr>
          <w:rFonts w:eastAsia="Times New Roman" w:cs="Arial"/>
          <w:i/>
          <w:iCs/>
          <w:sz w:val="20"/>
          <w:szCs w:val="18"/>
        </w:rPr>
        <w:t>(</w:t>
      </w:r>
      <w:r w:rsidRPr="00FB3211">
        <w:rPr>
          <w:rFonts w:eastAsia="Times New Roman" w:cs="Arial"/>
          <w:i/>
          <w:iCs/>
          <w:sz w:val="20"/>
          <w:szCs w:val="18"/>
        </w:rPr>
        <w:t>5</w:t>
      </w:r>
      <w:r>
        <w:rPr>
          <w:rFonts w:eastAsia="Times New Roman" w:cs="Arial"/>
          <w:i/>
          <w:iCs/>
          <w:sz w:val="20"/>
          <w:szCs w:val="18"/>
        </w:rPr>
        <w:t>)</w:t>
      </w:r>
      <w:r w:rsidRPr="00FB3211">
        <w:rPr>
          <w:rFonts w:eastAsia="Times New Roman" w:cs="Arial"/>
          <w:i/>
          <w:iCs/>
          <w:sz w:val="20"/>
          <w:szCs w:val="18"/>
        </w:rPr>
        <w:tab/>
      </w:r>
      <w:r w:rsidRPr="007E7A60">
        <w:rPr>
          <w:rFonts w:eastAsia="Times New Roman" w:cs="Arial"/>
          <w:i/>
          <w:iCs/>
          <w:sz w:val="20"/>
          <w:szCs w:val="18"/>
          <w:lang w:val="x-none"/>
        </w:rPr>
        <w:t xml:space="preserve">Eli Lilly and Company, </w:t>
      </w:r>
      <w:proofErr w:type="spellStart"/>
      <w:r w:rsidRPr="007E7A60">
        <w:rPr>
          <w:rFonts w:eastAsia="Times New Roman" w:cs="Arial"/>
          <w:i/>
          <w:iCs/>
          <w:sz w:val="20"/>
          <w:szCs w:val="18"/>
          <w:lang w:val="x-none"/>
        </w:rPr>
        <w:t>Erl</w:t>
      </w:r>
      <w:proofErr w:type="spellEnd"/>
      <w:r w:rsidRPr="007E7A60">
        <w:rPr>
          <w:rFonts w:eastAsia="Times New Roman" w:cs="Arial"/>
          <w:i/>
          <w:iCs/>
          <w:sz w:val="20"/>
          <w:szCs w:val="18"/>
          <w:lang w:val="x-none"/>
        </w:rPr>
        <w:t xml:space="preserve"> Wood Manor, </w:t>
      </w:r>
      <w:proofErr w:type="spellStart"/>
      <w:r w:rsidRPr="007E7A60">
        <w:rPr>
          <w:rFonts w:eastAsia="Times New Roman" w:cs="Arial"/>
          <w:i/>
          <w:iCs/>
          <w:sz w:val="20"/>
          <w:szCs w:val="18"/>
          <w:lang w:val="x-none"/>
        </w:rPr>
        <w:t>Windlesham</w:t>
      </w:r>
      <w:proofErr w:type="spellEnd"/>
      <w:r w:rsidRPr="007E7A60">
        <w:rPr>
          <w:rFonts w:eastAsia="Times New Roman" w:cs="Arial"/>
          <w:i/>
          <w:iCs/>
          <w:sz w:val="20"/>
          <w:szCs w:val="18"/>
          <w:lang w:val="x-none"/>
        </w:rPr>
        <w:t xml:space="preserve">, </w:t>
      </w:r>
      <w:r w:rsidRPr="00984A4B">
        <w:rPr>
          <w:rFonts w:eastAsia="Times New Roman" w:cs="Arial"/>
          <w:i/>
          <w:iCs/>
          <w:sz w:val="20"/>
          <w:szCs w:val="18"/>
        </w:rPr>
        <w:t>Surrey, GU20 6PH, UK</w:t>
      </w:r>
      <w:r>
        <w:rPr>
          <w:rFonts w:eastAsia="Times New Roman" w:cs="Arial"/>
          <w:i/>
          <w:iCs/>
          <w:sz w:val="20"/>
          <w:szCs w:val="18"/>
        </w:rPr>
        <w:t>.</w:t>
      </w:r>
    </w:p>
    <w:p w:rsidR="00084314" w:rsidRPr="00500856" w:rsidRDefault="00084314" w:rsidP="00084314">
      <w:pPr>
        <w:spacing w:after="0"/>
        <w:rPr>
          <w:sz w:val="20"/>
          <w:szCs w:val="24"/>
        </w:rPr>
      </w:pPr>
    </w:p>
    <w:p w:rsidR="00084314" w:rsidRPr="001767B1" w:rsidRDefault="00084314" w:rsidP="00084314">
      <w:pPr>
        <w:pStyle w:val="BodyText"/>
        <w:spacing w:line="276" w:lineRule="auto"/>
        <w:rPr>
          <w:rFonts w:asciiTheme="minorHAnsi" w:hAnsiTheme="minorHAnsi"/>
          <w:sz w:val="28"/>
        </w:rPr>
      </w:pPr>
      <w:r w:rsidRPr="007E7A60">
        <w:rPr>
          <w:rFonts w:asciiTheme="minorHAnsi" w:hAnsiTheme="minorHAnsi" w:cs="Arial"/>
          <w:iCs/>
          <w:sz w:val="20"/>
          <w:szCs w:val="18"/>
          <w:lang w:val="en-GB"/>
        </w:rPr>
        <w:t>*</w:t>
      </w:r>
      <w:r w:rsidRPr="001767B1">
        <w:rPr>
          <w:rFonts w:asciiTheme="minorHAnsi" w:hAnsiTheme="minorHAnsi" w:cs="Arial"/>
          <w:i/>
          <w:iCs/>
          <w:sz w:val="20"/>
          <w:szCs w:val="18"/>
          <w:lang w:val="en-GB"/>
        </w:rPr>
        <w:tab/>
        <w:t>Joint first authors</w:t>
      </w:r>
    </w:p>
    <w:p w:rsidR="00084314" w:rsidRDefault="00084314" w:rsidP="00084314">
      <w:pPr>
        <w:pStyle w:val="BodyText"/>
        <w:spacing w:line="276" w:lineRule="auto"/>
        <w:rPr>
          <w:rFonts w:asciiTheme="minorHAnsi" w:hAnsiTheme="minorHAnsi" w:cs="Arial"/>
          <w:i/>
          <w:iCs/>
          <w:sz w:val="20"/>
          <w:szCs w:val="18"/>
          <w:lang w:val="en-GB"/>
        </w:rPr>
      </w:pPr>
      <w:r w:rsidRPr="007E7A60">
        <w:rPr>
          <w:rFonts w:asciiTheme="minorHAnsi" w:hAnsiTheme="minorHAnsi" w:cstheme="minorBidi"/>
          <w:iCs/>
          <w:sz w:val="20"/>
          <w:szCs w:val="18"/>
          <w:vertAlign w:val="superscript"/>
          <w:lang w:val="en-GB"/>
        </w:rPr>
        <w:t>ǂ</w:t>
      </w:r>
      <w:r w:rsidRPr="001767B1">
        <w:rPr>
          <w:rFonts w:asciiTheme="minorHAnsi" w:hAnsiTheme="minorHAnsi" w:cs="Arial"/>
          <w:i/>
          <w:iCs/>
          <w:sz w:val="20"/>
          <w:szCs w:val="18"/>
          <w:lang w:val="en-GB"/>
        </w:rPr>
        <w:tab/>
        <w:t>Joint senior authors</w:t>
      </w:r>
    </w:p>
    <w:p w:rsidR="00084314" w:rsidRPr="001767B1" w:rsidRDefault="00084314" w:rsidP="00084314">
      <w:pPr>
        <w:pStyle w:val="BodyText"/>
        <w:spacing w:line="276" w:lineRule="auto"/>
        <w:rPr>
          <w:rFonts w:asciiTheme="minorHAnsi" w:hAnsiTheme="minorHAnsi" w:cs="Arial"/>
          <w:i/>
          <w:iCs/>
          <w:sz w:val="20"/>
          <w:szCs w:val="18"/>
          <w:lang w:val="en-GB"/>
        </w:rPr>
      </w:pPr>
    </w:p>
    <w:p w:rsidR="00084314" w:rsidRDefault="00084314" w:rsidP="00084314">
      <w:pPr>
        <w:spacing w:after="0"/>
        <w:rPr>
          <w:sz w:val="20"/>
          <w:szCs w:val="24"/>
        </w:rPr>
      </w:pPr>
      <w:r w:rsidRPr="00C96AC8">
        <w:rPr>
          <w:sz w:val="20"/>
          <w:szCs w:val="24"/>
        </w:rPr>
        <w:t>†</w:t>
      </w:r>
      <w:r w:rsidRPr="001767B1">
        <w:rPr>
          <w:rFonts w:cs="Arial"/>
          <w:sz w:val="20"/>
          <w:vertAlign w:val="superscript"/>
        </w:rPr>
        <w:tab/>
      </w:r>
      <w:r w:rsidRPr="00C96AC8">
        <w:rPr>
          <w:sz w:val="20"/>
          <w:szCs w:val="24"/>
        </w:rPr>
        <w:t>Corresponding Author: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ab/>
        <w:t xml:space="preserve">Dr Ian F Harrison, BSc (Hons) </w:t>
      </w:r>
      <w:proofErr w:type="spellStart"/>
      <w:r>
        <w:rPr>
          <w:sz w:val="20"/>
          <w:szCs w:val="24"/>
        </w:rPr>
        <w:t>MRes</w:t>
      </w:r>
      <w:proofErr w:type="spellEnd"/>
      <w:r>
        <w:rPr>
          <w:sz w:val="20"/>
          <w:szCs w:val="24"/>
        </w:rPr>
        <w:t xml:space="preserve"> PhD</w:t>
      </w:r>
    </w:p>
    <w:p w:rsidR="00084314" w:rsidRDefault="00084314" w:rsidP="00084314">
      <w:pPr>
        <w:spacing w:after="0"/>
        <w:ind w:left="2160" w:firstLine="720"/>
        <w:rPr>
          <w:sz w:val="20"/>
          <w:szCs w:val="24"/>
        </w:rPr>
      </w:pPr>
      <w:r w:rsidRPr="00500856">
        <w:rPr>
          <w:sz w:val="20"/>
          <w:szCs w:val="24"/>
        </w:rPr>
        <w:t>UCL Centre f</w:t>
      </w:r>
      <w:r>
        <w:rPr>
          <w:sz w:val="20"/>
          <w:szCs w:val="24"/>
        </w:rPr>
        <w:t>or Advanced Biomedical Imaging</w:t>
      </w:r>
    </w:p>
    <w:p w:rsidR="00084314" w:rsidRDefault="00084314" w:rsidP="00084314">
      <w:pPr>
        <w:spacing w:after="0"/>
        <w:ind w:left="2160" w:firstLine="720"/>
        <w:rPr>
          <w:sz w:val="20"/>
          <w:szCs w:val="24"/>
        </w:rPr>
      </w:pPr>
      <w:r>
        <w:rPr>
          <w:sz w:val="20"/>
          <w:szCs w:val="24"/>
        </w:rPr>
        <w:t>Division of Medicine</w:t>
      </w:r>
    </w:p>
    <w:p w:rsidR="00084314" w:rsidRDefault="00084314" w:rsidP="00084314">
      <w:pPr>
        <w:spacing w:after="0"/>
        <w:ind w:left="2160" w:firstLine="720"/>
        <w:rPr>
          <w:sz w:val="20"/>
          <w:szCs w:val="24"/>
        </w:rPr>
      </w:pPr>
      <w:r>
        <w:rPr>
          <w:sz w:val="20"/>
          <w:szCs w:val="24"/>
        </w:rPr>
        <w:t>University College London</w:t>
      </w:r>
    </w:p>
    <w:p w:rsidR="00084314" w:rsidRDefault="00084314" w:rsidP="00084314">
      <w:pPr>
        <w:spacing w:after="0"/>
        <w:ind w:left="2160" w:firstLine="720"/>
        <w:rPr>
          <w:sz w:val="20"/>
          <w:szCs w:val="24"/>
        </w:rPr>
      </w:pPr>
      <w:r w:rsidRPr="00500856">
        <w:rPr>
          <w:sz w:val="20"/>
          <w:szCs w:val="24"/>
        </w:rPr>
        <w:t>London, UK</w:t>
      </w:r>
    </w:p>
    <w:p w:rsidR="00084314" w:rsidRDefault="00084314" w:rsidP="00084314">
      <w:pPr>
        <w:spacing w:after="0"/>
        <w:ind w:left="2160" w:firstLine="720"/>
        <w:rPr>
          <w:sz w:val="20"/>
          <w:szCs w:val="24"/>
        </w:rPr>
      </w:pPr>
      <w:r>
        <w:rPr>
          <w:sz w:val="20"/>
          <w:szCs w:val="24"/>
        </w:rPr>
        <w:t xml:space="preserve">Phone: </w:t>
      </w:r>
      <w:r w:rsidRPr="00C96AC8">
        <w:rPr>
          <w:sz w:val="20"/>
          <w:szCs w:val="24"/>
        </w:rPr>
        <w:t>+44 (0)20 7679 6448</w:t>
      </w:r>
    </w:p>
    <w:p w:rsidR="00084314" w:rsidRDefault="00084314" w:rsidP="00084314">
      <w:pPr>
        <w:spacing w:after="0"/>
        <w:ind w:left="2160" w:firstLine="720"/>
        <w:rPr>
          <w:szCs w:val="24"/>
        </w:rPr>
      </w:pPr>
      <w:r w:rsidRPr="00084314">
        <w:rPr>
          <w:sz w:val="20"/>
          <w:szCs w:val="24"/>
        </w:rPr>
        <w:t xml:space="preserve">Email: </w:t>
      </w:r>
      <w:hyperlink r:id="rId8" w:history="1">
        <w:r w:rsidRPr="00250CC3">
          <w:rPr>
            <w:rStyle w:val="Hyperlink"/>
            <w:szCs w:val="24"/>
          </w:rPr>
          <w:t>ian.harrison@ucl.ac.uk</w:t>
        </w:r>
      </w:hyperlink>
    </w:p>
    <w:p w:rsidR="00084314" w:rsidRPr="00084314" w:rsidRDefault="00084314" w:rsidP="00084314">
      <w:pPr>
        <w:spacing w:after="0"/>
        <w:ind w:left="2160" w:firstLine="720"/>
        <w:rPr>
          <w:szCs w:val="24"/>
        </w:rPr>
      </w:pPr>
    </w:p>
    <w:p w:rsidR="00084314" w:rsidRDefault="00084314">
      <w:pPr>
        <w:spacing w:after="160" w:line="259" w:lineRule="auto"/>
        <w:rPr>
          <w:rStyle w:val="Hyperlink"/>
          <w:rFonts w:ascii="Times New Roman" w:eastAsia="Times New Roman" w:hAnsi="Times New Roman" w:cs="Times New Roman"/>
          <w:sz w:val="20"/>
          <w:szCs w:val="20"/>
          <w:lang w:val="x-none"/>
        </w:rPr>
      </w:pPr>
      <w:r>
        <w:rPr>
          <w:rStyle w:val="Hyperlink"/>
          <w:sz w:val="20"/>
          <w:szCs w:val="20"/>
        </w:rPr>
        <w:br w:type="page"/>
      </w:r>
    </w:p>
    <w:p w:rsidR="00084314" w:rsidRPr="003277BF" w:rsidRDefault="00084314" w:rsidP="00084314">
      <w:pPr>
        <w:pStyle w:val="BodyText"/>
        <w:spacing w:line="360" w:lineRule="auto"/>
        <w:jc w:val="left"/>
        <w:rPr>
          <w:rFonts w:asciiTheme="minorHAnsi" w:hAnsiTheme="minorHAnsi" w:cs="Arial"/>
          <w:b/>
          <w:bCs/>
          <w:u w:val="single"/>
          <w:lang w:val="en-GB"/>
        </w:rPr>
      </w:pPr>
      <w:r w:rsidRPr="003277BF">
        <w:rPr>
          <w:rFonts w:asciiTheme="minorHAnsi" w:hAnsiTheme="minorHAnsi" w:cs="Arial"/>
          <w:b/>
          <w:bCs/>
          <w:u w:val="single"/>
          <w:lang w:val="en-GB"/>
        </w:rPr>
        <w:lastRenderedPageBreak/>
        <w:t>Supplementary Material</w:t>
      </w:r>
    </w:p>
    <w:p w:rsidR="00084314" w:rsidRPr="006051E4" w:rsidRDefault="00084314" w:rsidP="00084314">
      <w:pPr>
        <w:pStyle w:val="BodyText"/>
        <w:spacing w:line="360" w:lineRule="auto"/>
        <w:jc w:val="left"/>
        <w:rPr>
          <w:rFonts w:asciiTheme="minorHAnsi" w:hAnsiTheme="minorHAnsi" w:cs="Arial"/>
          <w:b/>
          <w:bCs/>
          <w:lang w:val="en-GB"/>
        </w:rPr>
      </w:pPr>
      <w:r>
        <w:rPr>
          <w:rFonts w:asciiTheme="minorHAnsi" w:hAnsiTheme="minorHAnsi" w:cs="Arial"/>
          <w:b/>
          <w:bCs/>
          <w:lang w:val="en-GB"/>
        </w:rPr>
        <w:t xml:space="preserve">Figure </w:t>
      </w:r>
      <w:r w:rsidR="00F9211B">
        <w:rPr>
          <w:rFonts w:asciiTheme="minorHAnsi" w:hAnsiTheme="minorHAnsi" w:cs="Arial"/>
          <w:b/>
          <w:bCs/>
          <w:lang w:val="en-GB"/>
        </w:rPr>
        <w:t>S</w:t>
      </w:r>
      <w:r w:rsidRPr="006051E4">
        <w:rPr>
          <w:rFonts w:asciiTheme="minorHAnsi" w:hAnsiTheme="minorHAnsi" w:cs="Arial"/>
          <w:b/>
          <w:bCs/>
          <w:lang w:val="en-GB"/>
        </w:rPr>
        <w:t>1 – Definition of the Central and Peripheral Retina</w:t>
      </w:r>
    </w:p>
    <w:p w:rsidR="009C3B84" w:rsidRPr="006051E4" w:rsidRDefault="00084314" w:rsidP="00084314">
      <w:pPr>
        <w:pStyle w:val="BodyText"/>
        <w:spacing w:line="360" w:lineRule="auto"/>
        <w:jc w:val="left"/>
        <w:rPr>
          <w:rFonts w:asciiTheme="minorHAnsi" w:hAnsiTheme="minorHAnsi" w:cs="Arial"/>
          <w:lang w:val="en-GB"/>
        </w:rPr>
      </w:pPr>
      <w:r w:rsidRPr="006051E4">
        <w:rPr>
          <w:rFonts w:asciiTheme="minorHAnsi" w:hAnsiTheme="minorHAnsi" w:cs="Arial"/>
          <w:lang w:val="en-GB"/>
        </w:rPr>
        <w:t xml:space="preserve">The central and peripheral retina were defined as the most lateral and central non-fragmented region of each tissue section, delineated and labelled here in a H&amp;E stained section of the retina. Scale bar equal to 500µm. </w:t>
      </w:r>
    </w:p>
    <w:p w:rsidR="00084314" w:rsidRPr="006051E4" w:rsidRDefault="009C3B84" w:rsidP="009C3B84">
      <w:pPr>
        <w:pStyle w:val="BodyText"/>
        <w:spacing w:line="360" w:lineRule="auto"/>
        <w:jc w:val="center"/>
        <w:rPr>
          <w:rFonts w:asciiTheme="minorHAnsi" w:hAnsiTheme="minorHAnsi" w:cs="Arial"/>
          <w:lang w:val="en-GB"/>
        </w:rPr>
      </w:pPr>
      <w:r w:rsidRPr="006051E4">
        <w:rPr>
          <w:noProof/>
          <w:sz w:val="20"/>
          <w:lang w:val="en-US"/>
        </w:rPr>
        <w:drawing>
          <wp:inline distT="0" distB="0" distL="0" distR="0" wp14:anchorId="508638DF" wp14:editId="4840A5FE">
            <wp:extent cx="4340225" cy="2633980"/>
            <wp:effectExtent l="0" t="0" r="3175" b="0"/>
            <wp:docPr id="1" name="Picture 1" descr="C:\Users\rmhaarr\AppData\Local\Microsoft\Windows\INetCache\Content.Word\S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mhaarr\AppData\Local\Microsoft\Windows\INetCache\Content.Word\SFigure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82" w:rsidRPr="006051E4" w:rsidRDefault="00CA4682" w:rsidP="00084314">
      <w:pPr>
        <w:pStyle w:val="BodyText"/>
        <w:spacing w:line="360" w:lineRule="auto"/>
        <w:jc w:val="left"/>
        <w:rPr>
          <w:rFonts w:asciiTheme="minorHAnsi" w:hAnsiTheme="minorHAnsi" w:cs="Arial"/>
          <w:b/>
          <w:bCs/>
          <w:lang w:val="en-GB"/>
        </w:rPr>
      </w:pPr>
    </w:p>
    <w:p w:rsidR="00084314" w:rsidRPr="006051E4" w:rsidRDefault="00084314" w:rsidP="00CA4682">
      <w:pPr>
        <w:pStyle w:val="BodyText"/>
        <w:spacing w:line="360" w:lineRule="auto"/>
        <w:jc w:val="center"/>
        <w:rPr>
          <w:rFonts w:asciiTheme="minorHAnsi" w:hAnsiTheme="minorHAnsi" w:cs="Arial"/>
          <w:b/>
          <w:bCs/>
          <w:lang w:val="en-GB"/>
        </w:rPr>
      </w:pPr>
    </w:p>
    <w:p w:rsidR="00CA4682" w:rsidRPr="006051E4" w:rsidRDefault="00CA4682">
      <w:pPr>
        <w:spacing w:after="160" w:line="259" w:lineRule="auto"/>
        <w:rPr>
          <w:rFonts w:eastAsia="Times New Roman" w:cs="Arial"/>
          <w:b/>
          <w:bCs/>
          <w:sz w:val="24"/>
          <w:szCs w:val="24"/>
        </w:rPr>
      </w:pPr>
      <w:r w:rsidRPr="006051E4">
        <w:rPr>
          <w:rFonts w:cs="Arial"/>
          <w:b/>
          <w:bCs/>
        </w:rPr>
        <w:br w:type="page"/>
      </w:r>
    </w:p>
    <w:p w:rsidR="00084314" w:rsidRPr="006051E4" w:rsidRDefault="00084314" w:rsidP="00084314">
      <w:pPr>
        <w:pStyle w:val="BodyText"/>
        <w:spacing w:line="360" w:lineRule="auto"/>
        <w:jc w:val="left"/>
        <w:rPr>
          <w:rFonts w:asciiTheme="minorHAnsi" w:hAnsiTheme="minorHAnsi" w:cs="Arial"/>
          <w:b/>
          <w:bCs/>
          <w:lang w:val="en-GB"/>
        </w:rPr>
      </w:pPr>
      <w:r w:rsidRPr="006051E4">
        <w:rPr>
          <w:rFonts w:asciiTheme="minorHAnsi" w:hAnsiTheme="minorHAnsi" w:cs="Arial"/>
          <w:b/>
          <w:bCs/>
          <w:lang w:val="en-GB"/>
        </w:rPr>
        <w:lastRenderedPageBreak/>
        <w:t xml:space="preserve">Figure </w:t>
      </w:r>
      <w:r w:rsidR="00F9211B">
        <w:rPr>
          <w:rFonts w:asciiTheme="minorHAnsi" w:hAnsiTheme="minorHAnsi" w:cs="Arial"/>
          <w:b/>
          <w:bCs/>
          <w:lang w:val="en-GB"/>
        </w:rPr>
        <w:t>S</w:t>
      </w:r>
      <w:r w:rsidRPr="006051E4">
        <w:rPr>
          <w:rFonts w:asciiTheme="minorHAnsi" w:hAnsiTheme="minorHAnsi" w:cs="Arial"/>
          <w:b/>
          <w:bCs/>
          <w:lang w:val="en-GB"/>
        </w:rPr>
        <w:t xml:space="preserve">2 – Red Channel </w:t>
      </w:r>
      <w:proofErr w:type="spellStart"/>
      <w:r w:rsidRPr="006051E4">
        <w:rPr>
          <w:rFonts w:asciiTheme="minorHAnsi" w:hAnsiTheme="minorHAnsi" w:cs="Arial"/>
          <w:b/>
          <w:bCs/>
          <w:lang w:val="en-GB"/>
        </w:rPr>
        <w:t>Autofluorescence</w:t>
      </w:r>
      <w:proofErr w:type="spellEnd"/>
      <w:r w:rsidRPr="006051E4">
        <w:rPr>
          <w:rFonts w:asciiTheme="minorHAnsi" w:hAnsiTheme="minorHAnsi" w:cs="Arial"/>
          <w:b/>
          <w:bCs/>
          <w:lang w:val="en-GB"/>
        </w:rPr>
        <w:t xml:space="preserve"> of the Outer Segment of the Photoreceptor Layer</w:t>
      </w:r>
    </w:p>
    <w:p w:rsidR="00084314" w:rsidRPr="006051E4" w:rsidRDefault="00084314" w:rsidP="009C3B84">
      <w:pPr>
        <w:pStyle w:val="BodyText"/>
        <w:spacing w:line="360" w:lineRule="auto"/>
        <w:jc w:val="left"/>
        <w:rPr>
          <w:rFonts w:asciiTheme="minorHAnsi" w:hAnsiTheme="minorHAnsi" w:cs="Arial"/>
          <w:lang w:val="en-GB"/>
        </w:rPr>
      </w:pPr>
      <w:r w:rsidRPr="006051E4">
        <w:rPr>
          <w:rFonts w:asciiTheme="minorHAnsi" w:hAnsiTheme="minorHAnsi" w:cs="Arial"/>
          <w:lang w:val="en-GB"/>
        </w:rPr>
        <w:t xml:space="preserve">(A) Double labelled immunofluorescence of tau (green) and </w:t>
      </w:r>
      <w:proofErr w:type="spellStart"/>
      <w:r w:rsidRPr="006051E4">
        <w:rPr>
          <w:rFonts w:asciiTheme="minorHAnsi" w:hAnsiTheme="minorHAnsi" w:cs="Arial"/>
          <w:lang w:val="en-GB"/>
        </w:rPr>
        <w:t>pTau</w:t>
      </w:r>
      <w:proofErr w:type="spellEnd"/>
      <w:r w:rsidRPr="006051E4">
        <w:rPr>
          <w:rFonts w:asciiTheme="minorHAnsi" w:hAnsiTheme="minorHAnsi" w:cs="Arial"/>
          <w:lang w:val="en-GB"/>
        </w:rPr>
        <w:t xml:space="preserve"> (red) in a section of the neurosensory retina from an rTg4510 mouse. (B) A tissue section from the same animal stained identically to that displayed in (A) without incubation with either primary antibodies (A0024 or AT8), demonstrating </w:t>
      </w:r>
      <w:proofErr w:type="spellStart"/>
      <w:r w:rsidRPr="006051E4">
        <w:rPr>
          <w:rFonts w:asciiTheme="minorHAnsi" w:hAnsiTheme="minorHAnsi" w:cs="Arial"/>
          <w:lang w:val="en-GB"/>
        </w:rPr>
        <w:t>autofluorescence</w:t>
      </w:r>
      <w:proofErr w:type="spellEnd"/>
      <w:r w:rsidRPr="006051E4">
        <w:rPr>
          <w:rFonts w:asciiTheme="minorHAnsi" w:hAnsiTheme="minorHAnsi" w:cs="Arial"/>
          <w:lang w:val="en-GB"/>
        </w:rPr>
        <w:t xml:space="preserve"> in the red channel of the outer segment of the photoreceptor layer (POS). Scale bars equal to 50</w:t>
      </w:r>
      <w:r w:rsidRPr="006051E4">
        <w:rPr>
          <w:rFonts w:asciiTheme="minorHAnsi" w:hAnsiTheme="minorHAnsi" w:cstheme="minorBidi"/>
          <w:lang w:val="en-GB"/>
        </w:rPr>
        <w:t>µ</w:t>
      </w:r>
      <w:r w:rsidRPr="006051E4">
        <w:rPr>
          <w:rFonts w:asciiTheme="minorHAnsi" w:hAnsiTheme="minorHAnsi" w:cs="Arial"/>
          <w:lang w:val="en-GB"/>
        </w:rPr>
        <w:t>m.</w:t>
      </w:r>
      <w:r w:rsidR="009C3B84" w:rsidRPr="006051E4">
        <w:rPr>
          <w:sz w:val="20"/>
        </w:rPr>
        <w:t xml:space="preserve"> </w:t>
      </w:r>
    </w:p>
    <w:p w:rsidR="00CA4682" w:rsidRPr="006051E4" w:rsidRDefault="00CA4682" w:rsidP="00084314">
      <w:pPr>
        <w:pStyle w:val="BodyText"/>
        <w:spacing w:line="360" w:lineRule="auto"/>
        <w:jc w:val="left"/>
        <w:rPr>
          <w:rFonts w:cs="Arial"/>
          <w:lang w:val="en-GB"/>
        </w:rPr>
      </w:pPr>
    </w:p>
    <w:p w:rsidR="00084314" w:rsidRPr="006051E4" w:rsidRDefault="00F9211B" w:rsidP="00CA4682">
      <w:pPr>
        <w:pStyle w:val="BodyText"/>
        <w:spacing w:line="360" w:lineRule="auto"/>
        <w:jc w:val="center"/>
        <w:rPr>
          <w:rFonts w:asciiTheme="minorHAnsi" w:hAnsiTheme="minorHAnsi" w:cs="Arial"/>
          <w:b/>
          <w:szCs w:val="22"/>
          <w:lang w:val="en-GB"/>
        </w:rPr>
      </w:pPr>
      <w:r>
        <w:rPr>
          <w:rFonts w:asciiTheme="minorHAnsi" w:hAnsiTheme="minorHAnsi" w:cs="Arial"/>
          <w:b/>
          <w:szCs w:val="22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45pt;height:177.3pt">
            <v:imagedata r:id="rId10" o:title="sFigure 2"/>
          </v:shape>
        </w:pict>
      </w:r>
    </w:p>
    <w:p w:rsidR="00CA4682" w:rsidRPr="006051E4" w:rsidRDefault="00CA4682">
      <w:pPr>
        <w:spacing w:after="160" w:line="259" w:lineRule="auto"/>
        <w:rPr>
          <w:rFonts w:eastAsia="Times New Roman" w:cs="Arial"/>
          <w:b/>
          <w:bCs/>
          <w:sz w:val="24"/>
          <w:szCs w:val="24"/>
        </w:rPr>
      </w:pPr>
      <w:r w:rsidRPr="006051E4">
        <w:rPr>
          <w:rFonts w:cs="Arial"/>
          <w:b/>
          <w:bCs/>
        </w:rPr>
        <w:br w:type="page"/>
      </w:r>
    </w:p>
    <w:p w:rsidR="00C531AC" w:rsidRPr="006051E4" w:rsidRDefault="00C531AC" w:rsidP="00C531AC">
      <w:pPr>
        <w:pStyle w:val="BodyText"/>
        <w:spacing w:line="360" w:lineRule="auto"/>
        <w:jc w:val="left"/>
        <w:rPr>
          <w:rFonts w:asciiTheme="minorHAnsi" w:hAnsiTheme="minorHAnsi" w:cs="Arial"/>
          <w:b/>
          <w:bCs/>
          <w:lang w:val="en-GB"/>
        </w:rPr>
      </w:pPr>
      <w:r w:rsidRPr="006051E4">
        <w:rPr>
          <w:rFonts w:asciiTheme="minorHAnsi" w:hAnsiTheme="minorHAnsi" w:cs="Arial"/>
          <w:b/>
          <w:bCs/>
          <w:lang w:val="en-GB"/>
        </w:rPr>
        <w:lastRenderedPageBreak/>
        <w:t xml:space="preserve">Figure </w:t>
      </w:r>
      <w:r w:rsidR="00F9211B">
        <w:rPr>
          <w:rFonts w:asciiTheme="minorHAnsi" w:hAnsiTheme="minorHAnsi" w:cs="Arial"/>
          <w:b/>
          <w:bCs/>
          <w:lang w:val="en-GB"/>
        </w:rPr>
        <w:t>S</w:t>
      </w:r>
      <w:r w:rsidRPr="006051E4">
        <w:rPr>
          <w:rFonts w:asciiTheme="minorHAnsi" w:hAnsiTheme="minorHAnsi" w:cs="Arial"/>
          <w:b/>
          <w:bCs/>
          <w:lang w:val="en-GB"/>
        </w:rPr>
        <w:t xml:space="preserve">3 – Non-normalised </w:t>
      </w:r>
      <w:r w:rsidRPr="006051E4">
        <w:rPr>
          <w:rFonts w:ascii="Calibri" w:hAnsi="Calibri" w:cs="Arial"/>
          <w:b/>
          <w:bCs/>
          <w:lang w:val="en-GB"/>
        </w:rPr>
        <w:t xml:space="preserve">Quantification of </w:t>
      </w:r>
      <w:proofErr w:type="spellStart"/>
      <w:r w:rsidRPr="006051E4">
        <w:rPr>
          <w:rFonts w:ascii="Calibri" w:hAnsi="Calibri" w:cs="Arial"/>
          <w:b/>
          <w:bCs/>
          <w:lang w:val="en-GB"/>
        </w:rPr>
        <w:t>pTau</w:t>
      </w:r>
      <w:proofErr w:type="spellEnd"/>
      <w:r w:rsidRPr="006051E4">
        <w:rPr>
          <w:rFonts w:ascii="Calibri" w:hAnsi="Calibri" w:cs="Arial"/>
          <w:b/>
          <w:bCs/>
          <w:lang w:val="en-GB"/>
        </w:rPr>
        <w:t xml:space="preserve"> Immunoreactivity in the Neurosensory Retina of rTg4510 Mice</w:t>
      </w:r>
    </w:p>
    <w:p w:rsidR="00C531AC" w:rsidRPr="006051E4" w:rsidRDefault="00C531AC" w:rsidP="00C531AC">
      <w:pPr>
        <w:pStyle w:val="BodyText"/>
        <w:spacing w:line="360" w:lineRule="auto"/>
        <w:jc w:val="left"/>
        <w:rPr>
          <w:rFonts w:asciiTheme="minorHAnsi" w:hAnsiTheme="minorHAnsi" w:cs="Arial"/>
          <w:b/>
          <w:bCs/>
          <w:lang w:val="en-GB"/>
        </w:rPr>
      </w:pPr>
      <w:bookmarkStart w:id="0" w:name="OLE_LINK9"/>
      <w:r w:rsidRPr="006051E4">
        <w:rPr>
          <w:rFonts w:ascii="Calibri" w:hAnsi="Calibri" w:cs="Arial"/>
          <w:lang w:val="en-GB"/>
        </w:rPr>
        <w:t xml:space="preserve">Number of cells displaying with </w:t>
      </w:r>
      <w:proofErr w:type="spellStart"/>
      <w:r w:rsidRPr="006051E4">
        <w:rPr>
          <w:rFonts w:ascii="Calibri" w:hAnsi="Calibri" w:cs="Arial"/>
          <w:lang w:val="en-GB"/>
        </w:rPr>
        <w:t>pTau</w:t>
      </w:r>
      <w:proofErr w:type="spellEnd"/>
      <w:r w:rsidRPr="006051E4">
        <w:rPr>
          <w:rFonts w:ascii="Calibri" w:hAnsi="Calibri" w:cs="Arial"/>
          <w:lang w:val="en-GB"/>
        </w:rPr>
        <w:t xml:space="preserve"> </w:t>
      </w:r>
      <w:proofErr w:type="spellStart"/>
      <w:r w:rsidRPr="006051E4">
        <w:rPr>
          <w:rFonts w:ascii="Calibri" w:hAnsi="Calibri" w:cs="Arial"/>
          <w:lang w:val="en-GB"/>
        </w:rPr>
        <w:t>immunopositive</w:t>
      </w:r>
      <w:proofErr w:type="spellEnd"/>
      <w:r w:rsidRPr="006051E4">
        <w:rPr>
          <w:rFonts w:ascii="Calibri" w:hAnsi="Calibri" w:cs="Arial"/>
          <w:lang w:val="en-GB"/>
        </w:rPr>
        <w:t xml:space="preserve"> cytosolic staining in the Retinal Ganglion Cell Layer (RGCL) and Inner Nuclear Layer (INL) of the central and peripheral retina. </w:t>
      </w:r>
      <w:r w:rsidR="00E24305" w:rsidRPr="006051E4">
        <w:rPr>
          <w:rFonts w:ascii="Calibri" w:hAnsi="Calibri" w:cs="Arial"/>
          <w:lang w:val="en-GB"/>
        </w:rPr>
        <w:t>Two-way ANOVA (F</w:t>
      </w:r>
      <w:r w:rsidR="00E24305" w:rsidRPr="006051E4">
        <w:rPr>
          <w:rFonts w:ascii="Calibri" w:hAnsi="Calibri" w:cs="Arial"/>
          <w:vertAlign w:val="subscript"/>
          <w:lang w:val="en-GB"/>
        </w:rPr>
        <w:t>1</w:t>
      </w:r>
      <w:proofErr w:type="gramStart"/>
      <w:r w:rsidR="00E24305" w:rsidRPr="006051E4">
        <w:rPr>
          <w:rFonts w:ascii="Calibri" w:hAnsi="Calibri" w:cs="Arial"/>
          <w:vertAlign w:val="subscript"/>
          <w:lang w:val="en-GB"/>
        </w:rPr>
        <w:t>,3</w:t>
      </w:r>
      <w:proofErr w:type="gramEnd"/>
      <w:r w:rsidR="00E24305" w:rsidRPr="006051E4">
        <w:rPr>
          <w:rFonts w:ascii="Calibri" w:hAnsi="Calibri" w:cs="Arial"/>
          <w:lang w:val="en-GB"/>
        </w:rPr>
        <w:t xml:space="preserve">=28.26, p&lt;0.0001). </w:t>
      </w:r>
      <w:r w:rsidRPr="006051E4">
        <w:rPr>
          <w:rFonts w:ascii="Calibri" w:hAnsi="Calibri" w:cs="Arial"/>
          <w:lang w:val="en-GB"/>
        </w:rPr>
        <w:t xml:space="preserve">Cell counts were normalised to the total number of cells analysed to present as the percentage of </w:t>
      </w:r>
      <w:proofErr w:type="spellStart"/>
      <w:r w:rsidRPr="006051E4">
        <w:rPr>
          <w:rFonts w:ascii="Calibri" w:hAnsi="Calibri" w:cs="Arial"/>
          <w:lang w:val="en-GB"/>
        </w:rPr>
        <w:t>pTau</w:t>
      </w:r>
      <w:proofErr w:type="spellEnd"/>
      <w:r w:rsidRPr="006051E4">
        <w:rPr>
          <w:rFonts w:ascii="Calibri" w:hAnsi="Calibri" w:cs="Arial"/>
          <w:lang w:val="en-GB"/>
        </w:rPr>
        <w:t xml:space="preserve"> cytosolic </w:t>
      </w:r>
      <w:proofErr w:type="spellStart"/>
      <w:r w:rsidRPr="006051E4">
        <w:rPr>
          <w:rFonts w:ascii="Calibri" w:hAnsi="Calibri" w:cs="Arial"/>
          <w:lang w:val="en-GB"/>
        </w:rPr>
        <w:t>immunopositivity</w:t>
      </w:r>
      <w:proofErr w:type="spellEnd"/>
      <w:r w:rsidRPr="006051E4">
        <w:rPr>
          <w:rFonts w:ascii="Calibri" w:hAnsi="Calibri" w:cs="Arial"/>
          <w:lang w:val="en-GB"/>
        </w:rPr>
        <w:t xml:space="preserve"> displayed in figure 2A. </w:t>
      </w:r>
      <w:r w:rsidRPr="006051E4">
        <w:rPr>
          <w:rFonts w:asciiTheme="minorHAnsi" w:hAnsiTheme="minorHAnsi" w:cs="Arial"/>
          <w:lang w:val="en-GB"/>
        </w:rPr>
        <w:t>Statistical significance indicated with asterisks: **=p&lt;0.01.</w:t>
      </w:r>
    </w:p>
    <w:bookmarkEnd w:id="0"/>
    <w:p w:rsidR="00C531AC" w:rsidRPr="006051E4" w:rsidRDefault="00F9211B" w:rsidP="009C3B84">
      <w:pPr>
        <w:spacing w:after="160" w:line="259" w:lineRule="auto"/>
        <w:jc w:val="center"/>
        <w:rPr>
          <w:rFonts w:eastAsia="Times New Roman" w:cs="Arial"/>
          <w:b/>
          <w:bCs/>
          <w:sz w:val="24"/>
          <w:szCs w:val="24"/>
        </w:rPr>
      </w:pPr>
      <w:r>
        <w:rPr>
          <w:rFonts w:cs="Arial"/>
          <w:b/>
          <w:bCs/>
        </w:rPr>
        <w:pict>
          <v:shape id="_x0000_i1026" type="#_x0000_t75" style="width:234.35pt;height:205.15pt">
            <v:imagedata r:id="rId11" o:title="SFigure 3"/>
          </v:shape>
        </w:pict>
      </w:r>
      <w:r w:rsidR="00C531AC" w:rsidRPr="006051E4">
        <w:rPr>
          <w:rFonts w:cs="Arial"/>
          <w:b/>
          <w:bCs/>
        </w:rPr>
        <w:br w:type="page"/>
      </w:r>
    </w:p>
    <w:p w:rsidR="00512733" w:rsidRPr="006051E4" w:rsidRDefault="00C531AC" w:rsidP="00512733">
      <w:pPr>
        <w:pStyle w:val="BodyText"/>
        <w:spacing w:line="360" w:lineRule="auto"/>
        <w:jc w:val="left"/>
        <w:rPr>
          <w:rFonts w:asciiTheme="minorHAnsi" w:hAnsiTheme="minorHAnsi" w:cs="Arial"/>
          <w:b/>
          <w:bCs/>
          <w:lang w:val="en-GB"/>
        </w:rPr>
      </w:pPr>
      <w:r w:rsidRPr="006051E4">
        <w:rPr>
          <w:rFonts w:asciiTheme="minorHAnsi" w:hAnsiTheme="minorHAnsi" w:cs="Arial"/>
          <w:b/>
          <w:bCs/>
          <w:lang w:val="en-GB"/>
        </w:rPr>
        <w:lastRenderedPageBreak/>
        <w:t xml:space="preserve">Figure </w:t>
      </w:r>
      <w:r w:rsidR="00F9211B">
        <w:rPr>
          <w:rFonts w:asciiTheme="minorHAnsi" w:hAnsiTheme="minorHAnsi" w:cs="Arial"/>
          <w:b/>
          <w:bCs/>
          <w:lang w:val="en-GB"/>
        </w:rPr>
        <w:t>S</w:t>
      </w:r>
      <w:r w:rsidRPr="006051E4">
        <w:rPr>
          <w:rFonts w:asciiTheme="minorHAnsi" w:hAnsiTheme="minorHAnsi" w:cs="Arial"/>
          <w:b/>
          <w:bCs/>
          <w:lang w:val="en-GB"/>
        </w:rPr>
        <w:t>4</w:t>
      </w:r>
      <w:r w:rsidR="00512733" w:rsidRPr="006051E4">
        <w:rPr>
          <w:rFonts w:asciiTheme="minorHAnsi" w:hAnsiTheme="minorHAnsi" w:cs="Arial"/>
          <w:b/>
          <w:bCs/>
          <w:lang w:val="en-GB"/>
        </w:rPr>
        <w:t xml:space="preserve"> – Non-normalised Optic Nerve and Total Eye Volumes of rTg4510 and Wildtype Mice</w:t>
      </w:r>
    </w:p>
    <w:p w:rsidR="009C3B84" w:rsidRPr="006051E4" w:rsidRDefault="00512733" w:rsidP="00512733">
      <w:pPr>
        <w:pStyle w:val="BodyText"/>
        <w:spacing w:line="360" w:lineRule="auto"/>
        <w:jc w:val="left"/>
        <w:rPr>
          <w:rFonts w:asciiTheme="minorHAnsi" w:hAnsiTheme="minorHAnsi" w:cs="Arial"/>
          <w:lang w:val="en-GB"/>
        </w:rPr>
      </w:pPr>
      <w:bookmarkStart w:id="1" w:name="OLE_LINK10"/>
      <w:r w:rsidRPr="006051E4">
        <w:rPr>
          <w:rFonts w:asciiTheme="minorHAnsi" w:hAnsiTheme="minorHAnsi" w:cs="Arial"/>
          <w:lang w:val="en-GB"/>
        </w:rPr>
        <w:t>(A) Individual non-normalised optic nerve volumes extracted from MR images of rTg4510 and wildtype mice, demonstrating the significantly smaller optic nerve of rTg4510 mice compared to wildtype.</w:t>
      </w:r>
      <w:r w:rsidR="00E24305" w:rsidRPr="006051E4">
        <w:rPr>
          <w:rFonts w:asciiTheme="minorHAnsi" w:hAnsiTheme="minorHAnsi" w:cs="Arial"/>
          <w:lang w:val="en-GB"/>
        </w:rPr>
        <w:t xml:space="preserve"> Unpaired t-test (p=0.0234).</w:t>
      </w:r>
      <w:r w:rsidRPr="006051E4">
        <w:rPr>
          <w:rFonts w:asciiTheme="minorHAnsi" w:hAnsiTheme="minorHAnsi" w:cs="Arial"/>
          <w:lang w:val="en-GB"/>
        </w:rPr>
        <w:t xml:space="preserve"> (B) Individual total eye volumes extracted from MR images of rTg4510 and wildtype mice showing no difference between animal groups</w:t>
      </w:r>
      <w:r w:rsidR="00E24305" w:rsidRPr="006051E4">
        <w:rPr>
          <w:rFonts w:asciiTheme="minorHAnsi" w:hAnsiTheme="minorHAnsi" w:cs="Arial"/>
          <w:lang w:val="en-GB"/>
        </w:rPr>
        <w:t>. Unpaired t-test (p=0.3117)</w:t>
      </w:r>
      <w:r w:rsidRPr="006051E4">
        <w:rPr>
          <w:rFonts w:asciiTheme="minorHAnsi" w:hAnsiTheme="minorHAnsi" w:cs="Arial"/>
          <w:lang w:val="en-GB"/>
        </w:rPr>
        <w:t>. Statistical significance indicated with asterisks: *=p&lt;0.05.</w:t>
      </w:r>
    </w:p>
    <w:p w:rsidR="00512733" w:rsidRPr="006051E4" w:rsidRDefault="009C3B84" w:rsidP="009C3B84">
      <w:pPr>
        <w:pStyle w:val="BodyText"/>
        <w:spacing w:line="360" w:lineRule="auto"/>
        <w:jc w:val="center"/>
        <w:rPr>
          <w:rFonts w:asciiTheme="minorHAnsi" w:hAnsiTheme="minorHAnsi" w:cs="Arial"/>
          <w:lang w:val="en-GB"/>
        </w:rPr>
      </w:pPr>
      <w:r w:rsidRPr="006051E4">
        <w:rPr>
          <w:rFonts w:cs="Arial"/>
          <w:b/>
          <w:bCs/>
          <w:noProof/>
          <w:lang w:val="en-US"/>
        </w:rPr>
        <w:drawing>
          <wp:inline distT="0" distB="0" distL="0" distR="0">
            <wp:extent cx="3289300" cy="3138805"/>
            <wp:effectExtent l="0" t="0" r="6350" b="4445"/>
            <wp:docPr id="2" name="Picture 2" descr="C:\Users\rmhaarr\AppData\Local\Microsoft\Windows\INetCache\Content.Word\sFigur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mhaarr\AppData\Local\Microsoft\Windows\INetCache\Content.Word\sFigure 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512733" w:rsidRPr="006051E4" w:rsidRDefault="00512733" w:rsidP="00512733">
      <w:pPr>
        <w:pStyle w:val="BodyText"/>
        <w:spacing w:line="360" w:lineRule="auto"/>
        <w:jc w:val="left"/>
        <w:rPr>
          <w:rFonts w:asciiTheme="minorHAnsi" w:hAnsiTheme="minorHAnsi" w:cs="Arial"/>
          <w:b/>
          <w:bCs/>
          <w:lang w:val="en-GB"/>
        </w:rPr>
      </w:pPr>
    </w:p>
    <w:p w:rsidR="00512733" w:rsidRPr="006051E4" w:rsidRDefault="00512733" w:rsidP="006D0740">
      <w:pPr>
        <w:pStyle w:val="BodyText"/>
        <w:spacing w:line="360" w:lineRule="auto"/>
        <w:jc w:val="center"/>
        <w:rPr>
          <w:rFonts w:asciiTheme="minorHAnsi" w:hAnsiTheme="minorHAnsi" w:cs="Arial"/>
          <w:b/>
          <w:bCs/>
          <w:lang w:val="en-GB"/>
        </w:rPr>
      </w:pPr>
    </w:p>
    <w:p w:rsidR="00512733" w:rsidRPr="006051E4" w:rsidRDefault="00512733">
      <w:pPr>
        <w:spacing w:after="160" w:line="259" w:lineRule="auto"/>
        <w:rPr>
          <w:rFonts w:eastAsia="Times New Roman" w:cs="Arial"/>
          <w:b/>
          <w:bCs/>
          <w:sz w:val="24"/>
          <w:szCs w:val="24"/>
        </w:rPr>
      </w:pPr>
      <w:r w:rsidRPr="006051E4">
        <w:rPr>
          <w:rFonts w:cs="Arial"/>
          <w:b/>
          <w:bCs/>
        </w:rPr>
        <w:br w:type="page"/>
      </w:r>
    </w:p>
    <w:p w:rsidR="00084314" w:rsidRPr="006051E4" w:rsidRDefault="00C531AC" w:rsidP="00084314">
      <w:pPr>
        <w:pStyle w:val="BodyText"/>
        <w:spacing w:line="360" w:lineRule="auto"/>
        <w:jc w:val="left"/>
        <w:rPr>
          <w:rFonts w:asciiTheme="minorHAnsi" w:hAnsiTheme="minorHAnsi" w:cs="Arial"/>
          <w:b/>
          <w:bCs/>
          <w:lang w:val="en-GB"/>
        </w:rPr>
      </w:pPr>
      <w:r w:rsidRPr="006051E4">
        <w:rPr>
          <w:rFonts w:asciiTheme="minorHAnsi" w:hAnsiTheme="minorHAnsi" w:cs="Arial"/>
          <w:b/>
          <w:bCs/>
          <w:lang w:val="en-GB"/>
        </w:rPr>
        <w:lastRenderedPageBreak/>
        <w:t xml:space="preserve">Figure </w:t>
      </w:r>
      <w:r w:rsidR="00F9211B">
        <w:rPr>
          <w:rFonts w:asciiTheme="minorHAnsi" w:hAnsiTheme="minorHAnsi" w:cs="Arial"/>
          <w:b/>
          <w:bCs/>
          <w:lang w:val="en-GB"/>
        </w:rPr>
        <w:t>S</w:t>
      </w:r>
      <w:r w:rsidRPr="006051E4">
        <w:rPr>
          <w:rFonts w:asciiTheme="minorHAnsi" w:hAnsiTheme="minorHAnsi" w:cs="Arial"/>
          <w:b/>
          <w:bCs/>
          <w:lang w:val="en-GB"/>
        </w:rPr>
        <w:t>5</w:t>
      </w:r>
      <w:r w:rsidR="00084314" w:rsidRPr="006051E4">
        <w:rPr>
          <w:rFonts w:asciiTheme="minorHAnsi" w:hAnsiTheme="minorHAnsi" w:cs="Arial"/>
          <w:b/>
          <w:bCs/>
          <w:lang w:val="en-GB"/>
        </w:rPr>
        <w:t xml:space="preserve"> – Tau Cerebrospinal Fluid Biomarker in rTg4510 Mice</w:t>
      </w:r>
    </w:p>
    <w:p w:rsidR="00084314" w:rsidRPr="006051E4" w:rsidRDefault="00084314" w:rsidP="00084314">
      <w:pPr>
        <w:pStyle w:val="BodyText"/>
        <w:spacing w:line="360" w:lineRule="auto"/>
        <w:jc w:val="left"/>
        <w:rPr>
          <w:rFonts w:asciiTheme="minorHAnsi" w:hAnsiTheme="minorHAnsi" w:cs="Arial"/>
          <w:lang w:val="en-GB"/>
        </w:rPr>
      </w:pPr>
      <w:r w:rsidRPr="006051E4">
        <w:rPr>
          <w:rFonts w:asciiTheme="minorHAnsi" w:hAnsiTheme="minorHAnsi" w:cs="Arial"/>
          <w:lang w:val="en-GB"/>
        </w:rPr>
        <w:t xml:space="preserve">Concentration of tau and </w:t>
      </w:r>
      <w:proofErr w:type="spellStart"/>
      <w:r w:rsidRPr="006051E4">
        <w:rPr>
          <w:rFonts w:asciiTheme="minorHAnsi" w:hAnsiTheme="minorHAnsi" w:cs="Arial"/>
          <w:lang w:val="en-GB"/>
        </w:rPr>
        <w:t>pTau</w:t>
      </w:r>
      <w:proofErr w:type="spellEnd"/>
      <w:r w:rsidRPr="006051E4">
        <w:rPr>
          <w:rFonts w:asciiTheme="minorHAnsi" w:hAnsiTheme="minorHAnsi" w:cs="Arial"/>
          <w:lang w:val="en-GB"/>
        </w:rPr>
        <w:t xml:space="preserve"> in CSF extracted from wildtype and rTg4510 mice demonstrating the elevated presence of both tau species in CSF in the transgenic mouse model. </w:t>
      </w:r>
      <w:r w:rsidR="00E24305" w:rsidRPr="006051E4">
        <w:rPr>
          <w:rFonts w:asciiTheme="minorHAnsi" w:hAnsiTheme="minorHAnsi" w:cs="Arial"/>
          <w:lang w:val="en-GB"/>
        </w:rPr>
        <w:t>Two-way ANOVA (F</w:t>
      </w:r>
      <w:r w:rsidR="00E24305" w:rsidRPr="006051E4">
        <w:rPr>
          <w:rFonts w:asciiTheme="minorHAnsi" w:hAnsiTheme="minorHAnsi" w:cs="Arial"/>
          <w:vertAlign w:val="subscript"/>
          <w:lang w:val="en-GB"/>
        </w:rPr>
        <w:t>1</w:t>
      </w:r>
      <w:proofErr w:type="gramStart"/>
      <w:r w:rsidR="00E24305" w:rsidRPr="006051E4">
        <w:rPr>
          <w:rFonts w:asciiTheme="minorHAnsi" w:hAnsiTheme="minorHAnsi" w:cs="Arial"/>
          <w:vertAlign w:val="subscript"/>
          <w:lang w:val="en-GB"/>
        </w:rPr>
        <w:t>,1</w:t>
      </w:r>
      <w:proofErr w:type="gramEnd"/>
      <w:r w:rsidR="00E24305" w:rsidRPr="006051E4">
        <w:rPr>
          <w:rFonts w:asciiTheme="minorHAnsi" w:hAnsiTheme="minorHAnsi" w:cs="Arial"/>
          <w:lang w:val="en-GB"/>
        </w:rPr>
        <w:t xml:space="preserve">=55.46, p&lt;0.0001). </w:t>
      </w:r>
      <w:r w:rsidRPr="006051E4">
        <w:rPr>
          <w:rFonts w:asciiTheme="minorHAnsi" w:hAnsiTheme="minorHAnsi" w:cs="Arial"/>
          <w:lang w:val="en-GB"/>
        </w:rPr>
        <w:t>Statistical significance indicated with asterisks: *=p&lt;0.05; ***=p&lt;0.001.</w:t>
      </w:r>
    </w:p>
    <w:p w:rsidR="009C3B84" w:rsidRPr="006051E4" w:rsidRDefault="00F9211B" w:rsidP="009C3B84">
      <w:pPr>
        <w:pStyle w:val="BodyText"/>
        <w:spacing w:line="360" w:lineRule="auto"/>
        <w:jc w:val="center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pict>
          <v:shape id="_x0000_i1027" type="#_x0000_t75" style="width:201.75pt;height:214.65pt">
            <v:imagedata r:id="rId13" o:title="SFigure 5"/>
          </v:shape>
        </w:pict>
      </w:r>
    </w:p>
    <w:p w:rsidR="00CA4682" w:rsidRPr="006051E4" w:rsidRDefault="00CA4682" w:rsidP="00084314">
      <w:pPr>
        <w:pStyle w:val="BodyText"/>
        <w:spacing w:line="360" w:lineRule="auto"/>
        <w:jc w:val="left"/>
        <w:rPr>
          <w:rFonts w:asciiTheme="minorHAnsi" w:hAnsiTheme="minorHAnsi" w:cs="Arial"/>
          <w:lang w:val="en-GB"/>
        </w:rPr>
      </w:pPr>
    </w:p>
    <w:p w:rsidR="00084314" w:rsidRPr="006051E4" w:rsidRDefault="00084314" w:rsidP="00CA4682">
      <w:pPr>
        <w:pStyle w:val="BodyText"/>
        <w:spacing w:line="360" w:lineRule="auto"/>
        <w:jc w:val="center"/>
        <w:rPr>
          <w:rFonts w:asciiTheme="minorHAnsi" w:hAnsiTheme="minorHAnsi" w:cs="Arial"/>
          <w:b/>
          <w:szCs w:val="22"/>
          <w:lang w:val="en-GB"/>
        </w:rPr>
      </w:pPr>
    </w:p>
    <w:p w:rsidR="00CA4682" w:rsidRPr="006051E4" w:rsidRDefault="00CA4682">
      <w:pPr>
        <w:spacing w:after="160" w:line="259" w:lineRule="auto"/>
        <w:rPr>
          <w:rFonts w:eastAsia="Times New Roman" w:cs="Arial"/>
          <w:b/>
          <w:bCs/>
          <w:sz w:val="24"/>
          <w:szCs w:val="24"/>
        </w:rPr>
      </w:pPr>
      <w:r w:rsidRPr="006051E4">
        <w:rPr>
          <w:rFonts w:cs="Arial"/>
          <w:b/>
          <w:bCs/>
        </w:rPr>
        <w:br w:type="page"/>
      </w:r>
    </w:p>
    <w:p w:rsidR="00084314" w:rsidRPr="006051E4" w:rsidRDefault="00C531AC" w:rsidP="00084314">
      <w:pPr>
        <w:pStyle w:val="BodyText"/>
        <w:spacing w:line="360" w:lineRule="auto"/>
        <w:jc w:val="left"/>
        <w:rPr>
          <w:rFonts w:asciiTheme="minorHAnsi" w:hAnsiTheme="minorHAnsi" w:cs="Arial"/>
          <w:b/>
          <w:bCs/>
          <w:lang w:val="en-GB"/>
        </w:rPr>
      </w:pPr>
      <w:r w:rsidRPr="006051E4">
        <w:rPr>
          <w:rFonts w:asciiTheme="minorHAnsi" w:hAnsiTheme="minorHAnsi" w:cs="Arial"/>
          <w:b/>
          <w:bCs/>
          <w:lang w:val="en-GB"/>
        </w:rPr>
        <w:lastRenderedPageBreak/>
        <w:t xml:space="preserve">Figure </w:t>
      </w:r>
      <w:r w:rsidR="00F9211B">
        <w:rPr>
          <w:rFonts w:asciiTheme="minorHAnsi" w:hAnsiTheme="minorHAnsi" w:cs="Arial"/>
          <w:b/>
          <w:bCs/>
          <w:lang w:val="en-GB"/>
        </w:rPr>
        <w:t>S</w:t>
      </w:r>
      <w:bookmarkStart w:id="2" w:name="_GoBack"/>
      <w:bookmarkEnd w:id="2"/>
      <w:r w:rsidRPr="006051E4">
        <w:rPr>
          <w:rFonts w:asciiTheme="minorHAnsi" w:hAnsiTheme="minorHAnsi" w:cs="Arial"/>
          <w:b/>
          <w:bCs/>
          <w:lang w:val="en-GB"/>
        </w:rPr>
        <w:t>6</w:t>
      </w:r>
      <w:r w:rsidR="00084314" w:rsidRPr="006051E4">
        <w:rPr>
          <w:rFonts w:asciiTheme="minorHAnsi" w:hAnsiTheme="minorHAnsi" w:cs="Arial"/>
          <w:b/>
          <w:bCs/>
          <w:lang w:val="en-GB"/>
        </w:rPr>
        <w:t xml:space="preserve"> – Optic Nerve Volume of FTD Patients Normalised to Total Intracranial Volume </w:t>
      </w:r>
    </w:p>
    <w:p w:rsidR="009C3B84" w:rsidRPr="006051E4" w:rsidRDefault="00084314" w:rsidP="009C3B84">
      <w:pPr>
        <w:pStyle w:val="BodyText"/>
        <w:spacing w:line="360" w:lineRule="auto"/>
        <w:jc w:val="left"/>
        <w:rPr>
          <w:rFonts w:cs="Arial"/>
          <w:b/>
          <w:bCs/>
        </w:rPr>
      </w:pPr>
      <w:r w:rsidRPr="006051E4">
        <w:rPr>
          <w:rFonts w:asciiTheme="minorHAnsi" w:hAnsiTheme="minorHAnsi" w:cs="Arial"/>
          <w:lang w:val="en-GB"/>
        </w:rPr>
        <w:t>(A) Total intracranial volume of healthy age-matched controls and FTD patients extracted from MR images.</w:t>
      </w:r>
      <w:r w:rsidR="00E24305" w:rsidRPr="006051E4">
        <w:rPr>
          <w:rFonts w:asciiTheme="minorHAnsi" w:hAnsiTheme="minorHAnsi" w:cs="Arial"/>
          <w:lang w:val="en-GB"/>
        </w:rPr>
        <w:t xml:space="preserve"> Unpaired t-test (p=0.1756).</w:t>
      </w:r>
      <w:r w:rsidRPr="006051E4">
        <w:rPr>
          <w:rFonts w:asciiTheme="minorHAnsi" w:hAnsiTheme="minorHAnsi" w:cs="Arial"/>
          <w:lang w:val="en-GB"/>
        </w:rPr>
        <w:t xml:space="preserve"> (B) Optic nerve volumes displayed in figure 6B normalised to individual intracranial volumes demonstrating that volume loss is independent of intracranial volume. </w:t>
      </w:r>
      <w:r w:rsidR="00E24305" w:rsidRPr="006051E4">
        <w:rPr>
          <w:rFonts w:asciiTheme="minorHAnsi" w:hAnsiTheme="minorHAnsi" w:cs="Arial"/>
          <w:lang w:val="en-GB"/>
        </w:rPr>
        <w:t>Two-way ANOVA (F1</w:t>
      </w:r>
      <w:proofErr w:type="gramStart"/>
      <w:r w:rsidR="00E24305" w:rsidRPr="006051E4">
        <w:rPr>
          <w:rFonts w:asciiTheme="minorHAnsi" w:hAnsiTheme="minorHAnsi" w:cs="Arial"/>
          <w:lang w:val="en-GB"/>
        </w:rPr>
        <w:t>,1</w:t>
      </w:r>
      <w:proofErr w:type="gramEnd"/>
      <w:r w:rsidR="00E24305" w:rsidRPr="006051E4">
        <w:rPr>
          <w:rFonts w:asciiTheme="minorHAnsi" w:hAnsiTheme="minorHAnsi" w:cs="Arial"/>
          <w:lang w:val="en-GB"/>
        </w:rPr>
        <w:t xml:space="preserve">=27.94, p&lt;0.0001). </w:t>
      </w:r>
      <w:r w:rsidRPr="006051E4">
        <w:rPr>
          <w:rFonts w:asciiTheme="minorHAnsi" w:hAnsiTheme="minorHAnsi" w:cs="Arial"/>
          <w:lang w:val="en-GB"/>
        </w:rPr>
        <w:t>Statistical significance indicated with asterisks: *=p&lt;0.05; **=p&lt;0.01.</w:t>
      </w:r>
      <w:r w:rsidR="009C3B84" w:rsidRPr="006051E4">
        <w:rPr>
          <w:rFonts w:cs="Arial"/>
          <w:b/>
          <w:bCs/>
        </w:rPr>
        <w:t xml:space="preserve"> </w:t>
      </w:r>
    </w:p>
    <w:p w:rsidR="009C3B84" w:rsidRPr="006051E4" w:rsidRDefault="009C3B84" w:rsidP="009C3B84">
      <w:pPr>
        <w:pStyle w:val="BodyText"/>
        <w:spacing w:line="360" w:lineRule="auto"/>
        <w:jc w:val="left"/>
        <w:rPr>
          <w:rFonts w:asciiTheme="minorHAnsi" w:hAnsiTheme="minorHAnsi" w:cs="Arial"/>
          <w:lang w:val="en-GB"/>
        </w:rPr>
      </w:pPr>
    </w:p>
    <w:p w:rsidR="00084314" w:rsidRDefault="009C3B84" w:rsidP="009C3B84">
      <w:pPr>
        <w:pStyle w:val="BodyText"/>
        <w:spacing w:line="360" w:lineRule="auto"/>
        <w:jc w:val="left"/>
        <w:rPr>
          <w:rFonts w:asciiTheme="minorHAnsi" w:hAnsiTheme="minorHAnsi" w:cs="Arial"/>
          <w:lang w:val="en-GB"/>
        </w:rPr>
      </w:pPr>
      <w:r w:rsidRPr="006051E4">
        <w:rPr>
          <w:rFonts w:cs="Arial"/>
          <w:b/>
          <w:bCs/>
          <w:noProof/>
          <w:lang w:val="en-US"/>
        </w:rPr>
        <w:drawing>
          <wp:inline distT="0" distB="0" distL="0" distR="0">
            <wp:extent cx="5118100" cy="2879725"/>
            <wp:effectExtent l="0" t="0" r="6350" b="0"/>
            <wp:docPr id="3" name="Picture 3" descr="C:\Users\rmhaarr\AppData\Local\Microsoft\Windows\INetCache\Content.Word\SFigur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mhaarr\AppData\Local\Microsoft\Windows\INetCache\Content.Word\SFigure 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82" w:rsidRPr="00F12779" w:rsidRDefault="00CA4682" w:rsidP="00084314">
      <w:pPr>
        <w:pStyle w:val="BodyText"/>
        <w:spacing w:line="360" w:lineRule="auto"/>
        <w:jc w:val="left"/>
        <w:rPr>
          <w:rFonts w:asciiTheme="minorHAnsi" w:hAnsiTheme="minorHAnsi" w:cs="Arial"/>
          <w:lang w:val="en-GB"/>
        </w:rPr>
      </w:pPr>
    </w:p>
    <w:p w:rsidR="00084314" w:rsidRPr="008A43BC" w:rsidRDefault="00084314" w:rsidP="00CA4682">
      <w:pPr>
        <w:pStyle w:val="BodyText"/>
        <w:jc w:val="center"/>
        <w:rPr>
          <w:rFonts w:asciiTheme="minorHAnsi" w:hAnsiTheme="minorHAnsi" w:cs="Arial"/>
          <w:b/>
          <w:szCs w:val="22"/>
          <w:lang w:val="en-GB"/>
        </w:rPr>
      </w:pPr>
    </w:p>
    <w:p w:rsidR="00A47F2D" w:rsidRDefault="00A47F2D"/>
    <w:sectPr w:rsidR="00A47F2D" w:rsidSect="00C02E28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A1" w:rsidRDefault="00543DA1">
      <w:pPr>
        <w:spacing w:after="0" w:line="240" w:lineRule="auto"/>
      </w:pPr>
      <w:r>
        <w:separator/>
      </w:r>
    </w:p>
  </w:endnote>
  <w:endnote w:type="continuationSeparator" w:id="0">
    <w:p w:rsidR="00543DA1" w:rsidRDefault="0054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634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289F" w:rsidRDefault="00CA46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11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5289F" w:rsidRDefault="00543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A1" w:rsidRDefault="00543DA1">
      <w:pPr>
        <w:spacing w:after="0" w:line="240" w:lineRule="auto"/>
      </w:pPr>
      <w:r>
        <w:separator/>
      </w:r>
    </w:p>
  </w:footnote>
  <w:footnote w:type="continuationSeparator" w:id="0">
    <w:p w:rsidR="00543DA1" w:rsidRDefault="0054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9F" w:rsidRDefault="00543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28DC"/>
    <w:multiLevelType w:val="hybridMultilevel"/>
    <w:tmpl w:val="D49C23F4"/>
    <w:lvl w:ilvl="0" w:tplc="66B83B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"/>
  </w:docVars>
  <w:rsids>
    <w:rsidRoot w:val="00084314"/>
    <w:rsid w:val="00036E37"/>
    <w:rsid w:val="00084314"/>
    <w:rsid w:val="00295370"/>
    <w:rsid w:val="004C315F"/>
    <w:rsid w:val="00512733"/>
    <w:rsid w:val="00543DA1"/>
    <w:rsid w:val="006051E4"/>
    <w:rsid w:val="006D0740"/>
    <w:rsid w:val="007457F7"/>
    <w:rsid w:val="008E233A"/>
    <w:rsid w:val="00930747"/>
    <w:rsid w:val="009C3B84"/>
    <w:rsid w:val="00A47F2D"/>
    <w:rsid w:val="00AC47B1"/>
    <w:rsid w:val="00C1508A"/>
    <w:rsid w:val="00C531AC"/>
    <w:rsid w:val="00C61E01"/>
    <w:rsid w:val="00CA4682"/>
    <w:rsid w:val="00D33A03"/>
    <w:rsid w:val="00DC4A46"/>
    <w:rsid w:val="00E24305"/>
    <w:rsid w:val="00E63007"/>
    <w:rsid w:val="00F3536D"/>
    <w:rsid w:val="00F805CE"/>
    <w:rsid w:val="00F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843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08431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084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14"/>
  </w:style>
  <w:style w:type="paragraph" w:styleId="Footer">
    <w:name w:val="footer"/>
    <w:basedOn w:val="Normal"/>
    <w:link w:val="FooterChar"/>
    <w:uiPriority w:val="99"/>
    <w:unhideWhenUsed/>
    <w:rsid w:val="00084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14"/>
  </w:style>
  <w:style w:type="character" w:styleId="Hyperlink">
    <w:name w:val="Hyperlink"/>
    <w:basedOn w:val="DefaultParagraphFont"/>
    <w:uiPriority w:val="99"/>
    <w:unhideWhenUsed/>
    <w:rsid w:val="000843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843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08431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084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14"/>
  </w:style>
  <w:style w:type="paragraph" w:styleId="Footer">
    <w:name w:val="footer"/>
    <w:basedOn w:val="Normal"/>
    <w:link w:val="FooterChar"/>
    <w:uiPriority w:val="99"/>
    <w:unhideWhenUsed/>
    <w:rsid w:val="00084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14"/>
  </w:style>
  <w:style w:type="character" w:styleId="Hyperlink">
    <w:name w:val="Hyperlink"/>
    <w:basedOn w:val="DefaultParagraphFont"/>
    <w:uiPriority w:val="99"/>
    <w:unhideWhenUsed/>
    <w:rsid w:val="000843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harrison@ucl.ac.uk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584</Words>
  <Characters>3579</Characters>
  <Application>Microsoft Office Word</Application>
  <DocSecurity>0</DocSecurity>
  <Lines>89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Harrison</dc:creator>
  <cp:keywords/>
  <dc:description/>
  <cp:lastModifiedBy>RGERASOL</cp:lastModifiedBy>
  <cp:revision>4</cp:revision>
  <dcterms:created xsi:type="dcterms:W3CDTF">2018-12-20T14:13:00Z</dcterms:created>
  <dcterms:modified xsi:type="dcterms:W3CDTF">2018-12-21T16:57:00Z</dcterms:modified>
</cp:coreProperties>
</file>