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7E" w:rsidRPr="000E5F12" w:rsidRDefault="00E00C7E" w:rsidP="00E00C7E">
      <w:pPr>
        <w:spacing w:line="360" w:lineRule="auto"/>
        <w:jc w:val="both"/>
        <w:rPr>
          <w:rFonts w:asciiTheme="majorHAnsi" w:hAnsiTheme="majorHAnsi"/>
          <w:b/>
          <w:bCs/>
          <w:noProof/>
        </w:rPr>
      </w:pPr>
      <w:r w:rsidRPr="000E5F12">
        <w:rPr>
          <w:rFonts w:asciiTheme="majorHAnsi" w:hAnsiTheme="majorHAnsi"/>
          <w:b/>
          <w:bCs/>
          <w:noProof/>
        </w:rPr>
        <w:t xml:space="preserve">Supplementary </w:t>
      </w:r>
      <w:r w:rsidR="00D12A02" w:rsidRPr="000E5F12">
        <w:rPr>
          <w:rFonts w:asciiTheme="majorHAnsi" w:hAnsiTheme="majorHAnsi"/>
          <w:b/>
          <w:bCs/>
          <w:noProof/>
        </w:rPr>
        <w:t>d</w:t>
      </w:r>
      <w:r w:rsidRPr="000E5F12">
        <w:rPr>
          <w:rFonts w:asciiTheme="majorHAnsi" w:hAnsiTheme="majorHAnsi"/>
          <w:b/>
          <w:bCs/>
          <w:noProof/>
        </w:rPr>
        <w:t>ata</w:t>
      </w:r>
    </w:p>
    <w:p w:rsidR="00E00C7E" w:rsidRPr="000E5F12" w:rsidRDefault="00E00C7E" w:rsidP="00E00C7E">
      <w:pPr>
        <w:spacing w:line="360" w:lineRule="auto"/>
        <w:jc w:val="both"/>
        <w:rPr>
          <w:rFonts w:asciiTheme="majorHAnsi" w:hAnsiTheme="majorHAnsi"/>
        </w:rPr>
      </w:pPr>
      <w:r w:rsidRPr="000E5F12">
        <w:rPr>
          <w:rFonts w:asciiTheme="majorHAnsi" w:hAnsiTheme="majorHAnsi"/>
          <w:b/>
        </w:rPr>
        <w:t>Methods</w:t>
      </w:r>
    </w:p>
    <w:p w:rsidR="00E00C7E" w:rsidRPr="000E5F12" w:rsidRDefault="00E00C7E" w:rsidP="00E00C7E">
      <w:pPr>
        <w:widowControl w:val="0"/>
        <w:autoSpaceDE w:val="0"/>
        <w:autoSpaceDN w:val="0"/>
        <w:adjustRightInd w:val="0"/>
        <w:spacing w:line="360" w:lineRule="auto"/>
        <w:jc w:val="both"/>
        <w:rPr>
          <w:rFonts w:asciiTheme="majorHAnsi" w:hAnsiTheme="majorHAnsi"/>
        </w:rPr>
      </w:pPr>
      <w:proofErr w:type="gramStart"/>
      <w:r w:rsidRPr="000E5F12">
        <w:rPr>
          <w:rFonts w:asciiTheme="majorHAnsi" w:hAnsiTheme="majorHAnsi"/>
          <w:i/>
        </w:rPr>
        <w:t>Molecular genetic analysis.</w:t>
      </w:r>
      <w:proofErr w:type="gramEnd"/>
      <w:r w:rsidRPr="000E5F12">
        <w:rPr>
          <w:rFonts w:asciiTheme="majorHAnsi" w:hAnsiTheme="majorHAnsi"/>
        </w:rPr>
        <w:t xml:space="preserve"> After an informing consent was signed blood samples were collected </w:t>
      </w:r>
      <w:r w:rsidRPr="000D0884">
        <w:rPr>
          <w:rFonts w:asciiTheme="majorHAnsi" w:hAnsiTheme="majorHAnsi"/>
          <w:noProof/>
        </w:rPr>
        <w:t>and</w:t>
      </w:r>
      <w:r w:rsidRPr="000E5F12">
        <w:rPr>
          <w:rFonts w:asciiTheme="majorHAnsi" w:hAnsiTheme="majorHAnsi"/>
        </w:rPr>
        <w:t xml:space="preserve"> genomic DNA </w:t>
      </w:r>
      <w:r w:rsidRPr="000D0884">
        <w:rPr>
          <w:rFonts w:asciiTheme="majorHAnsi" w:hAnsiTheme="majorHAnsi"/>
          <w:noProof/>
        </w:rPr>
        <w:t>was extracted</w:t>
      </w:r>
      <w:r w:rsidRPr="000E5F12">
        <w:rPr>
          <w:rFonts w:asciiTheme="majorHAnsi" w:hAnsiTheme="majorHAnsi"/>
        </w:rPr>
        <w:t xml:space="preserve"> from peripheral leukocytes according to standard procedures. </w:t>
      </w:r>
      <w:r w:rsidRPr="000D0884">
        <w:rPr>
          <w:rFonts w:asciiTheme="majorHAnsi" w:hAnsiTheme="majorHAnsi"/>
          <w:noProof/>
        </w:rPr>
        <w:t xml:space="preserve">The </w:t>
      </w:r>
      <w:r w:rsidRPr="000D0884">
        <w:rPr>
          <w:rFonts w:asciiTheme="majorHAnsi" w:hAnsiTheme="majorHAnsi"/>
          <w:i/>
          <w:noProof/>
        </w:rPr>
        <w:t>PRNP</w:t>
      </w:r>
      <w:r w:rsidRPr="000D0884">
        <w:rPr>
          <w:rFonts w:asciiTheme="majorHAnsi" w:hAnsiTheme="majorHAnsi"/>
          <w:noProof/>
        </w:rPr>
        <w:t xml:space="preserve"> open reading frame (ORF) was amplified by the PCR</w:t>
      </w:r>
      <w:r w:rsidRPr="000E5F12">
        <w:rPr>
          <w:rFonts w:asciiTheme="majorHAnsi" w:hAnsiTheme="majorHAnsi"/>
          <w:noProof/>
        </w:rPr>
        <w:t xml:space="preserve"> with the flanking primers </w:t>
      </w:r>
      <w:r w:rsidRPr="000D0884">
        <w:rPr>
          <w:rFonts w:asciiTheme="majorHAnsi" w:hAnsiTheme="majorHAnsi"/>
          <w:noProof/>
        </w:rPr>
        <w:t>PrPF</w:t>
      </w:r>
      <w:r w:rsidRPr="000E5F12">
        <w:rPr>
          <w:rFonts w:asciiTheme="majorHAnsi" w:hAnsiTheme="majorHAnsi"/>
          <w:noProof/>
        </w:rPr>
        <w:t xml:space="preserve"> (5'-GATACCATTGCTATGCACTCATTC-3') and </w:t>
      </w:r>
      <w:r w:rsidRPr="000D0884">
        <w:rPr>
          <w:rFonts w:asciiTheme="majorHAnsi" w:hAnsiTheme="majorHAnsi"/>
          <w:noProof/>
        </w:rPr>
        <w:t>PrPR</w:t>
      </w:r>
      <w:r w:rsidRPr="000E5F12">
        <w:rPr>
          <w:rFonts w:asciiTheme="majorHAnsi" w:hAnsiTheme="majorHAnsi"/>
          <w:noProof/>
        </w:rPr>
        <w:t xml:space="preserve"> (5'-CATCAGTGCCAAGGGTATTGATTAGCC-3') in an automated thermocycler T100 (Bio-Rad). PCR was run through 40 cycles at 94 °C for 40 seconds, at 60 °C for 40 seconds, at 72 °C for 40 seconds, plus a final step at 72 °C for 5 minutes. PCR products were detected on 1.5% agarose gel, purified with the QIAquick PCR purification kit (Qiagen) according to manufacturer’s recommendations, and sequenced by the Sanger dideoxynucleotide chain termination method with the kit GenomeLab DTCS-Quick Start Kit (Beckman-Coulter). The </w:t>
      </w:r>
      <w:r w:rsidRPr="000D0884">
        <w:rPr>
          <w:rFonts w:asciiTheme="majorHAnsi" w:hAnsiTheme="majorHAnsi"/>
          <w:noProof/>
        </w:rPr>
        <w:t>PrPF</w:t>
      </w:r>
      <w:r w:rsidRPr="000E5F12">
        <w:rPr>
          <w:rFonts w:asciiTheme="majorHAnsi" w:hAnsiTheme="majorHAnsi"/>
          <w:noProof/>
        </w:rPr>
        <w:t xml:space="preserve">, </w:t>
      </w:r>
      <w:r w:rsidRPr="000D0884">
        <w:rPr>
          <w:rFonts w:asciiTheme="majorHAnsi" w:hAnsiTheme="majorHAnsi"/>
          <w:noProof/>
        </w:rPr>
        <w:t>PrPR</w:t>
      </w:r>
      <w:r w:rsidRPr="000E5F12">
        <w:rPr>
          <w:rFonts w:asciiTheme="majorHAnsi" w:hAnsiTheme="majorHAnsi"/>
          <w:noProof/>
        </w:rPr>
        <w:t xml:space="preserve"> primers, and two additional internal primers, PrPRi (5'-GTCTCGGTGAAGTTCTCCCC-3') and </w:t>
      </w:r>
      <w:r w:rsidRPr="000D0884">
        <w:rPr>
          <w:rFonts w:asciiTheme="majorHAnsi" w:hAnsiTheme="majorHAnsi"/>
          <w:noProof/>
        </w:rPr>
        <w:t>PrPFi</w:t>
      </w:r>
      <w:r w:rsidRPr="000E5F12">
        <w:rPr>
          <w:rFonts w:asciiTheme="majorHAnsi" w:hAnsiTheme="majorHAnsi"/>
          <w:noProof/>
        </w:rPr>
        <w:t xml:space="preserve"> (5'-ACAGTCAGTGGAACAAGCCG-3'), were used. Sequences were run for 30 cycles at 96 °C for 20 seconds, 58°C for 20 seconds and 60 °C for 4 minutes. Purified sequences were then electrophoresed on the automated CEQ8000 Genetic Analysis System (Beckman-Coulter) and analyzed using the software provided by the manufacturer. </w:t>
      </w:r>
      <w:r w:rsidRPr="000E5F12">
        <w:rPr>
          <w:rFonts w:asciiTheme="majorHAnsi" w:hAnsiTheme="majorHAnsi"/>
        </w:rPr>
        <w:t xml:space="preserve">The reference sequence </w:t>
      </w:r>
      <w:r w:rsidRPr="000D0884">
        <w:rPr>
          <w:rFonts w:asciiTheme="majorHAnsi" w:hAnsiTheme="majorHAnsi"/>
          <w:noProof/>
        </w:rPr>
        <w:t>was obtained</w:t>
      </w:r>
      <w:r w:rsidRPr="000E5F12">
        <w:rPr>
          <w:rFonts w:asciiTheme="majorHAnsi" w:hAnsiTheme="majorHAnsi"/>
        </w:rPr>
        <w:t xml:space="preserve"> by NCBI gene bank (</w:t>
      </w:r>
      <w:hyperlink r:id="rId8" w:history="1">
        <w:r w:rsidRPr="000E5F12">
          <w:rPr>
            <w:rStyle w:val="Collegamentoipertestuale"/>
            <w:rFonts w:asciiTheme="majorHAnsi" w:hAnsiTheme="majorHAnsi"/>
          </w:rPr>
          <w:t>https://www.ncbi.nlm.nih.gov/gene/?term=PRNP</w:t>
        </w:r>
      </w:hyperlink>
      <w:r w:rsidRPr="000E5F12">
        <w:rPr>
          <w:rFonts w:asciiTheme="majorHAnsi" w:hAnsiTheme="majorHAnsi"/>
        </w:rPr>
        <w:t>).</w:t>
      </w:r>
    </w:p>
    <w:p w:rsidR="00E00C7E" w:rsidRPr="000E5F12" w:rsidRDefault="00E00C7E" w:rsidP="00E00C7E">
      <w:pPr>
        <w:widowControl w:val="0"/>
        <w:autoSpaceDE w:val="0"/>
        <w:autoSpaceDN w:val="0"/>
        <w:adjustRightInd w:val="0"/>
        <w:spacing w:line="360" w:lineRule="auto"/>
        <w:jc w:val="both"/>
        <w:rPr>
          <w:rFonts w:asciiTheme="majorHAnsi" w:hAnsiTheme="majorHAnsi"/>
        </w:rPr>
      </w:pPr>
      <w:r w:rsidRPr="000E5F12">
        <w:rPr>
          <w:rFonts w:asciiTheme="majorHAnsi" w:hAnsiTheme="majorHAnsi"/>
          <w:i/>
        </w:rPr>
        <w:t>RT-</w:t>
      </w:r>
      <w:proofErr w:type="spellStart"/>
      <w:r w:rsidRPr="000E5F12">
        <w:rPr>
          <w:rFonts w:asciiTheme="majorHAnsi" w:hAnsiTheme="majorHAnsi"/>
          <w:i/>
        </w:rPr>
        <w:t>QuIC</w:t>
      </w:r>
      <w:proofErr w:type="spellEnd"/>
      <w:r w:rsidR="000C6631">
        <w:rPr>
          <w:rFonts w:asciiTheme="majorHAnsi" w:hAnsiTheme="majorHAnsi"/>
        </w:rPr>
        <w:t xml:space="preserve"> </w:t>
      </w:r>
      <w:bookmarkStart w:id="0" w:name="_GoBack"/>
      <w:bookmarkEnd w:id="0"/>
      <w:r w:rsidRPr="000E5F12">
        <w:rPr>
          <w:rFonts w:asciiTheme="majorHAnsi" w:hAnsiTheme="majorHAnsi"/>
        </w:rPr>
        <w:t xml:space="preserve">test. The </w:t>
      </w:r>
      <w:r w:rsidR="003B1985" w:rsidRPr="000D0884">
        <w:rPr>
          <w:rFonts w:asciiTheme="majorHAnsi" w:hAnsiTheme="majorHAnsi"/>
          <w:noProof/>
        </w:rPr>
        <w:t xml:space="preserve">Real </w:t>
      </w:r>
      <w:r w:rsidRPr="000D0884">
        <w:rPr>
          <w:rFonts w:asciiTheme="majorHAnsi" w:hAnsiTheme="majorHAnsi"/>
          <w:noProof/>
        </w:rPr>
        <w:t>Time</w:t>
      </w:r>
      <w:r w:rsidRPr="000E5F12">
        <w:rPr>
          <w:rFonts w:asciiTheme="majorHAnsi" w:hAnsiTheme="majorHAnsi"/>
        </w:rPr>
        <w:t xml:space="preserve"> Quaking Induced Conversion (RT-</w:t>
      </w:r>
      <w:proofErr w:type="spellStart"/>
      <w:r w:rsidRPr="000E5F12">
        <w:rPr>
          <w:rFonts w:asciiTheme="majorHAnsi" w:hAnsiTheme="majorHAnsi"/>
        </w:rPr>
        <w:t>QuIC</w:t>
      </w:r>
      <w:proofErr w:type="spellEnd"/>
      <w:r w:rsidRPr="000E5F12">
        <w:rPr>
          <w:rFonts w:asciiTheme="majorHAnsi" w:hAnsiTheme="majorHAnsi"/>
        </w:rPr>
        <w:t xml:space="preserve">) assay </w:t>
      </w:r>
      <w:r w:rsidRPr="000D0884">
        <w:rPr>
          <w:rFonts w:asciiTheme="majorHAnsi" w:hAnsiTheme="majorHAnsi"/>
          <w:noProof/>
        </w:rPr>
        <w:t>was performed</w:t>
      </w:r>
      <w:r w:rsidRPr="000E5F12">
        <w:rPr>
          <w:rFonts w:asciiTheme="majorHAnsi" w:hAnsiTheme="majorHAnsi"/>
        </w:rPr>
        <w:t xml:space="preserve"> in quadruplicate by seeding 30 </w:t>
      </w:r>
      <w:proofErr w:type="spellStart"/>
      <w:r w:rsidRPr="000E5F12">
        <w:rPr>
          <w:rFonts w:asciiTheme="majorHAnsi" w:hAnsiTheme="majorHAnsi"/>
        </w:rPr>
        <w:t>μl</w:t>
      </w:r>
      <w:proofErr w:type="spellEnd"/>
      <w:r w:rsidRPr="000E5F12">
        <w:rPr>
          <w:rFonts w:asciiTheme="majorHAnsi" w:hAnsiTheme="majorHAnsi"/>
        </w:rPr>
        <w:t xml:space="preserve"> of CSF for each sample, according to McGuire </w:t>
      </w:r>
      <w:r w:rsidRPr="000D0884">
        <w:rPr>
          <w:rFonts w:asciiTheme="majorHAnsi" w:hAnsiTheme="majorHAnsi"/>
          <w:noProof/>
        </w:rPr>
        <w:t>et al</w:t>
      </w:r>
      <w:r w:rsidRPr="000E5F12">
        <w:rPr>
          <w:rFonts w:asciiTheme="majorHAnsi" w:hAnsiTheme="majorHAnsi"/>
        </w:rPr>
        <w:t xml:space="preserve"> [1] with </w:t>
      </w:r>
      <w:proofErr w:type="gramStart"/>
      <w:r w:rsidRPr="000E5F12">
        <w:rPr>
          <w:rFonts w:asciiTheme="majorHAnsi" w:hAnsiTheme="majorHAnsi"/>
        </w:rPr>
        <w:t>modifications</w:t>
      </w:r>
      <w:proofErr w:type="gramEnd"/>
      <w:r w:rsidRPr="000E5F12">
        <w:rPr>
          <w:rFonts w:asciiTheme="majorHAnsi" w:hAnsiTheme="majorHAnsi"/>
        </w:rPr>
        <w:t xml:space="preserve">, on a </w:t>
      </w:r>
      <w:proofErr w:type="spellStart"/>
      <w:r w:rsidRPr="000E5F12">
        <w:rPr>
          <w:rFonts w:asciiTheme="majorHAnsi" w:hAnsiTheme="majorHAnsi"/>
        </w:rPr>
        <w:t>FluoStar</w:t>
      </w:r>
      <w:proofErr w:type="spellEnd"/>
      <w:r w:rsidRPr="000E5F12">
        <w:rPr>
          <w:rFonts w:asciiTheme="majorHAnsi" w:hAnsiTheme="majorHAnsi"/>
        </w:rPr>
        <w:t xml:space="preserve"> OMEGA plate reader at 42 ◦C. </w:t>
      </w:r>
    </w:p>
    <w:p w:rsidR="00E00C7E" w:rsidRPr="000E5F12" w:rsidRDefault="00E00C7E" w:rsidP="00E00C7E">
      <w:pPr>
        <w:widowControl w:val="0"/>
        <w:autoSpaceDE w:val="0"/>
        <w:autoSpaceDN w:val="0"/>
        <w:adjustRightInd w:val="0"/>
        <w:spacing w:line="360" w:lineRule="auto"/>
        <w:jc w:val="both"/>
        <w:rPr>
          <w:rFonts w:asciiTheme="majorHAnsi" w:hAnsiTheme="majorHAnsi"/>
          <w:noProof/>
        </w:rPr>
      </w:pPr>
      <w:r w:rsidRPr="000E5F12">
        <w:rPr>
          <w:rFonts w:asciiTheme="majorHAnsi" w:hAnsiTheme="majorHAnsi"/>
          <w:i/>
        </w:rPr>
        <w:t>Neuropathology</w:t>
      </w:r>
      <w:r w:rsidRPr="000E5F12">
        <w:rPr>
          <w:rFonts w:asciiTheme="majorHAnsi" w:hAnsiTheme="majorHAnsi"/>
        </w:rPr>
        <w:t>.</w:t>
      </w:r>
      <w:r w:rsidRPr="000E5F12">
        <w:rPr>
          <w:rFonts w:asciiTheme="majorHAnsi" w:hAnsiTheme="majorHAnsi"/>
          <w:i/>
          <w:iCs/>
        </w:rPr>
        <w:t xml:space="preserve"> </w:t>
      </w:r>
      <w:r w:rsidRPr="000E5F12">
        <w:rPr>
          <w:rFonts w:asciiTheme="majorHAnsi" w:hAnsiTheme="majorHAnsi"/>
        </w:rPr>
        <w:t xml:space="preserve">At autopsy, the right half of the brain </w:t>
      </w:r>
      <w:r w:rsidRPr="000D0884">
        <w:rPr>
          <w:rFonts w:asciiTheme="majorHAnsi" w:hAnsiTheme="majorHAnsi"/>
          <w:noProof/>
        </w:rPr>
        <w:t>was immediately frozen</w:t>
      </w:r>
      <w:r w:rsidRPr="000E5F12">
        <w:rPr>
          <w:rFonts w:asciiTheme="majorHAnsi" w:hAnsiTheme="majorHAnsi"/>
        </w:rPr>
        <w:t xml:space="preserve">, while the left half was fixed in formalin and used for neuropathological examination. Samples from the cerebral neocortex (two for each lobe), </w:t>
      </w:r>
      <w:r w:rsidR="003B1985" w:rsidRPr="003B1985">
        <w:rPr>
          <w:rFonts w:asciiTheme="majorHAnsi" w:hAnsiTheme="majorHAnsi"/>
          <w:noProof/>
        </w:rPr>
        <w:t>cingulate</w:t>
      </w:r>
      <w:r w:rsidRPr="000E5F12">
        <w:rPr>
          <w:rFonts w:asciiTheme="majorHAnsi" w:hAnsiTheme="majorHAnsi"/>
        </w:rPr>
        <w:t xml:space="preserve">, entorhinal, and insular cortices, hippocampus, amygdala, striatum, thalamus (anterior and posterior), midbrain, pons, medulla and cerebellum (vermis, and hemisphere) were taken from the left half of the brain and used for histopathologic examination. A </w:t>
      </w:r>
      <w:proofErr w:type="spellStart"/>
      <w:r w:rsidRPr="000E5F12">
        <w:rPr>
          <w:rFonts w:asciiTheme="majorHAnsi" w:hAnsiTheme="majorHAnsi"/>
        </w:rPr>
        <w:t>semiquant</w:t>
      </w:r>
      <w:r w:rsidR="003B1985">
        <w:rPr>
          <w:rFonts w:asciiTheme="majorHAnsi" w:hAnsiTheme="majorHAnsi"/>
        </w:rPr>
        <w:t>itative</w:t>
      </w:r>
      <w:proofErr w:type="spellEnd"/>
      <w:r w:rsidR="003B1985">
        <w:rPr>
          <w:rFonts w:asciiTheme="majorHAnsi" w:hAnsiTheme="majorHAnsi"/>
        </w:rPr>
        <w:t xml:space="preserve"> evaluation of spongiform change</w:t>
      </w:r>
      <w:r w:rsidRPr="000E5F12">
        <w:rPr>
          <w:rFonts w:asciiTheme="majorHAnsi" w:hAnsiTheme="majorHAnsi"/>
        </w:rPr>
        <w:t xml:space="preserve">, neuronal loss and gliosis </w:t>
      </w:r>
      <w:r w:rsidRPr="00174330">
        <w:rPr>
          <w:rFonts w:asciiTheme="majorHAnsi" w:hAnsiTheme="majorHAnsi"/>
          <w:noProof/>
        </w:rPr>
        <w:t>was</w:t>
      </w:r>
      <w:r w:rsidRPr="000E5F12">
        <w:rPr>
          <w:rFonts w:asciiTheme="majorHAnsi" w:hAnsiTheme="majorHAnsi"/>
        </w:rPr>
        <w:t xml:space="preserve"> carried out on H&amp;E </w:t>
      </w:r>
      <w:r w:rsidR="00463A25">
        <w:rPr>
          <w:rFonts w:asciiTheme="majorHAnsi" w:hAnsiTheme="majorHAnsi"/>
        </w:rPr>
        <w:t xml:space="preserve">stained paraffin sections. </w:t>
      </w:r>
      <w:r w:rsidR="00463A25" w:rsidRPr="000C6631">
        <w:rPr>
          <w:rFonts w:asciiTheme="majorHAnsi" w:hAnsiTheme="majorHAnsi"/>
        </w:rPr>
        <w:t>I</w:t>
      </w:r>
      <w:r w:rsidRPr="000C6631">
        <w:rPr>
          <w:rFonts w:asciiTheme="majorHAnsi" w:hAnsiTheme="majorHAnsi"/>
        </w:rPr>
        <w:t xml:space="preserve">mmunohistochemistry </w:t>
      </w:r>
      <w:r w:rsidR="00463A25" w:rsidRPr="000C6631">
        <w:rPr>
          <w:rFonts w:asciiTheme="majorHAnsi" w:hAnsiTheme="majorHAnsi"/>
        </w:rPr>
        <w:t xml:space="preserve">for </w:t>
      </w:r>
      <w:proofErr w:type="spellStart"/>
      <w:r w:rsidR="00463A25" w:rsidRPr="000C6631">
        <w:rPr>
          <w:rFonts w:asciiTheme="majorHAnsi" w:hAnsiTheme="majorHAnsi"/>
        </w:rPr>
        <w:t>PrP</w:t>
      </w:r>
      <w:proofErr w:type="spellEnd"/>
      <w:r w:rsidR="00463A25" w:rsidRPr="000C6631">
        <w:rPr>
          <w:rFonts w:asciiTheme="majorHAnsi" w:hAnsiTheme="majorHAnsi"/>
        </w:rPr>
        <w:t xml:space="preserve"> (3F4) and proteins </w:t>
      </w:r>
      <w:proofErr w:type="spellStart"/>
      <w:r w:rsidR="00463A25" w:rsidRPr="000C6631">
        <w:rPr>
          <w:rFonts w:asciiTheme="majorHAnsi" w:hAnsiTheme="majorHAnsi"/>
        </w:rPr>
        <w:t>phospho</w:t>
      </w:r>
      <w:proofErr w:type="spellEnd"/>
      <w:r w:rsidR="00463A25" w:rsidRPr="000C6631">
        <w:rPr>
          <w:rFonts w:asciiTheme="majorHAnsi" w:hAnsiTheme="majorHAnsi"/>
        </w:rPr>
        <w:t>-tau (AT8), beta-amyloid (4G8), alpha-</w:t>
      </w:r>
      <w:proofErr w:type="spellStart"/>
      <w:r w:rsidR="00463A25" w:rsidRPr="000C6631">
        <w:rPr>
          <w:rFonts w:asciiTheme="majorHAnsi" w:hAnsiTheme="majorHAnsi"/>
        </w:rPr>
        <w:t>synuclein</w:t>
      </w:r>
      <w:proofErr w:type="spellEnd"/>
      <w:r w:rsidR="00463A25" w:rsidRPr="000C6631">
        <w:rPr>
          <w:rFonts w:asciiTheme="majorHAnsi" w:hAnsiTheme="majorHAnsi"/>
        </w:rPr>
        <w:t xml:space="preserve"> (LB509) and </w:t>
      </w:r>
      <w:r w:rsidR="00463A25" w:rsidRPr="000C6631">
        <w:rPr>
          <w:rFonts w:asciiTheme="majorHAnsi" w:hAnsiTheme="majorHAnsi"/>
          <w:noProof/>
        </w:rPr>
        <w:t>phospho</w:t>
      </w:r>
      <w:r w:rsidR="00463A25" w:rsidRPr="000C6631">
        <w:rPr>
          <w:rFonts w:asciiTheme="majorHAnsi" w:hAnsiTheme="majorHAnsi"/>
        </w:rPr>
        <w:t>-TDP-43 (pS409/410-1)</w:t>
      </w:r>
      <w:r w:rsidR="00463A25">
        <w:rPr>
          <w:rFonts w:asciiTheme="majorHAnsi" w:hAnsiTheme="majorHAnsi"/>
        </w:rPr>
        <w:t xml:space="preserve"> </w:t>
      </w:r>
      <w:r w:rsidRPr="000D0884">
        <w:rPr>
          <w:rFonts w:asciiTheme="majorHAnsi" w:hAnsiTheme="majorHAnsi"/>
          <w:noProof/>
        </w:rPr>
        <w:t>was performed</w:t>
      </w:r>
      <w:r w:rsidRPr="000E5F12">
        <w:rPr>
          <w:rFonts w:asciiTheme="majorHAnsi" w:hAnsiTheme="majorHAnsi"/>
        </w:rPr>
        <w:t xml:space="preserve"> </w:t>
      </w:r>
      <w:r w:rsidRPr="003B1985">
        <w:rPr>
          <w:rFonts w:asciiTheme="majorHAnsi" w:hAnsiTheme="majorHAnsi"/>
        </w:rPr>
        <w:t>as described [2].</w:t>
      </w:r>
      <w:r w:rsidRPr="000E5F12">
        <w:rPr>
          <w:rFonts w:asciiTheme="majorHAnsi" w:hAnsiTheme="majorHAnsi"/>
        </w:rPr>
        <w:t xml:space="preserve"> Selected </w:t>
      </w:r>
      <w:r w:rsidRPr="000D0884">
        <w:rPr>
          <w:rFonts w:asciiTheme="majorHAnsi" w:hAnsiTheme="majorHAnsi"/>
          <w:noProof/>
        </w:rPr>
        <w:t>sections</w:t>
      </w:r>
      <w:r w:rsidRPr="000E5F12">
        <w:rPr>
          <w:rFonts w:asciiTheme="majorHAnsi" w:hAnsiTheme="majorHAnsi"/>
        </w:rPr>
        <w:t xml:space="preserve"> from the cerebral cortex and cerebellum </w:t>
      </w:r>
      <w:r w:rsidRPr="00174330">
        <w:rPr>
          <w:rFonts w:asciiTheme="majorHAnsi" w:hAnsiTheme="majorHAnsi"/>
          <w:noProof/>
        </w:rPr>
        <w:t>were also stained</w:t>
      </w:r>
      <w:r w:rsidRPr="000E5F12">
        <w:rPr>
          <w:rFonts w:asciiTheme="majorHAnsi" w:hAnsiTheme="majorHAnsi"/>
        </w:rPr>
        <w:t xml:space="preserve"> with PAS, and Congo red. Astrocytic gliosis and white matter pathology were also assessed on slides stained with anti- GFAP (</w:t>
      </w:r>
      <w:proofErr w:type="spellStart"/>
      <w:r w:rsidRPr="000E5F12">
        <w:rPr>
          <w:rFonts w:asciiTheme="majorHAnsi" w:hAnsiTheme="majorHAnsi"/>
        </w:rPr>
        <w:t>Dako</w:t>
      </w:r>
      <w:proofErr w:type="spellEnd"/>
      <w:r w:rsidRPr="000E5F12">
        <w:rPr>
          <w:rFonts w:asciiTheme="majorHAnsi" w:hAnsiTheme="majorHAnsi"/>
        </w:rPr>
        <w:t>), HLA-DR-DQ (</w:t>
      </w:r>
      <w:proofErr w:type="spellStart"/>
      <w:r w:rsidRPr="000E5F12">
        <w:rPr>
          <w:rFonts w:asciiTheme="majorHAnsi" w:hAnsiTheme="majorHAnsi"/>
        </w:rPr>
        <w:t>Dako</w:t>
      </w:r>
      <w:proofErr w:type="spellEnd"/>
      <w:r w:rsidRPr="000E5F12">
        <w:rPr>
          <w:rFonts w:asciiTheme="majorHAnsi" w:hAnsiTheme="majorHAnsi"/>
        </w:rPr>
        <w:t>), and APP (</w:t>
      </w:r>
      <w:proofErr w:type="spellStart"/>
      <w:r w:rsidRPr="000E5F12">
        <w:rPr>
          <w:rFonts w:asciiTheme="majorHAnsi" w:hAnsiTheme="majorHAnsi"/>
        </w:rPr>
        <w:t>Chemicon</w:t>
      </w:r>
      <w:proofErr w:type="spellEnd"/>
      <w:r w:rsidRPr="000E5F12">
        <w:rPr>
          <w:rFonts w:asciiTheme="majorHAnsi" w:hAnsiTheme="majorHAnsi"/>
        </w:rPr>
        <w:t>) monoclonal antibodies.</w:t>
      </w:r>
    </w:p>
    <w:p w:rsidR="00E00C7E" w:rsidRPr="000E5F12" w:rsidRDefault="00E00C7E" w:rsidP="00E00C7E">
      <w:pPr>
        <w:spacing w:line="360" w:lineRule="auto"/>
        <w:jc w:val="both"/>
        <w:rPr>
          <w:rFonts w:asciiTheme="majorHAnsi" w:hAnsiTheme="majorHAnsi"/>
        </w:rPr>
      </w:pPr>
      <w:r w:rsidRPr="000E5F12">
        <w:rPr>
          <w:rFonts w:asciiTheme="majorHAnsi" w:hAnsiTheme="majorHAnsi"/>
          <w:i/>
          <w:iCs/>
        </w:rPr>
        <w:lastRenderedPageBreak/>
        <w:t>Biochemical analysis</w:t>
      </w:r>
      <w:r w:rsidRPr="000E5F12">
        <w:rPr>
          <w:rFonts w:asciiTheme="majorHAnsi" w:hAnsiTheme="majorHAnsi"/>
        </w:rPr>
        <w:t xml:space="preserve">. </w:t>
      </w:r>
      <w:proofErr w:type="spellStart"/>
      <w:r w:rsidRPr="000E5F12">
        <w:rPr>
          <w:rFonts w:asciiTheme="majorHAnsi" w:hAnsiTheme="majorHAnsi"/>
        </w:rPr>
        <w:t>PrP</w:t>
      </w:r>
      <w:r w:rsidRPr="000E5F12">
        <w:rPr>
          <w:rFonts w:asciiTheme="majorHAnsi" w:hAnsiTheme="majorHAnsi"/>
          <w:vertAlign w:val="superscript"/>
        </w:rPr>
        <w:t>TSE</w:t>
      </w:r>
      <w:proofErr w:type="spellEnd"/>
      <w:r w:rsidRPr="000E5F12">
        <w:rPr>
          <w:rFonts w:asciiTheme="majorHAnsi" w:hAnsiTheme="majorHAnsi"/>
        </w:rPr>
        <w:t xml:space="preserve"> </w:t>
      </w:r>
      <w:r w:rsidRPr="00174330">
        <w:rPr>
          <w:rFonts w:asciiTheme="majorHAnsi" w:hAnsiTheme="majorHAnsi"/>
          <w:noProof/>
        </w:rPr>
        <w:t>was extracted</w:t>
      </w:r>
      <w:r w:rsidRPr="000E5F12">
        <w:rPr>
          <w:rFonts w:asciiTheme="majorHAnsi" w:hAnsiTheme="majorHAnsi"/>
        </w:rPr>
        <w:t xml:space="preserve"> from the </w:t>
      </w:r>
      <w:r w:rsidRPr="003B1985">
        <w:rPr>
          <w:rFonts w:asciiTheme="majorHAnsi" w:hAnsiTheme="majorHAnsi"/>
          <w:noProof/>
        </w:rPr>
        <w:t>above</w:t>
      </w:r>
      <w:r w:rsidR="003B1985">
        <w:rPr>
          <w:rFonts w:asciiTheme="majorHAnsi" w:hAnsiTheme="majorHAnsi"/>
          <w:noProof/>
        </w:rPr>
        <w:t>-</w:t>
      </w:r>
      <w:r w:rsidRPr="003B1985">
        <w:rPr>
          <w:rFonts w:asciiTheme="majorHAnsi" w:hAnsiTheme="majorHAnsi"/>
          <w:noProof/>
        </w:rPr>
        <w:t>listed</w:t>
      </w:r>
      <w:r w:rsidRPr="000E5F12">
        <w:rPr>
          <w:rFonts w:asciiTheme="majorHAnsi" w:hAnsiTheme="majorHAnsi"/>
        </w:rPr>
        <w:t xml:space="preserve"> brain regions of the right side. Immunoblot analysis of </w:t>
      </w:r>
      <w:proofErr w:type="spellStart"/>
      <w:r w:rsidRPr="000E5F12">
        <w:rPr>
          <w:rFonts w:asciiTheme="majorHAnsi" w:hAnsiTheme="majorHAnsi"/>
        </w:rPr>
        <w:t>PrP</w:t>
      </w:r>
      <w:r w:rsidRPr="000E5F12">
        <w:rPr>
          <w:rFonts w:asciiTheme="majorHAnsi" w:hAnsiTheme="majorHAnsi"/>
          <w:vertAlign w:val="superscript"/>
        </w:rPr>
        <w:t>TSE</w:t>
      </w:r>
      <w:proofErr w:type="spellEnd"/>
      <w:r w:rsidRPr="000E5F12">
        <w:rPr>
          <w:rFonts w:asciiTheme="majorHAnsi" w:hAnsiTheme="majorHAnsi"/>
        </w:rPr>
        <w:t xml:space="preserve"> </w:t>
      </w:r>
      <w:r w:rsidRPr="00174330">
        <w:rPr>
          <w:rFonts w:asciiTheme="majorHAnsi" w:hAnsiTheme="majorHAnsi"/>
          <w:noProof/>
        </w:rPr>
        <w:t>was carried</w:t>
      </w:r>
      <w:r w:rsidRPr="000E5F12">
        <w:rPr>
          <w:rFonts w:asciiTheme="majorHAnsi" w:hAnsiTheme="majorHAnsi"/>
        </w:rPr>
        <w:t xml:space="preserve"> out as described [3], using the monoclonal antibodies 3F4 (1:40000), which recognize the human </w:t>
      </w:r>
      <w:proofErr w:type="spellStart"/>
      <w:r w:rsidRPr="000E5F12">
        <w:rPr>
          <w:rFonts w:asciiTheme="majorHAnsi" w:hAnsiTheme="majorHAnsi"/>
        </w:rPr>
        <w:t>PrP</w:t>
      </w:r>
      <w:proofErr w:type="spellEnd"/>
      <w:r w:rsidRPr="000E5F12">
        <w:rPr>
          <w:rFonts w:asciiTheme="majorHAnsi" w:hAnsiTheme="majorHAnsi"/>
        </w:rPr>
        <w:t xml:space="preserve"> residues 109-112.</w:t>
      </w:r>
    </w:p>
    <w:p w:rsidR="00E00C7E" w:rsidRPr="000E5F12" w:rsidRDefault="00E00C7E" w:rsidP="00E00C7E">
      <w:pPr>
        <w:spacing w:line="360" w:lineRule="auto"/>
        <w:jc w:val="both"/>
        <w:rPr>
          <w:rFonts w:asciiTheme="majorHAnsi" w:hAnsiTheme="majorHAnsi"/>
        </w:rPr>
      </w:pPr>
    </w:p>
    <w:p w:rsidR="00E00C7E" w:rsidRPr="000E5F12" w:rsidRDefault="00E00C7E" w:rsidP="00E00C7E">
      <w:pPr>
        <w:spacing w:line="360" w:lineRule="auto"/>
        <w:jc w:val="both"/>
        <w:rPr>
          <w:rFonts w:asciiTheme="majorHAnsi" w:hAnsiTheme="majorHAnsi"/>
        </w:rPr>
      </w:pPr>
    </w:p>
    <w:p w:rsidR="00E00C7E" w:rsidRPr="000E5F12" w:rsidRDefault="00E00C7E" w:rsidP="00E00C7E">
      <w:pPr>
        <w:spacing w:line="360" w:lineRule="auto"/>
        <w:jc w:val="both"/>
        <w:rPr>
          <w:rFonts w:asciiTheme="majorHAnsi" w:hAnsiTheme="majorHAnsi"/>
          <w:b/>
        </w:rPr>
      </w:pPr>
      <w:r w:rsidRPr="000E5F12">
        <w:rPr>
          <w:rFonts w:asciiTheme="majorHAnsi" w:hAnsiTheme="majorHAnsi"/>
          <w:b/>
        </w:rPr>
        <w:t>References</w:t>
      </w:r>
    </w:p>
    <w:p w:rsidR="00E00C7E" w:rsidRPr="000E5F12" w:rsidRDefault="00E00C7E" w:rsidP="00E00C7E">
      <w:pPr>
        <w:spacing w:line="360" w:lineRule="auto"/>
        <w:jc w:val="both"/>
        <w:rPr>
          <w:rFonts w:asciiTheme="majorHAnsi" w:hAnsiTheme="majorHAnsi"/>
          <w:b/>
        </w:rPr>
      </w:pPr>
    </w:p>
    <w:p w:rsidR="00E00C7E" w:rsidRPr="000E5F12" w:rsidRDefault="003B1985" w:rsidP="003B1985">
      <w:pPr>
        <w:spacing w:line="360" w:lineRule="auto"/>
        <w:jc w:val="both"/>
      </w:pPr>
      <w:r>
        <w:t>1.</w:t>
      </w:r>
      <w:r w:rsidR="00E00C7E" w:rsidRPr="000E5F12">
        <w:t xml:space="preserve">McGuire LI, </w:t>
      </w:r>
      <w:proofErr w:type="spellStart"/>
      <w:r w:rsidR="00E00C7E" w:rsidRPr="003B1985">
        <w:rPr>
          <w:bCs/>
        </w:rPr>
        <w:t>Poleggi</w:t>
      </w:r>
      <w:proofErr w:type="spellEnd"/>
      <w:r w:rsidR="00E00C7E" w:rsidRPr="003B1985">
        <w:t xml:space="preserve"> A</w:t>
      </w:r>
      <w:r w:rsidR="00E00C7E" w:rsidRPr="000E5F12">
        <w:t xml:space="preserve">, </w:t>
      </w:r>
      <w:proofErr w:type="spellStart"/>
      <w:r w:rsidR="00E00C7E" w:rsidRPr="000E5F12">
        <w:t>Poggiolini</w:t>
      </w:r>
      <w:proofErr w:type="spellEnd"/>
      <w:r w:rsidR="00E00C7E" w:rsidRPr="000E5F12">
        <w:t xml:space="preserve"> I, </w:t>
      </w:r>
      <w:proofErr w:type="spellStart"/>
      <w:r w:rsidR="00E00C7E" w:rsidRPr="000E5F12">
        <w:t>Suardi</w:t>
      </w:r>
      <w:proofErr w:type="spellEnd"/>
      <w:r w:rsidR="00E00C7E" w:rsidRPr="000E5F12">
        <w:t xml:space="preserve"> S, </w:t>
      </w:r>
      <w:proofErr w:type="spellStart"/>
      <w:r w:rsidR="00E00C7E" w:rsidRPr="000E5F12">
        <w:t>Grznarova</w:t>
      </w:r>
      <w:proofErr w:type="spellEnd"/>
      <w:r w:rsidR="00E00C7E" w:rsidRPr="000E5F12">
        <w:t xml:space="preserve"> K, Shi S </w:t>
      </w:r>
      <w:r w:rsidR="00E00C7E" w:rsidRPr="003B1985">
        <w:rPr>
          <w:noProof/>
        </w:rPr>
        <w:t>et al</w:t>
      </w:r>
      <w:r w:rsidR="00E00C7E" w:rsidRPr="000E5F12">
        <w:t xml:space="preserve"> (2016) Cerebrospinal fluid real-time quaking-induced conversion is a robust and reliable test for sporadic </w:t>
      </w:r>
      <w:r w:rsidRPr="003B1985">
        <w:rPr>
          <w:noProof/>
        </w:rPr>
        <w:t>C</w:t>
      </w:r>
      <w:r w:rsidR="00E00C7E" w:rsidRPr="003B1985">
        <w:rPr>
          <w:noProof/>
        </w:rPr>
        <w:t>reutzfeldt</w:t>
      </w:r>
      <w:r w:rsidR="00E00C7E" w:rsidRPr="000E5F12">
        <w:t>-</w:t>
      </w:r>
      <w:r>
        <w:t>J</w:t>
      </w:r>
      <w:r w:rsidR="00E00C7E" w:rsidRPr="003B1985">
        <w:rPr>
          <w:noProof/>
        </w:rPr>
        <w:t>akob</w:t>
      </w:r>
      <w:r w:rsidR="00E00C7E" w:rsidRPr="000E5F12">
        <w:t xml:space="preserve"> disease: An international study. </w:t>
      </w:r>
      <w:r w:rsidR="00E00C7E" w:rsidRPr="000E5F12">
        <w:rPr>
          <w:rStyle w:val="jrnl"/>
        </w:rPr>
        <w:t xml:space="preserve">Ann </w:t>
      </w:r>
      <w:proofErr w:type="spellStart"/>
      <w:r w:rsidR="00E00C7E" w:rsidRPr="000E5F12">
        <w:rPr>
          <w:rStyle w:val="jrnl"/>
        </w:rPr>
        <w:t>Neurol</w:t>
      </w:r>
      <w:proofErr w:type="spellEnd"/>
      <w:r w:rsidR="00E00C7E" w:rsidRPr="000E5F12">
        <w:t xml:space="preserve"> 80:160-5</w:t>
      </w:r>
    </w:p>
    <w:p w:rsidR="00E00C7E" w:rsidRPr="000E5F12" w:rsidRDefault="00E00C7E" w:rsidP="00E00C7E">
      <w:pPr>
        <w:spacing w:line="360" w:lineRule="auto"/>
        <w:jc w:val="both"/>
      </w:pPr>
    </w:p>
    <w:p w:rsidR="00E00C7E" w:rsidRPr="003B1985" w:rsidRDefault="003B1985" w:rsidP="00E00C7E">
      <w:pPr>
        <w:spacing w:line="360" w:lineRule="auto"/>
        <w:jc w:val="both"/>
        <w:rPr>
          <w:lang w:val="en-US"/>
        </w:rPr>
      </w:pPr>
      <w:r>
        <w:t>2.</w:t>
      </w:r>
      <w:r w:rsidRPr="003B1985">
        <w:rPr>
          <w:lang w:val="en-US"/>
        </w:rPr>
        <w:t xml:space="preserve">Rossi M, </w:t>
      </w:r>
      <w:proofErr w:type="spellStart"/>
      <w:r w:rsidRPr="003B1985">
        <w:rPr>
          <w:lang w:val="en-US"/>
        </w:rPr>
        <w:t>Saverioni</w:t>
      </w:r>
      <w:proofErr w:type="spellEnd"/>
      <w:r w:rsidRPr="003B1985">
        <w:rPr>
          <w:lang w:val="en-US"/>
        </w:rPr>
        <w:t xml:space="preserve"> D, Di Bari M, Bai</w:t>
      </w:r>
      <w:r>
        <w:rPr>
          <w:lang w:val="en-US"/>
        </w:rPr>
        <w:t xml:space="preserve">ardi S, Lemstra AW, </w:t>
      </w:r>
      <w:proofErr w:type="spellStart"/>
      <w:r>
        <w:rPr>
          <w:lang w:val="en-US"/>
        </w:rPr>
        <w:t>Pirisinu</w:t>
      </w:r>
      <w:proofErr w:type="spellEnd"/>
      <w:r>
        <w:rPr>
          <w:lang w:val="en-US"/>
        </w:rPr>
        <w:t xml:space="preserve"> L, </w:t>
      </w:r>
      <w:r w:rsidRPr="003B1985">
        <w:rPr>
          <w:noProof/>
          <w:lang w:val="en-US"/>
        </w:rPr>
        <w:t>et al</w:t>
      </w:r>
      <w:r>
        <w:rPr>
          <w:lang w:val="en-US"/>
        </w:rPr>
        <w:t xml:space="preserve"> </w:t>
      </w:r>
      <w:r w:rsidRPr="003B1985">
        <w:rPr>
          <w:lang w:val="en-US"/>
        </w:rPr>
        <w:t xml:space="preserve">(2017) Atypical Creutzfeldt-Jakob disease with PrP-amyloid plaques in white matter: molecular characterization and transmission to bank voles show the M1 strain signature. </w:t>
      </w:r>
      <w:proofErr w:type="spellStart"/>
      <w:r w:rsidRPr="003B1985">
        <w:rPr>
          <w:lang w:val="en-US"/>
        </w:rPr>
        <w:t>Acta</w:t>
      </w:r>
      <w:proofErr w:type="spellEnd"/>
      <w:r w:rsidRPr="003B1985">
        <w:rPr>
          <w:lang w:val="en-US"/>
        </w:rPr>
        <w:t xml:space="preserve"> </w:t>
      </w:r>
      <w:proofErr w:type="spellStart"/>
      <w:r w:rsidRPr="003B1985">
        <w:rPr>
          <w:lang w:val="en-US"/>
        </w:rPr>
        <w:t>Neuropathol</w:t>
      </w:r>
      <w:proofErr w:type="spellEnd"/>
      <w:r w:rsidRPr="003B1985">
        <w:rPr>
          <w:lang w:val="en-US"/>
        </w:rPr>
        <w:t xml:space="preserve"> </w:t>
      </w:r>
      <w:proofErr w:type="spellStart"/>
      <w:r w:rsidRPr="003B1985">
        <w:rPr>
          <w:lang w:val="en-US"/>
        </w:rPr>
        <w:t>Commun</w:t>
      </w:r>
      <w:proofErr w:type="spellEnd"/>
      <w:r w:rsidRPr="003B1985">
        <w:rPr>
          <w:lang w:val="en-US"/>
        </w:rPr>
        <w:t xml:space="preserve"> 5:87.</w:t>
      </w:r>
    </w:p>
    <w:p w:rsidR="00E00C7E" w:rsidRPr="000E5F12" w:rsidRDefault="00E00C7E" w:rsidP="00E00C7E">
      <w:pPr>
        <w:spacing w:line="360" w:lineRule="auto"/>
        <w:jc w:val="both"/>
      </w:pPr>
    </w:p>
    <w:p w:rsidR="00E00C7E" w:rsidRPr="000E5F12" w:rsidRDefault="003B1985" w:rsidP="00E00C7E">
      <w:pPr>
        <w:spacing w:line="360" w:lineRule="auto"/>
        <w:jc w:val="both"/>
        <w:rPr>
          <w:rFonts w:ascii="Calibri" w:hAnsi="Calibri"/>
        </w:rPr>
      </w:pPr>
      <w:r>
        <w:rPr>
          <w:rFonts w:ascii="Calibri" w:hAnsi="Calibri"/>
          <w:bCs/>
        </w:rPr>
        <w:t>3.</w:t>
      </w:r>
      <w:r w:rsidR="00E00C7E" w:rsidRPr="000E5F12">
        <w:rPr>
          <w:rFonts w:ascii="Calibri" w:hAnsi="Calibri"/>
          <w:bCs/>
        </w:rPr>
        <w:t>Parchi P</w:t>
      </w:r>
      <w:r w:rsidR="00E00C7E" w:rsidRPr="000E5F12">
        <w:rPr>
          <w:rFonts w:ascii="Calibri" w:hAnsi="Calibri"/>
        </w:rPr>
        <w:t xml:space="preserve">, </w:t>
      </w:r>
      <w:proofErr w:type="spellStart"/>
      <w:r w:rsidR="00E00C7E" w:rsidRPr="000E5F12">
        <w:rPr>
          <w:rFonts w:ascii="Calibri" w:hAnsi="Calibri"/>
        </w:rPr>
        <w:t>Notari</w:t>
      </w:r>
      <w:proofErr w:type="spellEnd"/>
      <w:r w:rsidR="00E00C7E" w:rsidRPr="000E5F12">
        <w:rPr>
          <w:rFonts w:ascii="Calibri" w:hAnsi="Calibri"/>
        </w:rPr>
        <w:t xml:space="preserve"> S, Weber P, </w:t>
      </w:r>
      <w:proofErr w:type="spellStart"/>
      <w:r w:rsidR="00E00C7E" w:rsidRPr="000E5F12">
        <w:rPr>
          <w:rFonts w:ascii="Calibri" w:hAnsi="Calibri"/>
        </w:rPr>
        <w:t>Schimmel</w:t>
      </w:r>
      <w:proofErr w:type="spellEnd"/>
      <w:r w:rsidR="00E00C7E" w:rsidRPr="000E5F12">
        <w:rPr>
          <w:rFonts w:ascii="Calibri" w:hAnsi="Calibri"/>
        </w:rPr>
        <w:t xml:space="preserve"> H, </w:t>
      </w:r>
      <w:proofErr w:type="spellStart"/>
      <w:r w:rsidR="00E00C7E" w:rsidRPr="000E5F12">
        <w:rPr>
          <w:rFonts w:ascii="Calibri" w:hAnsi="Calibri"/>
        </w:rPr>
        <w:t>Budka</w:t>
      </w:r>
      <w:proofErr w:type="spellEnd"/>
      <w:r w:rsidR="00E00C7E" w:rsidRPr="000E5F12">
        <w:rPr>
          <w:rFonts w:ascii="Calibri" w:hAnsi="Calibri"/>
        </w:rPr>
        <w:t xml:space="preserve"> H, Ferrer I </w:t>
      </w:r>
      <w:r w:rsidR="00E00C7E" w:rsidRPr="003B1985">
        <w:rPr>
          <w:rFonts w:ascii="Calibri" w:hAnsi="Calibri"/>
          <w:noProof/>
        </w:rPr>
        <w:t>et al</w:t>
      </w:r>
      <w:r w:rsidR="00E00C7E" w:rsidRPr="000E5F12">
        <w:rPr>
          <w:rFonts w:ascii="Calibri" w:hAnsi="Calibri"/>
        </w:rPr>
        <w:t xml:space="preserve"> (2009) Inter-laboratory assessment of </w:t>
      </w:r>
      <w:proofErr w:type="spellStart"/>
      <w:r w:rsidR="00E00C7E" w:rsidRPr="000E5F12">
        <w:rPr>
          <w:rFonts w:ascii="Calibri" w:hAnsi="Calibri"/>
        </w:rPr>
        <w:t>PrPSc</w:t>
      </w:r>
      <w:proofErr w:type="spellEnd"/>
      <w:r w:rsidR="00E00C7E" w:rsidRPr="000E5F12">
        <w:rPr>
          <w:rFonts w:ascii="Calibri" w:hAnsi="Calibri"/>
        </w:rPr>
        <w:t xml:space="preserve"> typing in </w:t>
      </w:r>
      <w:r w:rsidRPr="003B1985">
        <w:rPr>
          <w:rFonts w:ascii="Calibri" w:hAnsi="Calibri"/>
          <w:noProof/>
        </w:rPr>
        <w:t>C</w:t>
      </w:r>
      <w:r w:rsidR="00E00C7E" w:rsidRPr="003B1985">
        <w:rPr>
          <w:rFonts w:ascii="Calibri" w:hAnsi="Calibri"/>
          <w:noProof/>
        </w:rPr>
        <w:t>reutzfeldt</w:t>
      </w:r>
      <w:r w:rsidR="00E00C7E" w:rsidRPr="000E5F12">
        <w:rPr>
          <w:rFonts w:ascii="Calibri" w:hAnsi="Calibri"/>
        </w:rPr>
        <w:t>-</w:t>
      </w:r>
      <w:r w:rsidRPr="003B1985">
        <w:rPr>
          <w:rFonts w:ascii="Calibri" w:hAnsi="Calibri"/>
          <w:noProof/>
        </w:rPr>
        <w:t>J</w:t>
      </w:r>
      <w:r w:rsidR="00E00C7E" w:rsidRPr="003B1985">
        <w:rPr>
          <w:rFonts w:ascii="Calibri" w:hAnsi="Calibri"/>
          <w:noProof/>
        </w:rPr>
        <w:t>akob</w:t>
      </w:r>
      <w:r w:rsidR="00E00C7E" w:rsidRPr="000E5F12">
        <w:rPr>
          <w:rFonts w:ascii="Calibri" w:hAnsi="Calibri"/>
        </w:rPr>
        <w:t xml:space="preserve"> disease: a Western blot study within the </w:t>
      </w:r>
      <w:proofErr w:type="spellStart"/>
      <w:r w:rsidR="00E00C7E" w:rsidRPr="000E5F12">
        <w:rPr>
          <w:rFonts w:ascii="Calibri" w:hAnsi="Calibri"/>
        </w:rPr>
        <w:t>NeuroPrion</w:t>
      </w:r>
      <w:proofErr w:type="spellEnd"/>
      <w:r w:rsidR="00E00C7E" w:rsidRPr="000E5F12">
        <w:rPr>
          <w:rFonts w:ascii="Calibri" w:hAnsi="Calibri"/>
        </w:rPr>
        <w:t xml:space="preserve"> Consortium. Brain </w:t>
      </w:r>
      <w:proofErr w:type="spellStart"/>
      <w:r w:rsidR="00E00C7E" w:rsidRPr="000E5F12">
        <w:rPr>
          <w:rFonts w:ascii="Calibri" w:hAnsi="Calibri"/>
        </w:rPr>
        <w:t>Pathol</w:t>
      </w:r>
      <w:proofErr w:type="spellEnd"/>
      <w:r w:rsidR="00E00C7E" w:rsidRPr="000E5F12">
        <w:rPr>
          <w:rFonts w:ascii="Calibri" w:hAnsi="Calibri"/>
        </w:rPr>
        <w:t xml:space="preserve"> 19:384-91</w:t>
      </w:r>
    </w:p>
    <w:p w:rsidR="00E00C7E" w:rsidRPr="000E5F12" w:rsidRDefault="00E00C7E" w:rsidP="00E00C7E">
      <w:pPr>
        <w:spacing w:line="360" w:lineRule="auto"/>
        <w:jc w:val="both"/>
        <w:rPr>
          <w:rFonts w:asciiTheme="majorHAnsi" w:hAnsiTheme="majorHAnsi"/>
        </w:rPr>
      </w:pPr>
    </w:p>
    <w:p w:rsidR="004F1BEB" w:rsidRDefault="004F1BEB"/>
    <w:sectPr w:rsidR="004F1BEB" w:rsidSect="004F3880">
      <w:head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3A" w:rsidRDefault="0047153A">
      <w:r>
        <w:separator/>
      </w:r>
    </w:p>
  </w:endnote>
  <w:endnote w:type="continuationSeparator" w:id="0">
    <w:p w:rsidR="0047153A" w:rsidRDefault="004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3A" w:rsidRDefault="0047153A">
      <w:r>
        <w:separator/>
      </w:r>
    </w:p>
  </w:footnote>
  <w:footnote w:type="continuationSeparator" w:id="0">
    <w:p w:rsidR="0047153A" w:rsidRDefault="004715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22" w:rsidRPr="000E5F12" w:rsidRDefault="00E00C7E" w:rsidP="000E5F12">
    <w:pPr>
      <w:pStyle w:val="Intestazione"/>
      <w:tabs>
        <w:tab w:val="clear" w:pos="4819"/>
      </w:tabs>
      <w:rPr>
        <w:rFonts w:asciiTheme="majorHAnsi" w:hAnsiTheme="majorHAnsi"/>
        <w:b/>
        <w:sz w:val="20"/>
      </w:rPr>
    </w:pPr>
    <w:proofErr w:type="spellStart"/>
    <w:r w:rsidRPr="000E5F12">
      <w:rPr>
        <w:rFonts w:asciiTheme="majorHAnsi" w:hAnsiTheme="majorHAnsi"/>
        <w:b/>
        <w:sz w:val="20"/>
      </w:rPr>
      <w:t>Tiple</w:t>
    </w:r>
    <w:proofErr w:type="spellEnd"/>
    <w:r w:rsidRPr="000E5F12">
      <w:rPr>
        <w:rFonts w:asciiTheme="majorHAnsi" w:hAnsiTheme="majorHAnsi"/>
        <w:b/>
        <w:sz w:val="20"/>
      </w:rPr>
      <w:t xml:space="preserve"> et al</w:t>
    </w:r>
    <w:r w:rsidRPr="000E5F12">
      <w:rPr>
        <w:rFonts w:asciiTheme="majorHAnsi" w:hAnsiTheme="majorHAnsi"/>
        <w:b/>
        <w:sz w:val="20"/>
      </w:rPr>
      <w:tab/>
    </w:r>
    <w:r w:rsidRPr="000E5F12">
      <w:rPr>
        <w:rFonts w:asciiTheme="majorHAnsi" w:hAnsiTheme="majorHAnsi"/>
        <w:b/>
        <w:sz w:val="20"/>
      </w:rPr>
      <w:fldChar w:fldCharType="begin"/>
    </w:r>
    <w:r w:rsidRPr="000E5F12">
      <w:rPr>
        <w:rFonts w:asciiTheme="majorHAnsi" w:hAnsiTheme="majorHAnsi"/>
        <w:b/>
        <w:sz w:val="20"/>
      </w:rPr>
      <w:instrText xml:space="preserve"> PAGE  \* MERGEFORMAT </w:instrText>
    </w:r>
    <w:r w:rsidRPr="000E5F12">
      <w:rPr>
        <w:rFonts w:asciiTheme="majorHAnsi" w:hAnsiTheme="majorHAnsi"/>
        <w:b/>
        <w:sz w:val="20"/>
      </w:rPr>
      <w:fldChar w:fldCharType="separate"/>
    </w:r>
    <w:r w:rsidR="000C6631">
      <w:rPr>
        <w:rFonts w:asciiTheme="majorHAnsi" w:hAnsiTheme="majorHAnsi"/>
        <w:b/>
        <w:noProof/>
        <w:sz w:val="20"/>
      </w:rPr>
      <w:t>1</w:t>
    </w:r>
    <w:r w:rsidRPr="000E5F12">
      <w:rPr>
        <w:rFonts w:asciiTheme="majorHAnsi" w:hAnsiTheme="majorHAnsi"/>
        <w:b/>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84E"/>
    <w:multiLevelType w:val="hybridMultilevel"/>
    <w:tmpl w:val="8E2EDF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BF6BFC"/>
    <w:multiLevelType w:val="hybridMultilevel"/>
    <w:tmpl w:val="BB9018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3tjQzNzE1NjU1MzBW0lEKTi0uzszPAykwrgUAjw/XiiwAAAA="/>
    <w:docVar w:name="Total_Editing_Time" w:val="4"/>
  </w:docVars>
  <w:rsids>
    <w:rsidRoot w:val="00E00C7E"/>
    <w:rsid w:val="000408AF"/>
    <w:rsid w:val="000C6631"/>
    <w:rsid w:val="000D0884"/>
    <w:rsid w:val="00174330"/>
    <w:rsid w:val="003B1985"/>
    <w:rsid w:val="00463A25"/>
    <w:rsid w:val="0047153A"/>
    <w:rsid w:val="004F1BEB"/>
    <w:rsid w:val="004F43CA"/>
    <w:rsid w:val="009655C0"/>
    <w:rsid w:val="00B154AE"/>
    <w:rsid w:val="00B5154F"/>
    <w:rsid w:val="00C40354"/>
    <w:rsid w:val="00D12A02"/>
    <w:rsid w:val="00D15EB4"/>
    <w:rsid w:val="00E00C7E"/>
    <w:rsid w:val="00EC6650"/>
    <w:rsid w:val="00F86B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C7E"/>
    <w:rPr>
      <w:rFonts w:ascii="Times New Roman" w:eastAsia="Times New Roman" w:hAnsi="Times New Roman" w:cs="Times New Roman"/>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5C0"/>
    <w:rPr>
      <w:rFonts w:ascii="Lucida Grande" w:eastAsiaTheme="minorEastAsia"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655C0"/>
    <w:rPr>
      <w:rFonts w:ascii="Lucida Grande" w:hAnsi="Lucida Grande" w:cs="Lucida Grande"/>
      <w:sz w:val="18"/>
      <w:szCs w:val="18"/>
      <w:lang w:val="en-GB"/>
    </w:rPr>
  </w:style>
  <w:style w:type="paragraph" w:customStyle="1" w:styleId="MP">
    <w:name w:val="MP"/>
    <w:basedOn w:val="Normale"/>
    <w:autoRedefine/>
    <w:qFormat/>
    <w:rsid w:val="004F43CA"/>
    <w:rPr>
      <w:rFonts w:asciiTheme="majorHAnsi" w:eastAsiaTheme="minorEastAsia" w:hAnsiTheme="majorHAnsi" w:cstheme="minorBidi"/>
      <w:sz w:val="22"/>
      <w:szCs w:val="22"/>
    </w:rPr>
  </w:style>
  <w:style w:type="character" w:styleId="Collegamentoipertestuale">
    <w:name w:val="Hyperlink"/>
    <w:uiPriority w:val="99"/>
    <w:unhideWhenUsed/>
    <w:rsid w:val="00E00C7E"/>
    <w:rPr>
      <w:color w:val="0000FF"/>
      <w:u w:val="single"/>
    </w:rPr>
  </w:style>
  <w:style w:type="character" w:customStyle="1" w:styleId="jrnl">
    <w:name w:val="jrnl"/>
    <w:basedOn w:val="Caratterepredefinitoparagrafo"/>
    <w:rsid w:val="00E00C7E"/>
  </w:style>
  <w:style w:type="paragraph" w:styleId="Intestazione">
    <w:name w:val="header"/>
    <w:basedOn w:val="Normale"/>
    <w:link w:val="IntestazioneCarattere"/>
    <w:uiPriority w:val="99"/>
    <w:unhideWhenUsed/>
    <w:rsid w:val="00E00C7E"/>
    <w:pPr>
      <w:tabs>
        <w:tab w:val="center" w:pos="4819"/>
        <w:tab w:val="right" w:pos="9638"/>
      </w:tabs>
    </w:pPr>
  </w:style>
  <w:style w:type="character" w:customStyle="1" w:styleId="IntestazioneCarattere">
    <w:name w:val="Intestazione Carattere"/>
    <w:basedOn w:val="Caratterepredefinitoparagrafo"/>
    <w:link w:val="Intestazione"/>
    <w:uiPriority w:val="99"/>
    <w:rsid w:val="00E00C7E"/>
    <w:rPr>
      <w:rFonts w:ascii="Times New Roman" w:eastAsia="Times New Roman" w:hAnsi="Times New Roman" w:cs="Times New Roman"/>
      <w:lang w:val="en-GB"/>
    </w:rPr>
  </w:style>
  <w:style w:type="paragraph" w:styleId="Paragrafoelenco">
    <w:name w:val="List Paragraph"/>
    <w:basedOn w:val="Normale"/>
    <w:uiPriority w:val="34"/>
    <w:qFormat/>
    <w:rsid w:val="003B19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C7E"/>
    <w:rPr>
      <w:rFonts w:ascii="Times New Roman" w:eastAsia="Times New Roman" w:hAnsi="Times New Roman" w:cs="Times New Roman"/>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5C0"/>
    <w:rPr>
      <w:rFonts w:ascii="Lucida Grande" w:eastAsiaTheme="minorEastAsia"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655C0"/>
    <w:rPr>
      <w:rFonts w:ascii="Lucida Grande" w:hAnsi="Lucida Grande" w:cs="Lucida Grande"/>
      <w:sz w:val="18"/>
      <w:szCs w:val="18"/>
      <w:lang w:val="en-GB"/>
    </w:rPr>
  </w:style>
  <w:style w:type="paragraph" w:customStyle="1" w:styleId="MP">
    <w:name w:val="MP"/>
    <w:basedOn w:val="Normale"/>
    <w:autoRedefine/>
    <w:qFormat/>
    <w:rsid w:val="004F43CA"/>
    <w:rPr>
      <w:rFonts w:asciiTheme="majorHAnsi" w:eastAsiaTheme="minorEastAsia" w:hAnsiTheme="majorHAnsi" w:cstheme="minorBidi"/>
      <w:sz w:val="22"/>
      <w:szCs w:val="22"/>
    </w:rPr>
  </w:style>
  <w:style w:type="character" w:styleId="Collegamentoipertestuale">
    <w:name w:val="Hyperlink"/>
    <w:uiPriority w:val="99"/>
    <w:unhideWhenUsed/>
    <w:rsid w:val="00E00C7E"/>
    <w:rPr>
      <w:color w:val="0000FF"/>
      <w:u w:val="single"/>
    </w:rPr>
  </w:style>
  <w:style w:type="character" w:customStyle="1" w:styleId="jrnl">
    <w:name w:val="jrnl"/>
    <w:basedOn w:val="Caratterepredefinitoparagrafo"/>
    <w:rsid w:val="00E00C7E"/>
  </w:style>
  <w:style w:type="paragraph" w:styleId="Intestazione">
    <w:name w:val="header"/>
    <w:basedOn w:val="Normale"/>
    <w:link w:val="IntestazioneCarattere"/>
    <w:uiPriority w:val="99"/>
    <w:unhideWhenUsed/>
    <w:rsid w:val="00E00C7E"/>
    <w:pPr>
      <w:tabs>
        <w:tab w:val="center" w:pos="4819"/>
        <w:tab w:val="right" w:pos="9638"/>
      </w:tabs>
    </w:pPr>
  </w:style>
  <w:style w:type="character" w:customStyle="1" w:styleId="IntestazioneCarattere">
    <w:name w:val="Intestazione Carattere"/>
    <w:basedOn w:val="Caratterepredefinitoparagrafo"/>
    <w:link w:val="Intestazione"/>
    <w:uiPriority w:val="99"/>
    <w:rsid w:val="00E00C7E"/>
    <w:rPr>
      <w:rFonts w:ascii="Times New Roman" w:eastAsia="Times New Roman" w:hAnsi="Times New Roman" w:cs="Times New Roman"/>
      <w:lang w:val="en-GB"/>
    </w:rPr>
  </w:style>
  <w:style w:type="paragraph" w:styleId="Paragrafoelenco">
    <w:name w:val="List Paragraph"/>
    <w:basedOn w:val="Normale"/>
    <w:uiPriority w:val="34"/>
    <w:qFormat/>
    <w:rsid w:val="003B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gene/?term=PRN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Istituto Superiore di Sanità</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POCCHIARI</dc:creator>
  <cp:keywords/>
  <dc:description/>
  <cp:lastModifiedBy>Maurizio POCCHIARI</cp:lastModifiedBy>
  <cp:revision>2</cp:revision>
  <dcterms:created xsi:type="dcterms:W3CDTF">2019-03-18T12:15:00Z</dcterms:created>
  <dcterms:modified xsi:type="dcterms:W3CDTF">2019-03-18T12:15:00Z</dcterms:modified>
</cp:coreProperties>
</file>