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F7" w:rsidRDefault="00F03FF7" w:rsidP="00F03FF7">
      <w:pPr>
        <w:pStyle w:val="SOMHead"/>
        <w:jc w:val="center"/>
        <w:rPr>
          <w:sz w:val="36"/>
        </w:rPr>
      </w:pPr>
      <w:r w:rsidRPr="00A823FE">
        <w:rPr>
          <w:sz w:val="36"/>
        </w:rPr>
        <w:t>Supplementary Materials:</w:t>
      </w:r>
    </w:p>
    <w:p w:rsidR="006E175B" w:rsidRDefault="006E175B" w:rsidP="00F03FF7">
      <w:pPr>
        <w:pStyle w:val="SOMHead"/>
        <w:jc w:val="center"/>
        <w:rPr>
          <w:sz w:val="36"/>
        </w:rPr>
      </w:pPr>
    </w:p>
    <w:p w:rsidR="006E175B" w:rsidRPr="00FE37D9" w:rsidRDefault="006E175B" w:rsidP="006E175B">
      <w:pPr>
        <w:spacing w:line="480" w:lineRule="auto"/>
        <w:jc w:val="center"/>
        <w:rPr>
          <w:rFonts w:ascii="Arial" w:hAnsi="Arial" w:cs="Arial"/>
          <w:b/>
          <w:sz w:val="28"/>
        </w:rPr>
      </w:pPr>
      <w:bookmarkStart w:id="0" w:name="_Hlk1331129"/>
      <w:r w:rsidRPr="00FE37D9">
        <w:rPr>
          <w:rFonts w:ascii="Arial" w:hAnsi="Arial" w:cs="Arial"/>
          <w:b/>
          <w:sz w:val="28"/>
        </w:rPr>
        <w:t>Soluble aggregates present in cerebrospinal fluid change in size and mechanism of toxicity during Alzheimer’s disease progression</w:t>
      </w:r>
    </w:p>
    <w:p w:rsidR="006E175B" w:rsidRPr="00FE37D9" w:rsidRDefault="006E175B" w:rsidP="006E175B">
      <w:pPr>
        <w:spacing w:line="480" w:lineRule="auto"/>
        <w:jc w:val="center"/>
        <w:rPr>
          <w:rFonts w:ascii="Arial" w:hAnsi="Arial" w:cs="Arial"/>
          <w:b/>
          <w:sz w:val="28"/>
        </w:rPr>
      </w:pPr>
    </w:p>
    <w:p w:rsidR="006E175B" w:rsidRPr="00FE37D9" w:rsidRDefault="006E175B" w:rsidP="006E175B">
      <w:pPr>
        <w:spacing w:line="360" w:lineRule="auto"/>
        <w:jc w:val="center"/>
        <w:rPr>
          <w:rFonts w:ascii="Arial" w:hAnsi="Arial" w:cs="Arial"/>
        </w:rPr>
      </w:pPr>
      <w:bookmarkStart w:id="1" w:name="_Hlk1334682"/>
      <w:r w:rsidRPr="00FE37D9">
        <w:rPr>
          <w:rFonts w:ascii="Arial" w:hAnsi="Arial" w:cs="Arial"/>
        </w:rPr>
        <w:t>Suman De</w:t>
      </w:r>
      <w:r w:rsidRPr="00FE37D9">
        <w:rPr>
          <w:rFonts w:ascii="Arial" w:hAnsi="Arial" w:cs="Arial"/>
          <w:vertAlign w:val="superscript"/>
        </w:rPr>
        <w:t>1,11</w:t>
      </w:r>
      <w:r w:rsidRPr="00FE37D9">
        <w:rPr>
          <w:rFonts w:ascii="Arial" w:hAnsi="Arial" w:cs="Arial"/>
        </w:rPr>
        <w:t>, Daniel R. Whiten</w:t>
      </w:r>
      <w:r w:rsidRPr="00FE37D9">
        <w:rPr>
          <w:rFonts w:ascii="Arial" w:hAnsi="Arial" w:cs="Arial"/>
          <w:vertAlign w:val="superscript"/>
        </w:rPr>
        <w:t xml:space="preserve"> 1,11</w:t>
      </w:r>
      <w:r w:rsidRPr="00FE37D9">
        <w:rPr>
          <w:rFonts w:ascii="Arial" w:hAnsi="Arial" w:cs="Arial"/>
        </w:rPr>
        <w:t>, Francesco S. Ruggeri</w:t>
      </w:r>
      <w:r w:rsidRPr="00FE37D9">
        <w:rPr>
          <w:rFonts w:ascii="Arial" w:hAnsi="Arial" w:cs="Arial"/>
          <w:vertAlign w:val="superscript"/>
        </w:rPr>
        <w:t>1,2,11</w:t>
      </w:r>
      <w:r w:rsidRPr="00FE37D9">
        <w:rPr>
          <w:rFonts w:ascii="Arial" w:hAnsi="Arial" w:cs="Arial"/>
        </w:rPr>
        <w:t>, Craig Hughes</w:t>
      </w:r>
      <w:r w:rsidRPr="00FE37D9">
        <w:rPr>
          <w:rFonts w:ascii="Arial" w:hAnsi="Arial" w:cs="Arial"/>
          <w:vertAlign w:val="superscript"/>
        </w:rPr>
        <w:t>3,11</w:t>
      </w:r>
      <w:r w:rsidRPr="00FE37D9">
        <w:rPr>
          <w:rFonts w:ascii="Arial" w:hAnsi="Arial" w:cs="Arial"/>
        </w:rPr>
        <w:t>, Margarida Rodrigues</w:t>
      </w:r>
      <w:r w:rsidRPr="00FE37D9">
        <w:rPr>
          <w:rFonts w:ascii="Arial" w:hAnsi="Arial" w:cs="Arial"/>
          <w:vertAlign w:val="superscript"/>
        </w:rPr>
        <w:t>1</w:t>
      </w:r>
      <w:r w:rsidRPr="00FE37D9">
        <w:rPr>
          <w:rFonts w:ascii="Arial" w:hAnsi="Arial" w:cs="Arial"/>
        </w:rPr>
        <w:t>, Dimitrios I. Sideris</w:t>
      </w:r>
      <w:r w:rsidRPr="00FE37D9">
        <w:rPr>
          <w:rFonts w:ascii="Arial" w:hAnsi="Arial" w:cs="Arial"/>
          <w:vertAlign w:val="superscript"/>
        </w:rPr>
        <w:t>1</w:t>
      </w:r>
      <w:r w:rsidRPr="00FE37D9">
        <w:rPr>
          <w:rFonts w:ascii="Arial" w:hAnsi="Arial" w:cs="Arial"/>
        </w:rPr>
        <w:t>, Christopher G. Taylor</w:t>
      </w:r>
      <w:r w:rsidRPr="00FE37D9">
        <w:rPr>
          <w:rFonts w:ascii="Arial" w:hAnsi="Arial" w:cs="Arial"/>
          <w:vertAlign w:val="superscript"/>
        </w:rPr>
        <w:t>1</w:t>
      </w:r>
      <w:r w:rsidRPr="00FE37D9">
        <w:rPr>
          <w:rFonts w:ascii="Arial" w:hAnsi="Arial" w:cs="Arial"/>
        </w:rPr>
        <w:t xml:space="preserve">, Francesco A. </w:t>
      </w:r>
      <w:proofErr w:type="spellStart"/>
      <w:r w:rsidRPr="00FE37D9">
        <w:rPr>
          <w:rFonts w:ascii="Arial" w:hAnsi="Arial" w:cs="Arial"/>
        </w:rPr>
        <w:t>Aprile</w:t>
      </w:r>
      <w:r w:rsidRPr="00FE37D9">
        <w:rPr>
          <w:rFonts w:ascii="Arial" w:hAnsi="Arial" w:cs="Arial"/>
          <w:vertAlign w:val="superscript"/>
        </w:rPr>
        <w:t>1,2</w:t>
      </w:r>
      <w:proofErr w:type="spellEnd"/>
      <w:r w:rsidRPr="00FE37D9">
        <w:rPr>
          <w:rFonts w:ascii="Arial" w:hAnsi="Arial" w:cs="Arial"/>
        </w:rPr>
        <w:t xml:space="preserve">, Serge </w:t>
      </w:r>
      <w:proofErr w:type="spellStart"/>
      <w:r w:rsidRPr="00FE37D9">
        <w:rPr>
          <w:rFonts w:ascii="Arial" w:hAnsi="Arial" w:cs="Arial"/>
        </w:rPr>
        <w:t>Muyldermans</w:t>
      </w:r>
      <w:r w:rsidRPr="00FE37D9">
        <w:rPr>
          <w:rFonts w:ascii="Arial" w:hAnsi="Arial" w:cs="Arial"/>
          <w:vertAlign w:val="superscript"/>
        </w:rPr>
        <w:t>4</w:t>
      </w:r>
      <w:proofErr w:type="spellEnd"/>
      <w:r w:rsidRPr="00FE37D9">
        <w:rPr>
          <w:rFonts w:ascii="Arial" w:hAnsi="Arial" w:cs="Arial"/>
        </w:rPr>
        <w:t xml:space="preserve">, </w:t>
      </w:r>
      <w:proofErr w:type="spellStart"/>
      <w:r w:rsidRPr="00FE37D9">
        <w:rPr>
          <w:rFonts w:ascii="Arial" w:hAnsi="Arial" w:cs="Arial"/>
        </w:rPr>
        <w:t>Tuomas</w:t>
      </w:r>
      <w:proofErr w:type="spellEnd"/>
      <w:r w:rsidRPr="00FE37D9">
        <w:rPr>
          <w:rFonts w:ascii="Arial" w:hAnsi="Arial" w:cs="Arial"/>
        </w:rPr>
        <w:t xml:space="preserve"> P. J. Knowles</w:t>
      </w:r>
      <w:r w:rsidRPr="00FE37D9">
        <w:rPr>
          <w:rFonts w:ascii="Arial" w:hAnsi="Arial" w:cs="Arial"/>
          <w:vertAlign w:val="superscript"/>
        </w:rPr>
        <w:t>1,2</w:t>
      </w:r>
      <w:r w:rsidRPr="00FE37D9">
        <w:rPr>
          <w:rFonts w:ascii="Arial" w:hAnsi="Arial" w:cs="Arial"/>
        </w:rPr>
        <w:t xml:space="preserve">, Michele </w:t>
      </w:r>
      <w:proofErr w:type="spellStart"/>
      <w:r w:rsidRPr="00FE37D9">
        <w:rPr>
          <w:rFonts w:ascii="Arial" w:hAnsi="Arial" w:cs="Arial"/>
        </w:rPr>
        <w:t>Vendruscolo</w:t>
      </w:r>
      <w:r w:rsidRPr="00FE37D9">
        <w:rPr>
          <w:rFonts w:ascii="Arial" w:hAnsi="Arial" w:cs="Arial"/>
          <w:vertAlign w:val="superscript"/>
        </w:rPr>
        <w:t>1,2</w:t>
      </w:r>
      <w:proofErr w:type="spellEnd"/>
      <w:r w:rsidRPr="00FE37D9">
        <w:rPr>
          <w:rFonts w:ascii="Arial" w:hAnsi="Arial" w:cs="Arial"/>
        </w:rPr>
        <w:t xml:space="preserve">, Clare </w:t>
      </w:r>
      <w:proofErr w:type="spellStart"/>
      <w:r w:rsidRPr="00FE37D9">
        <w:rPr>
          <w:rFonts w:ascii="Arial" w:hAnsi="Arial" w:cs="Arial"/>
        </w:rPr>
        <w:t>Bryant</w:t>
      </w:r>
      <w:r w:rsidRPr="00FE37D9">
        <w:rPr>
          <w:rFonts w:ascii="Arial" w:hAnsi="Arial" w:cs="Arial"/>
          <w:vertAlign w:val="superscript"/>
        </w:rPr>
        <w:t>3</w:t>
      </w:r>
      <w:proofErr w:type="spellEnd"/>
      <w:r w:rsidRPr="00FE37D9">
        <w:rPr>
          <w:rFonts w:ascii="Arial" w:hAnsi="Arial" w:cs="Arial"/>
        </w:rPr>
        <w:t xml:space="preserve">, </w:t>
      </w:r>
      <w:proofErr w:type="spellStart"/>
      <w:r w:rsidRPr="00FE37D9">
        <w:rPr>
          <w:rFonts w:ascii="Arial" w:hAnsi="Arial" w:cs="Arial"/>
        </w:rPr>
        <w:t>Kaj</w:t>
      </w:r>
      <w:proofErr w:type="spellEnd"/>
      <w:r w:rsidRPr="00FE37D9">
        <w:rPr>
          <w:rFonts w:ascii="Arial" w:hAnsi="Arial" w:cs="Arial"/>
        </w:rPr>
        <w:t xml:space="preserve"> </w:t>
      </w:r>
      <w:proofErr w:type="spellStart"/>
      <w:r w:rsidRPr="00FE37D9">
        <w:rPr>
          <w:rFonts w:ascii="Arial" w:hAnsi="Arial" w:cs="Arial"/>
        </w:rPr>
        <w:t>Blennow</w:t>
      </w:r>
      <w:r w:rsidRPr="00FE37D9">
        <w:rPr>
          <w:rFonts w:ascii="Arial" w:hAnsi="Arial" w:cs="Arial"/>
          <w:vertAlign w:val="superscript"/>
        </w:rPr>
        <w:t>5,6</w:t>
      </w:r>
      <w:proofErr w:type="spellEnd"/>
      <w:r w:rsidRPr="00FE37D9">
        <w:rPr>
          <w:rFonts w:ascii="Arial" w:hAnsi="Arial" w:cs="Arial"/>
        </w:rPr>
        <w:t xml:space="preserve">, Ingmar </w:t>
      </w:r>
      <w:proofErr w:type="spellStart"/>
      <w:r w:rsidRPr="00FE37D9">
        <w:rPr>
          <w:rFonts w:ascii="Arial" w:hAnsi="Arial" w:cs="Arial"/>
        </w:rPr>
        <w:t>Skoog</w:t>
      </w:r>
      <w:r w:rsidRPr="00FE37D9">
        <w:rPr>
          <w:rFonts w:ascii="Arial" w:hAnsi="Arial" w:cs="Arial"/>
          <w:vertAlign w:val="superscript"/>
        </w:rPr>
        <w:t>7</w:t>
      </w:r>
      <w:proofErr w:type="spellEnd"/>
      <w:r w:rsidRPr="00FE37D9">
        <w:rPr>
          <w:rFonts w:ascii="Arial" w:hAnsi="Arial" w:cs="Arial"/>
        </w:rPr>
        <w:t>, Silke Kern</w:t>
      </w:r>
      <w:r w:rsidRPr="00FE37D9">
        <w:rPr>
          <w:rFonts w:ascii="Arial" w:hAnsi="Arial" w:cs="Arial"/>
          <w:vertAlign w:val="superscript"/>
        </w:rPr>
        <w:t>7</w:t>
      </w:r>
      <w:r w:rsidRPr="00FE37D9">
        <w:rPr>
          <w:rFonts w:ascii="Arial" w:hAnsi="Arial" w:cs="Arial"/>
        </w:rPr>
        <w:t>,</w:t>
      </w:r>
      <w:r w:rsidRPr="00FE37D9">
        <w:rPr>
          <w:rFonts w:ascii="Arial" w:hAnsi="Arial" w:cs="Arial"/>
          <w:vertAlign w:val="superscript"/>
        </w:rPr>
        <w:t xml:space="preserve"> </w:t>
      </w:r>
      <w:r w:rsidRPr="00FE37D9">
        <w:rPr>
          <w:rFonts w:ascii="Arial" w:hAnsi="Arial" w:cs="Arial"/>
        </w:rPr>
        <w:t>Henrik Zetterberg</w:t>
      </w:r>
      <w:r w:rsidRPr="00FE37D9">
        <w:rPr>
          <w:rFonts w:ascii="Arial" w:hAnsi="Arial" w:cs="Arial"/>
          <w:vertAlign w:val="superscript"/>
        </w:rPr>
        <w:t>5,6,8,9</w:t>
      </w:r>
      <w:r w:rsidRPr="00FE37D9">
        <w:rPr>
          <w:rFonts w:ascii="Arial" w:hAnsi="Arial" w:cs="Arial"/>
        </w:rPr>
        <w:t>, David Klenerman</w:t>
      </w:r>
      <w:r w:rsidRPr="00FE37D9">
        <w:rPr>
          <w:rFonts w:ascii="Arial" w:hAnsi="Arial" w:cs="Arial"/>
          <w:vertAlign w:val="superscript"/>
        </w:rPr>
        <w:t>1,10</w:t>
      </w:r>
      <w:r w:rsidRPr="00FE37D9">
        <w:rPr>
          <w:rFonts w:ascii="Arial" w:hAnsi="Arial" w:cs="Arial"/>
        </w:rPr>
        <w:t>*</w:t>
      </w:r>
    </w:p>
    <w:p w:rsidR="006E175B" w:rsidRPr="00FE37D9" w:rsidRDefault="006E175B" w:rsidP="006E175B">
      <w:pPr>
        <w:spacing w:line="360" w:lineRule="auto"/>
        <w:jc w:val="center"/>
        <w:rPr>
          <w:rFonts w:ascii="Arial" w:hAnsi="Arial" w:cs="Arial"/>
          <w:i/>
        </w:rPr>
      </w:pPr>
    </w:p>
    <w:p w:rsidR="006E175B" w:rsidRPr="00FE37D9" w:rsidRDefault="006E175B" w:rsidP="006E175B">
      <w:pPr>
        <w:spacing w:line="360" w:lineRule="auto"/>
        <w:jc w:val="center"/>
        <w:rPr>
          <w:rFonts w:ascii="Arial" w:hAnsi="Arial" w:cs="Arial"/>
          <w:i/>
        </w:rPr>
      </w:pPr>
    </w:p>
    <w:p w:rsidR="006E175B" w:rsidRPr="00F52A0A" w:rsidRDefault="006E175B" w:rsidP="006E175B">
      <w:pPr>
        <w:spacing w:after="120" w:line="276" w:lineRule="auto"/>
        <w:jc w:val="center"/>
        <w:rPr>
          <w:rFonts w:ascii="Arial" w:eastAsia="Times New Roman" w:hAnsi="Arial" w:cs="Arial"/>
        </w:rPr>
      </w:pPr>
      <w:r w:rsidRPr="00F52A0A">
        <w:rPr>
          <w:rFonts w:ascii="Arial" w:eastAsia="Times New Roman" w:hAnsi="Arial" w:cs="Arial"/>
          <w:vertAlign w:val="superscript"/>
        </w:rPr>
        <w:t>1</w:t>
      </w:r>
      <w:r w:rsidRPr="00F52A0A">
        <w:rPr>
          <w:rFonts w:ascii="Arial" w:eastAsia="Times New Roman" w:hAnsi="Arial" w:cs="Arial"/>
        </w:rPr>
        <w:t>Department of Chemistry, University of Cambridge, Cambridge CB2 1EW, United Kingdom</w:t>
      </w:r>
    </w:p>
    <w:p w:rsidR="006E175B" w:rsidRPr="00F52A0A" w:rsidRDefault="006E175B" w:rsidP="006E175B">
      <w:pPr>
        <w:spacing w:after="120" w:line="276" w:lineRule="auto"/>
        <w:jc w:val="center"/>
        <w:rPr>
          <w:rFonts w:ascii="Arial" w:eastAsia="Times New Roman" w:hAnsi="Arial" w:cs="Arial"/>
        </w:rPr>
      </w:pPr>
      <w:r w:rsidRPr="00F52A0A">
        <w:rPr>
          <w:rFonts w:ascii="Arial" w:hAnsi="Arial" w:cs="Arial"/>
          <w:vertAlign w:val="superscript"/>
        </w:rPr>
        <w:t>2</w:t>
      </w:r>
      <w:r w:rsidRPr="00F52A0A">
        <w:rPr>
          <w:rFonts w:ascii="Arial" w:hAnsi="Arial" w:cs="Arial"/>
        </w:rPr>
        <w:t xml:space="preserve">Centre for Misfolding Diseases, </w:t>
      </w:r>
      <w:r w:rsidRPr="00F52A0A">
        <w:rPr>
          <w:rFonts w:ascii="Arial" w:eastAsia="Times New Roman" w:hAnsi="Arial" w:cs="Arial"/>
        </w:rPr>
        <w:t xml:space="preserve">University of Cambridge, </w:t>
      </w:r>
      <w:r w:rsidRPr="00F52A0A">
        <w:rPr>
          <w:rFonts w:ascii="Arial" w:hAnsi="Arial" w:cs="Arial"/>
        </w:rPr>
        <w:t xml:space="preserve">Cambridge CB2 1EW, </w:t>
      </w:r>
      <w:r w:rsidRPr="00F52A0A">
        <w:rPr>
          <w:rFonts w:ascii="Arial" w:eastAsia="Times New Roman" w:hAnsi="Arial" w:cs="Arial"/>
        </w:rPr>
        <w:t>United Kingdom</w:t>
      </w:r>
    </w:p>
    <w:p w:rsidR="006E175B" w:rsidRPr="00F52A0A" w:rsidRDefault="006E175B" w:rsidP="006E175B">
      <w:pPr>
        <w:spacing w:after="120" w:line="276" w:lineRule="auto"/>
        <w:jc w:val="center"/>
        <w:rPr>
          <w:rFonts w:ascii="Arial" w:eastAsia="Times New Roman" w:hAnsi="Arial" w:cs="Arial"/>
        </w:rPr>
      </w:pPr>
      <w:r w:rsidRPr="00F52A0A">
        <w:rPr>
          <w:rFonts w:ascii="Arial" w:eastAsia="Times New Roman" w:hAnsi="Arial" w:cs="Arial"/>
          <w:vertAlign w:val="superscript"/>
        </w:rPr>
        <w:t>3</w:t>
      </w:r>
      <w:r w:rsidRPr="00F52A0A">
        <w:rPr>
          <w:rFonts w:ascii="Arial" w:eastAsia="Times New Roman" w:hAnsi="Arial" w:cs="Arial"/>
        </w:rPr>
        <w:t>Department of Veterinary Medicine, University of Cambridge, Cambridge, CB3 0ES, United Kingdom</w:t>
      </w:r>
    </w:p>
    <w:p w:rsidR="006E175B" w:rsidRPr="00F52A0A" w:rsidRDefault="006E175B" w:rsidP="006E175B">
      <w:pPr>
        <w:spacing w:after="120" w:line="276" w:lineRule="auto"/>
        <w:jc w:val="center"/>
        <w:rPr>
          <w:rFonts w:ascii="Arial" w:eastAsia="Times New Roman" w:hAnsi="Arial" w:cs="Arial"/>
        </w:rPr>
      </w:pPr>
      <w:r w:rsidRPr="00F52A0A">
        <w:rPr>
          <w:rFonts w:ascii="Arial" w:eastAsia="Times New Roman" w:hAnsi="Arial" w:cs="Arial"/>
          <w:vertAlign w:val="superscript"/>
        </w:rPr>
        <w:t>4</w:t>
      </w:r>
      <w:r w:rsidRPr="00F52A0A">
        <w:rPr>
          <w:rFonts w:ascii="Arial" w:eastAsia="Times New Roman" w:hAnsi="Arial" w:cs="Arial"/>
        </w:rPr>
        <w:t>Laboratory of Cellular and Molecular Immunology, Vrije Universiteit Brussel, Brussels, Belgium.</w:t>
      </w:r>
    </w:p>
    <w:p w:rsidR="006E175B" w:rsidRPr="00F52A0A" w:rsidRDefault="006E175B" w:rsidP="006E175B">
      <w:pPr>
        <w:spacing w:after="120" w:line="276" w:lineRule="auto"/>
        <w:jc w:val="center"/>
        <w:rPr>
          <w:rFonts w:ascii="Arial" w:hAnsi="Arial" w:cs="Arial"/>
        </w:rPr>
      </w:pPr>
      <w:r w:rsidRPr="00F52A0A">
        <w:rPr>
          <w:rFonts w:ascii="Arial" w:eastAsia="Times New Roman" w:hAnsi="Arial" w:cs="Arial"/>
          <w:vertAlign w:val="superscript"/>
        </w:rPr>
        <w:t>5</w:t>
      </w:r>
      <w:r w:rsidRPr="00F52A0A">
        <w:rPr>
          <w:rFonts w:ascii="Arial" w:eastAsia="Times New Roman" w:hAnsi="Arial" w:cs="Arial"/>
        </w:rPr>
        <w:t xml:space="preserve">Clinical Neurochemistry Laboratory, Unit of Department of Psychiatry and Neurochemistry, Institute of Neuroscience and Physiology, the Sahlgrenska Academy at the University of Gothenburg, </w:t>
      </w:r>
      <w:r w:rsidRPr="00F52A0A">
        <w:rPr>
          <w:rFonts w:ascii="Arial" w:hAnsi="Arial" w:cs="Arial"/>
        </w:rPr>
        <w:t>Sweden</w:t>
      </w:r>
    </w:p>
    <w:p w:rsidR="006E175B" w:rsidRPr="00F52A0A" w:rsidRDefault="006E175B" w:rsidP="006E175B">
      <w:pPr>
        <w:spacing w:after="120" w:line="276" w:lineRule="auto"/>
        <w:jc w:val="center"/>
        <w:rPr>
          <w:rFonts w:ascii="Arial" w:hAnsi="Arial" w:cs="Arial"/>
        </w:rPr>
      </w:pPr>
      <w:r w:rsidRPr="00F52A0A">
        <w:rPr>
          <w:rFonts w:ascii="Arial" w:hAnsi="Arial" w:cs="Arial"/>
          <w:vertAlign w:val="superscript"/>
        </w:rPr>
        <w:t>6</w:t>
      </w:r>
      <w:r w:rsidRPr="00F52A0A">
        <w:rPr>
          <w:rFonts w:ascii="Arial" w:hAnsi="Arial" w:cs="Arial"/>
        </w:rPr>
        <w:t xml:space="preserve">Clinical Neurochemistry Laboratory, </w:t>
      </w:r>
      <w:proofErr w:type="spellStart"/>
      <w:r w:rsidRPr="00F52A0A">
        <w:rPr>
          <w:rFonts w:ascii="Arial" w:hAnsi="Arial" w:cs="Arial"/>
        </w:rPr>
        <w:t>Sahlgrenska</w:t>
      </w:r>
      <w:proofErr w:type="spellEnd"/>
      <w:r w:rsidRPr="00F52A0A">
        <w:rPr>
          <w:rFonts w:ascii="Arial" w:hAnsi="Arial" w:cs="Arial"/>
        </w:rPr>
        <w:t xml:space="preserve"> University Hospital, </w:t>
      </w:r>
      <w:proofErr w:type="spellStart"/>
      <w:r w:rsidRPr="00F52A0A">
        <w:rPr>
          <w:rFonts w:ascii="Arial" w:hAnsi="Arial" w:cs="Arial"/>
        </w:rPr>
        <w:t>Mölndal</w:t>
      </w:r>
      <w:proofErr w:type="spellEnd"/>
      <w:r w:rsidRPr="00F52A0A">
        <w:rPr>
          <w:rFonts w:ascii="Arial" w:hAnsi="Arial" w:cs="Arial"/>
        </w:rPr>
        <w:t>, Sweden</w:t>
      </w:r>
    </w:p>
    <w:p w:rsidR="006E175B" w:rsidRPr="00F52A0A" w:rsidRDefault="006E175B" w:rsidP="006E175B">
      <w:pPr>
        <w:spacing w:after="120" w:line="276" w:lineRule="auto"/>
        <w:jc w:val="center"/>
        <w:rPr>
          <w:rFonts w:ascii="Arial" w:eastAsia="Times New Roman" w:hAnsi="Arial" w:cs="Arial"/>
        </w:rPr>
      </w:pPr>
      <w:r w:rsidRPr="00F52A0A">
        <w:rPr>
          <w:rFonts w:ascii="Arial" w:eastAsia="Times New Roman" w:hAnsi="Arial" w:cs="Arial"/>
          <w:vertAlign w:val="superscript"/>
        </w:rPr>
        <w:t>7</w:t>
      </w:r>
      <w:r w:rsidRPr="00F52A0A">
        <w:rPr>
          <w:rFonts w:ascii="Arial" w:eastAsia="Times New Roman" w:hAnsi="Arial" w:cs="Arial"/>
        </w:rPr>
        <w:t xml:space="preserve">Neuropsychiatric Epidemiology Unit, Department of Psychiatry and Neurochemistry, Institute of Neuroscience and Physiology, the Sahlgrenska Academy at the University of Gothenburg, </w:t>
      </w:r>
      <w:r w:rsidRPr="00F52A0A">
        <w:rPr>
          <w:rFonts w:ascii="Arial" w:hAnsi="Arial" w:cs="Arial"/>
        </w:rPr>
        <w:t>Sweden</w:t>
      </w:r>
    </w:p>
    <w:p w:rsidR="006E175B" w:rsidRPr="00F52A0A" w:rsidRDefault="006E175B" w:rsidP="006E175B">
      <w:pPr>
        <w:spacing w:after="120" w:line="276" w:lineRule="auto"/>
        <w:jc w:val="center"/>
        <w:rPr>
          <w:rFonts w:ascii="Arial" w:hAnsi="Arial" w:cs="Arial"/>
        </w:rPr>
      </w:pPr>
      <w:r w:rsidRPr="00F52A0A">
        <w:rPr>
          <w:rFonts w:ascii="Arial" w:hAnsi="Arial" w:cs="Arial"/>
          <w:vertAlign w:val="superscript"/>
        </w:rPr>
        <w:t>8</w:t>
      </w:r>
      <w:r w:rsidRPr="00F52A0A">
        <w:rPr>
          <w:rFonts w:ascii="Arial" w:hAnsi="Arial" w:cs="Arial"/>
        </w:rPr>
        <w:t>Department of Neurodegenerative Disease, UCL Queen Square Institute of Neurology, University College London, Queen Square, London, UK</w:t>
      </w:r>
    </w:p>
    <w:p w:rsidR="006E175B" w:rsidRPr="00F52A0A" w:rsidRDefault="006E175B" w:rsidP="006E175B">
      <w:pPr>
        <w:spacing w:after="120" w:line="276" w:lineRule="auto"/>
        <w:jc w:val="center"/>
        <w:rPr>
          <w:rFonts w:ascii="Arial" w:hAnsi="Arial" w:cs="Arial"/>
        </w:rPr>
      </w:pPr>
      <w:r w:rsidRPr="00F52A0A">
        <w:rPr>
          <w:rFonts w:ascii="Arial" w:hAnsi="Arial" w:cs="Arial"/>
          <w:vertAlign w:val="superscript"/>
        </w:rPr>
        <w:t>9</w:t>
      </w:r>
      <w:r w:rsidRPr="00F52A0A">
        <w:rPr>
          <w:rFonts w:ascii="Arial" w:hAnsi="Arial" w:cs="Arial"/>
        </w:rPr>
        <w:t>UK Dementia Research Institute at University College London, London, UK</w:t>
      </w:r>
    </w:p>
    <w:p w:rsidR="006E175B" w:rsidRPr="00F52A0A" w:rsidRDefault="006E175B" w:rsidP="006E175B">
      <w:pPr>
        <w:spacing w:after="120" w:line="276" w:lineRule="auto"/>
        <w:jc w:val="center"/>
        <w:rPr>
          <w:rFonts w:ascii="Arial" w:hAnsi="Arial" w:cs="Arial"/>
        </w:rPr>
      </w:pPr>
      <w:r w:rsidRPr="00F52A0A">
        <w:rPr>
          <w:rFonts w:ascii="Arial" w:hAnsi="Arial" w:cs="Arial"/>
          <w:vertAlign w:val="superscript"/>
        </w:rPr>
        <w:t>10</w:t>
      </w:r>
      <w:r w:rsidRPr="00F52A0A">
        <w:rPr>
          <w:rFonts w:ascii="Arial" w:hAnsi="Arial" w:cs="Arial"/>
        </w:rPr>
        <w:t xml:space="preserve">UK Dementia Research Institute at University of Cambridge, Cambridge CB2 0XY, </w:t>
      </w:r>
      <w:r w:rsidRPr="00F52A0A">
        <w:rPr>
          <w:rFonts w:ascii="Arial" w:eastAsia="Times New Roman" w:hAnsi="Arial" w:cs="Arial"/>
        </w:rPr>
        <w:t>United Kingdom</w:t>
      </w:r>
    </w:p>
    <w:p w:rsidR="006E175B" w:rsidRPr="00F52A0A" w:rsidRDefault="006E175B" w:rsidP="006E175B">
      <w:pPr>
        <w:spacing w:line="480" w:lineRule="auto"/>
        <w:jc w:val="center"/>
        <w:outlineLvl w:val="0"/>
        <w:rPr>
          <w:rFonts w:ascii="Arial" w:eastAsia="Times New Roman" w:hAnsi="Arial" w:cs="Arial"/>
        </w:rPr>
      </w:pPr>
      <w:r w:rsidRPr="00F52A0A">
        <w:rPr>
          <w:rFonts w:ascii="Arial" w:hAnsi="Arial" w:cs="Arial"/>
          <w:vertAlign w:val="superscript"/>
        </w:rPr>
        <w:t>11</w:t>
      </w:r>
      <w:r w:rsidRPr="00F52A0A">
        <w:rPr>
          <w:rFonts w:ascii="Arial" w:eastAsia="Times New Roman" w:hAnsi="Arial" w:cs="Arial"/>
        </w:rPr>
        <w:t>These authors contributed equally</w:t>
      </w:r>
    </w:p>
    <w:bookmarkEnd w:id="0"/>
    <w:bookmarkEnd w:id="1"/>
    <w:p w:rsidR="006E175B" w:rsidRPr="00FE37D9" w:rsidRDefault="006E175B" w:rsidP="006E175B">
      <w:pPr>
        <w:spacing w:line="480" w:lineRule="auto"/>
        <w:outlineLvl w:val="0"/>
        <w:rPr>
          <w:rFonts w:ascii="Arial" w:eastAsia="Times New Roman" w:hAnsi="Arial" w:cs="Arial"/>
          <w:b/>
        </w:rPr>
      </w:pPr>
    </w:p>
    <w:p w:rsidR="006E175B" w:rsidRPr="00FE37D9" w:rsidRDefault="006E175B" w:rsidP="006E175B">
      <w:pPr>
        <w:pStyle w:val="Paragraph"/>
        <w:spacing w:before="0" w:line="480" w:lineRule="auto"/>
        <w:ind w:firstLine="0"/>
        <w:rPr>
          <w:rStyle w:val="Hyperlink"/>
          <w:rFonts w:ascii="Arial" w:hAnsi="Arial" w:cs="Arial"/>
          <w:sz w:val="20"/>
          <w:szCs w:val="20"/>
        </w:rPr>
      </w:pPr>
      <w:r w:rsidRPr="00FE37D9">
        <w:rPr>
          <w:rFonts w:ascii="Arial" w:hAnsi="Arial" w:cs="Arial"/>
          <w:sz w:val="20"/>
          <w:szCs w:val="20"/>
        </w:rPr>
        <w:t>*Correspondence to D.K. (</w:t>
      </w:r>
      <w:hyperlink r:id="rId5" w:history="1">
        <w:r w:rsidRPr="00FE37D9">
          <w:rPr>
            <w:rStyle w:val="Hyperlink"/>
            <w:rFonts w:ascii="Arial" w:hAnsi="Arial" w:cs="Arial"/>
            <w:sz w:val="20"/>
            <w:szCs w:val="20"/>
          </w:rPr>
          <w:t>dk10012@cam.ac.uk</w:t>
        </w:r>
      </w:hyperlink>
      <w:r w:rsidRPr="00FE37D9">
        <w:rPr>
          <w:rStyle w:val="Hyperlink"/>
          <w:rFonts w:ascii="Arial" w:hAnsi="Arial" w:cs="Arial"/>
          <w:sz w:val="20"/>
          <w:szCs w:val="20"/>
        </w:rPr>
        <w:t>)</w:t>
      </w:r>
    </w:p>
    <w:p w:rsidR="00F03FF7" w:rsidRDefault="00F03FF7" w:rsidP="00F03FF7">
      <w:pPr>
        <w:pStyle w:val="SOMHead"/>
      </w:pPr>
    </w:p>
    <w:p w:rsidR="00F03FF7" w:rsidRPr="006D4DF2" w:rsidRDefault="00F03FF7" w:rsidP="00F03FF7">
      <w:pPr>
        <w:pStyle w:val="SOMHead"/>
        <w:rPr>
          <w:b w:val="0"/>
        </w:rPr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2080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3"/>
        <w:gridCol w:w="1115"/>
        <w:gridCol w:w="1393"/>
        <w:gridCol w:w="1115"/>
        <w:gridCol w:w="1254"/>
        <w:gridCol w:w="750"/>
        <w:gridCol w:w="1017"/>
        <w:gridCol w:w="907"/>
      </w:tblGrid>
      <w:tr w:rsidR="00816373" w:rsidRPr="006E175B" w:rsidTr="00816373">
        <w:trPr>
          <w:trHeight w:val="300"/>
        </w:trPr>
        <w:tc>
          <w:tcPr>
            <w:tcW w:w="165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Sample No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Total Tau ng/L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Aβ ng/L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P -tau ng/L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Age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CDR</w:t>
            </w: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6E175B">
              <w:rPr>
                <w:rFonts w:ascii="Arial" w:hAnsi="Arial" w:cs="Arial"/>
                <w:b/>
                <w:sz w:val="32"/>
                <w:szCs w:val="24"/>
                <w:lang w:val="en-GB"/>
              </w:rPr>
              <w:t>AD</w:t>
            </w:r>
          </w:p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1400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270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155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74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769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348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94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59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763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302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86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81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836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507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89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69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1090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492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109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69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713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518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84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79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1030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540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197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66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1290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447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203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597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581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85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73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rPr>
          <w:trHeight w:val="300"/>
        </w:trPr>
        <w:tc>
          <w:tcPr>
            <w:tcW w:w="1653" w:type="dxa"/>
            <w:vMerge/>
            <w:tcBorders>
              <w:top w:val="nil"/>
            </w:tcBorders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393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1010</w:t>
            </w:r>
          </w:p>
        </w:tc>
        <w:tc>
          <w:tcPr>
            <w:tcW w:w="1115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552</w:t>
            </w:r>
          </w:p>
        </w:tc>
        <w:tc>
          <w:tcPr>
            <w:tcW w:w="1254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92</w:t>
            </w:r>
          </w:p>
        </w:tc>
        <w:tc>
          <w:tcPr>
            <w:tcW w:w="750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82</w:t>
            </w:r>
          </w:p>
        </w:tc>
        <w:tc>
          <w:tcPr>
            <w:tcW w:w="1001" w:type="dxa"/>
            <w:noWrap/>
            <w:vAlign w:val="center"/>
            <w:hideMark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6373" w:rsidRPr="006E175B" w:rsidTr="00816373">
        <w:tc>
          <w:tcPr>
            <w:tcW w:w="1653" w:type="dxa"/>
            <w:vMerge w:val="restart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6E175B">
              <w:rPr>
                <w:rFonts w:ascii="Arial" w:hAnsi="Arial" w:cs="Arial"/>
                <w:b/>
                <w:sz w:val="32"/>
                <w:szCs w:val="24"/>
                <w:lang w:val="en-GB"/>
              </w:rPr>
              <w:t>MCI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634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436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81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0.5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554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258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73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0.5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362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463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50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0.5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354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295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67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0.5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566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371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78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0.5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384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345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49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0.5</w:t>
            </w:r>
          </w:p>
        </w:tc>
      </w:tr>
      <w:tr w:rsidR="00816373" w:rsidRPr="006E175B" w:rsidTr="00816373">
        <w:tc>
          <w:tcPr>
            <w:tcW w:w="1653" w:type="dxa"/>
            <w:vMerge w:val="restart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24"/>
                <w:lang w:val="en-GB"/>
              </w:rPr>
            </w:pPr>
            <w:r w:rsidRPr="006E175B">
              <w:rPr>
                <w:rFonts w:ascii="Arial" w:hAnsi="Arial" w:cs="Arial"/>
                <w:b/>
                <w:sz w:val="32"/>
                <w:szCs w:val="24"/>
                <w:lang w:val="en-GB"/>
              </w:rPr>
              <w:t>Control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231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728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36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265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838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38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205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724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36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265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762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44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286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1000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49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</w:t>
            </w:r>
          </w:p>
        </w:tc>
      </w:tr>
      <w:tr w:rsidR="00816373" w:rsidRPr="006E175B" w:rsidTr="00816373">
        <w:tc>
          <w:tcPr>
            <w:tcW w:w="1653" w:type="dxa"/>
            <w:vMerge/>
            <w:vAlign w:val="center"/>
          </w:tcPr>
          <w:p w:rsidR="00816373" w:rsidRPr="006E175B" w:rsidRDefault="00816373" w:rsidP="00E22F6D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22</w:t>
            </w:r>
          </w:p>
        </w:tc>
        <w:tc>
          <w:tcPr>
            <w:tcW w:w="1393" w:type="dxa"/>
            <w:vAlign w:val="center"/>
          </w:tcPr>
          <w:p w:rsidR="00816373" w:rsidRPr="006E175B" w:rsidRDefault="00816373" w:rsidP="00E22F6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252</w:t>
            </w:r>
          </w:p>
        </w:tc>
        <w:tc>
          <w:tcPr>
            <w:tcW w:w="1115" w:type="dxa"/>
            <w:vAlign w:val="center"/>
          </w:tcPr>
          <w:p w:rsidR="00816373" w:rsidRPr="006E175B" w:rsidRDefault="00816373" w:rsidP="00E22F6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792</w:t>
            </w:r>
          </w:p>
        </w:tc>
        <w:tc>
          <w:tcPr>
            <w:tcW w:w="1254" w:type="dxa"/>
            <w:vAlign w:val="center"/>
          </w:tcPr>
          <w:p w:rsidR="00816373" w:rsidRPr="006E175B" w:rsidRDefault="00816373" w:rsidP="00E22F6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36</w:t>
            </w:r>
          </w:p>
        </w:tc>
        <w:tc>
          <w:tcPr>
            <w:tcW w:w="750" w:type="dxa"/>
          </w:tcPr>
          <w:p w:rsidR="00816373" w:rsidRPr="006E175B" w:rsidRDefault="00816373" w:rsidP="00E22F6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</w:p>
        </w:tc>
        <w:tc>
          <w:tcPr>
            <w:tcW w:w="1001" w:type="dxa"/>
            <w:vAlign w:val="center"/>
          </w:tcPr>
          <w:p w:rsidR="00816373" w:rsidRPr="006E175B" w:rsidRDefault="00816373" w:rsidP="00E22F6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175B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923" w:type="dxa"/>
          </w:tcPr>
          <w:p w:rsidR="00816373" w:rsidRPr="006E175B" w:rsidRDefault="00816373" w:rsidP="00E22F6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</w:t>
            </w:r>
          </w:p>
        </w:tc>
      </w:tr>
    </w:tbl>
    <w:p w:rsidR="00F03FF7" w:rsidRPr="006E175B" w:rsidRDefault="00F03FF7" w:rsidP="00F03FF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C44E3D" w:rsidRPr="006E175B" w:rsidRDefault="00C44E3D" w:rsidP="00F03FF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FF7" w:rsidRPr="006E175B" w:rsidRDefault="00F03FF7" w:rsidP="00F03FF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175B">
        <w:rPr>
          <w:rFonts w:ascii="Arial" w:hAnsi="Arial" w:cs="Arial"/>
          <w:b/>
          <w:sz w:val="24"/>
          <w:szCs w:val="24"/>
        </w:rPr>
        <w:t xml:space="preserve">Table </w:t>
      </w:r>
      <w:proofErr w:type="spellStart"/>
      <w:r w:rsidR="00294291">
        <w:rPr>
          <w:rFonts w:ascii="Arial" w:hAnsi="Arial" w:cs="Arial"/>
          <w:b/>
          <w:sz w:val="24"/>
          <w:szCs w:val="24"/>
        </w:rPr>
        <w:t>S</w:t>
      </w:r>
      <w:r w:rsidRPr="006E175B">
        <w:rPr>
          <w:rFonts w:ascii="Arial" w:hAnsi="Arial" w:cs="Arial"/>
          <w:b/>
          <w:sz w:val="24"/>
          <w:szCs w:val="24"/>
        </w:rPr>
        <w:t>1</w:t>
      </w:r>
      <w:proofErr w:type="spellEnd"/>
      <w:r w:rsidRPr="006E175B">
        <w:rPr>
          <w:rFonts w:ascii="Arial" w:hAnsi="Arial" w:cs="Arial"/>
          <w:b/>
          <w:sz w:val="24"/>
          <w:szCs w:val="24"/>
        </w:rPr>
        <w:t>. Characterisation of the CSF samples used in this study.</w:t>
      </w:r>
    </w:p>
    <w:p w:rsidR="00F03FF7" w:rsidRPr="006E175B" w:rsidRDefault="00F03FF7" w:rsidP="00F03FF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F03FF7" w:rsidRPr="006E175B" w:rsidRDefault="00F03FF7" w:rsidP="00F03FF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FF7" w:rsidRPr="006E175B" w:rsidRDefault="00F03FF7" w:rsidP="00F03FF7">
      <w:pPr>
        <w:pStyle w:val="Paragraph"/>
        <w:spacing w:before="0" w:line="480" w:lineRule="auto"/>
        <w:ind w:firstLine="0"/>
        <w:jc w:val="center"/>
        <w:rPr>
          <w:rFonts w:ascii="Arial" w:hAnsi="Arial" w:cs="Arial"/>
        </w:rPr>
      </w:pPr>
      <w:r w:rsidRPr="006E175B">
        <w:rPr>
          <w:rFonts w:ascii="Arial" w:hAnsi="Arial" w:cs="Arial"/>
          <w:noProof/>
        </w:rPr>
        <w:lastRenderedPageBreak/>
        <w:drawing>
          <wp:inline distT="0" distB="0" distL="0" distR="0">
            <wp:extent cx="2889885" cy="307975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5B" w:rsidRDefault="00294291" w:rsidP="006E175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F03FF7" w:rsidRPr="006E175B">
        <w:rPr>
          <w:rFonts w:ascii="Arial" w:hAnsi="Arial" w:cs="Arial"/>
          <w:b/>
          <w:sz w:val="24"/>
          <w:szCs w:val="24"/>
        </w:rPr>
        <w:t xml:space="preserve">igure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="00F03FF7" w:rsidRPr="006E175B">
        <w:rPr>
          <w:rFonts w:ascii="Arial" w:hAnsi="Arial" w:cs="Arial"/>
          <w:b/>
          <w:sz w:val="24"/>
          <w:szCs w:val="24"/>
        </w:rPr>
        <w:t>1</w:t>
      </w:r>
      <w:proofErr w:type="spellEnd"/>
      <w:r w:rsidR="00F03FF7" w:rsidRPr="006E175B">
        <w:rPr>
          <w:rFonts w:ascii="Arial" w:hAnsi="Arial" w:cs="Arial"/>
          <w:b/>
          <w:sz w:val="24"/>
          <w:szCs w:val="24"/>
        </w:rPr>
        <w:t xml:space="preserve">:  Toll like receptor 4 (TLR4) antagonists block AD CSF-induced aggregate induced inflammation. </w:t>
      </w:r>
      <w:r w:rsidR="00F03FF7" w:rsidRPr="006E175B">
        <w:rPr>
          <w:rFonts w:ascii="Arial" w:hAnsi="Arial" w:cs="Arial"/>
          <w:sz w:val="24"/>
          <w:szCs w:val="24"/>
        </w:rPr>
        <w:t xml:space="preserve">TAK-242, a small molecule inhibitor of TLR-4 and a known TLR4 antagonist </w:t>
      </w:r>
      <w:r w:rsidR="00F03FF7" w:rsidRPr="006E175B">
        <w:rPr>
          <w:rFonts w:ascii="Arial" w:hAnsi="Arial" w:cs="Arial"/>
          <w:i/>
          <w:sz w:val="24"/>
          <w:szCs w:val="24"/>
        </w:rPr>
        <w:t>Rhodobacter sphaeroides</w:t>
      </w:r>
      <w:r w:rsidR="00F03FF7" w:rsidRPr="006E175B">
        <w:rPr>
          <w:rFonts w:ascii="Arial" w:hAnsi="Arial" w:cs="Arial"/>
          <w:sz w:val="24"/>
          <w:szCs w:val="24"/>
        </w:rPr>
        <w:t xml:space="preserve"> lipid A (RSLA) inhibits the AD CSF-induced inflammatory response by selectively binding to TLR4 and disrupting the interactions of TLR4 with its adaptor molecules (n=3, error bars is standard deviation). </w:t>
      </w:r>
      <w:r w:rsidR="006E175B">
        <w:rPr>
          <w:rFonts w:ascii="Arial" w:hAnsi="Arial" w:cs="Arial"/>
          <w:sz w:val="24"/>
          <w:szCs w:val="24"/>
        </w:rPr>
        <w:t xml:space="preserve">One way </w:t>
      </w:r>
      <w:proofErr w:type="spellStart"/>
      <w:r w:rsidR="006E175B">
        <w:rPr>
          <w:rFonts w:ascii="Arial" w:hAnsi="Arial" w:cs="Arial"/>
          <w:sz w:val="24"/>
          <w:szCs w:val="24"/>
        </w:rPr>
        <w:t>annova</w:t>
      </w:r>
      <w:proofErr w:type="spellEnd"/>
      <w:r w:rsidR="006E175B">
        <w:rPr>
          <w:rFonts w:ascii="Arial" w:hAnsi="Arial" w:cs="Arial"/>
          <w:sz w:val="24"/>
          <w:szCs w:val="24"/>
        </w:rPr>
        <w:t xml:space="preserve"> followed by post-hoc turkey </w:t>
      </w:r>
      <w:r w:rsidR="006E175B" w:rsidRPr="006E175B">
        <w:rPr>
          <w:rFonts w:ascii="Arial" w:hAnsi="Arial" w:cs="Arial"/>
          <w:sz w:val="24"/>
          <w:szCs w:val="24"/>
        </w:rPr>
        <w:t xml:space="preserve">were performed </w:t>
      </w:r>
      <w:r w:rsidR="006E175B">
        <w:rPr>
          <w:rFonts w:ascii="Arial" w:hAnsi="Arial" w:cs="Arial"/>
          <w:sz w:val="24"/>
          <w:szCs w:val="24"/>
        </w:rPr>
        <w:t>to compare the data sets</w:t>
      </w:r>
      <w:r w:rsidR="009F6C5B">
        <w:rPr>
          <w:rFonts w:ascii="Arial" w:hAnsi="Arial" w:cs="Arial"/>
          <w:sz w:val="24"/>
          <w:szCs w:val="24"/>
        </w:rPr>
        <w:t>.</w:t>
      </w:r>
    </w:p>
    <w:p w:rsidR="009F6C5B" w:rsidRDefault="009F6C5B" w:rsidP="009F6C5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51809" cy="206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 4_all antibo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32" cy="206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F7" w:rsidRPr="006E175B" w:rsidRDefault="00294291" w:rsidP="009F6C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9F6C5B" w:rsidRPr="006E175B">
        <w:rPr>
          <w:rFonts w:ascii="Arial" w:hAnsi="Arial" w:cs="Arial"/>
          <w:b/>
          <w:sz w:val="24"/>
          <w:szCs w:val="24"/>
        </w:rPr>
        <w:t xml:space="preserve">igure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="009F6C5B">
        <w:rPr>
          <w:rFonts w:ascii="Arial" w:hAnsi="Arial" w:cs="Arial"/>
          <w:b/>
          <w:sz w:val="24"/>
          <w:szCs w:val="24"/>
        </w:rPr>
        <w:t>2</w:t>
      </w:r>
      <w:proofErr w:type="spellEnd"/>
      <w:r w:rsidR="009F6C5B" w:rsidRPr="006E175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9F6C5B" w:rsidRPr="009F6C5B">
        <w:rPr>
          <w:rFonts w:ascii="Arial" w:hAnsi="Arial" w:cs="Arial"/>
          <w:b/>
          <w:sz w:val="24"/>
          <w:szCs w:val="24"/>
        </w:rPr>
        <w:t>a</w:t>
      </w:r>
      <w:proofErr w:type="gramEnd"/>
      <w:r w:rsidR="009F6C5B" w:rsidRPr="009F6C5B">
        <w:rPr>
          <w:rFonts w:ascii="Arial" w:hAnsi="Arial" w:cs="Arial"/>
          <w:b/>
          <w:sz w:val="24"/>
          <w:szCs w:val="24"/>
        </w:rPr>
        <w:t xml:space="preserve"> portion of the toxic aggregates present in MCI and AD CSF are composed of Aβ </w:t>
      </w:r>
      <w:r w:rsidR="009F6C5B" w:rsidRPr="009F6C5B">
        <w:rPr>
          <w:rFonts w:ascii="Arial" w:hAnsi="Arial" w:cs="Arial"/>
          <w:sz w:val="24"/>
          <w:szCs w:val="24"/>
        </w:rPr>
        <w:t xml:space="preserve">To understand the composition of toxic aggregate present in human CSF. we employed a series of Aβ-specific antibody which are </w:t>
      </w:r>
      <w:r w:rsidR="009F6C5B">
        <w:rPr>
          <w:rFonts w:ascii="Arial" w:hAnsi="Arial" w:cs="Arial"/>
          <w:sz w:val="24"/>
          <w:szCs w:val="24"/>
        </w:rPr>
        <w:t>known</w:t>
      </w:r>
      <w:r w:rsidR="009F6C5B" w:rsidRPr="009F6C5B">
        <w:rPr>
          <w:rFonts w:ascii="Arial" w:hAnsi="Arial" w:cs="Arial"/>
          <w:sz w:val="24"/>
          <w:szCs w:val="24"/>
        </w:rPr>
        <w:t xml:space="preserve"> to counteract the toxicity induced by soluble aggregates of Aβ </w:t>
      </w:r>
      <w:r w:rsidR="00F03FF7" w:rsidRPr="006E175B">
        <w:rPr>
          <w:rFonts w:ascii="Arial" w:hAnsi="Arial" w:cs="Arial"/>
          <w:sz w:val="24"/>
          <w:szCs w:val="24"/>
        </w:rPr>
        <w:br w:type="page"/>
      </w:r>
      <w:r w:rsidR="00F03FF7" w:rsidRPr="006E175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260725" cy="387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7" w:rsidRPr="006E175B" w:rsidRDefault="00F03FF7" w:rsidP="00F03FF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03FF7" w:rsidRPr="006E175B" w:rsidRDefault="00294291" w:rsidP="00F03F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F03FF7" w:rsidRPr="006E175B">
        <w:rPr>
          <w:rFonts w:ascii="Arial" w:hAnsi="Arial" w:cs="Arial"/>
          <w:b/>
          <w:sz w:val="24"/>
          <w:szCs w:val="24"/>
        </w:rPr>
        <w:t xml:space="preserve">igure </w:t>
      </w:r>
      <w:r>
        <w:rPr>
          <w:rFonts w:ascii="Arial" w:hAnsi="Arial" w:cs="Arial"/>
          <w:b/>
          <w:sz w:val="24"/>
          <w:szCs w:val="24"/>
        </w:rPr>
        <w:t>S</w:t>
      </w:r>
      <w:bookmarkStart w:id="2" w:name="_GoBack"/>
      <w:bookmarkEnd w:id="2"/>
      <w:r w:rsidR="009F6C5B">
        <w:rPr>
          <w:rFonts w:ascii="Arial" w:hAnsi="Arial" w:cs="Arial"/>
          <w:b/>
          <w:sz w:val="24"/>
          <w:szCs w:val="24"/>
        </w:rPr>
        <w:t>3</w:t>
      </w:r>
      <w:r w:rsidR="00F03FF7" w:rsidRPr="006E175B">
        <w:rPr>
          <w:rFonts w:ascii="Arial" w:hAnsi="Arial" w:cs="Arial"/>
          <w:b/>
          <w:sz w:val="24"/>
          <w:szCs w:val="24"/>
        </w:rPr>
        <w:t xml:space="preserve">. Detection of aggregates present in control, MCI and AD CSF using pFTAA. </w:t>
      </w:r>
      <w:r w:rsidR="00F03FF7" w:rsidRPr="006E175B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Pentameric formylthiophene acetic acid (pFTAA) </w:t>
      </w:r>
      <w:r w:rsidR="00F03FF7" w:rsidRPr="006E175B">
        <w:rPr>
          <w:rFonts w:ascii="Arial" w:hAnsi="Arial" w:cs="Arial"/>
          <w:sz w:val="24"/>
          <w:szCs w:val="24"/>
        </w:rPr>
        <w:t>is known to bind amyloid aggregates with high affinity. There is no significant difference in the number of pFTAA-active species in control, MCI and AD CSF.</w:t>
      </w:r>
      <w:r w:rsidR="006E175B">
        <w:rPr>
          <w:rFonts w:ascii="Arial" w:hAnsi="Arial" w:cs="Arial"/>
          <w:sz w:val="24"/>
          <w:szCs w:val="24"/>
        </w:rPr>
        <w:t xml:space="preserve"> One way </w:t>
      </w:r>
      <w:proofErr w:type="spellStart"/>
      <w:r w:rsidR="006E175B">
        <w:rPr>
          <w:rFonts w:ascii="Arial" w:hAnsi="Arial" w:cs="Arial"/>
          <w:sz w:val="24"/>
          <w:szCs w:val="24"/>
        </w:rPr>
        <w:t>annova</w:t>
      </w:r>
      <w:proofErr w:type="spellEnd"/>
      <w:r w:rsidR="006E175B">
        <w:rPr>
          <w:rFonts w:ascii="Arial" w:hAnsi="Arial" w:cs="Arial"/>
          <w:sz w:val="24"/>
          <w:szCs w:val="24"/>
        </w:rPr>
        <w:t xml:space="preserve"> followed by post-hoc turkey </w:t>
      </w:r>
      <w:r w:rsidR="006E175B" w:rsidRPr="006E175B">
        <w:rPr>
          <w:rFonts w:ascii="Arial" w:hAnsi="Arial" w:cs="Arial"/>
          <w:sz w:val="24"/>
          <w:szCs w:val="24"/>
        </w:rPr>
        <w:t xml:space="preserve">were performed </w:t>
      </w:r>
      <w:r w:rsidR="006E175B">
        <w:rPr>
          <w:rFonts w:ascii="Arial" w:hAnsi="Arial" w:cs="Arial"/>
          <w:sz w:val="24"/>
          <w:szCs w:val="24"/>
        </w:rPr>
        <w:t>to compare the data sets</w:t>
      </w:r>
    </w:p>
    <w:p w:rsidR="00F03FF7" w:rsidRPr="006D4DF2" w:rsidRDefault="00F03FF7" w:rsidP="00F03FF7">
      <w:pPr>
        <w:pStyle w:val="Paragraph"/>
      </w:pPr>
    </w:p>
    <w:p w:rsidR="006928CB" w:rsidRDefault="006928CB"/>
    <w:sectPr w:rsidR="00692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03FF7"/>
    <w:rsid w:val="00294291"/>
    <w:rsid w:val="005352CC"/>
    <w:rsid w:val="006928CB"/>
    <w:rsid w:val="006E175B"/>
    <w:rsid w:val="00816373"/>
    <w:rsid w:val="009F6C5B"/>
    <w:rsid w:val="00C44E3D"/>
    <w:rsid w:val="00CA5D1B"/>
    <w:rsid w:val="00F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F03FF7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F03FF7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SOMHead">
    <w:name w:val="SOMHead"/>
    <w:basedOn w:val="Normal"/>
    <w:rsid w:val="00F03FF7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character" w:customStyle="1" w:styleId="ParagraphChar">
    <w:name w:val="Paragraph Char"/>
    <w:link w:val="Paragraph"/>
    <w:rsid w:val="00F03FF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3F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9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F03FF7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F03FF7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SOMHead">
    <w:name w:val="SOMHead"/>
    <w:basedOn w:val="Normal"/>
    <w:rsid w:val="00F03FF7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character" w:customStyle="1" w:styleId="ParagraphChar">
    <w:name w:val="Paragraph Char"/>
    <w:link w:val="Paragraph"/>
    <w:rsid w:val="00F03FF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3F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9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k10012@cam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3025</Characters>
  <Application>Microsoft Office Word</Application>
  <DocSecurity>0</DocSecurity>
  <Lines>252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De</dc:creator>
  <cp:keywords/>
  <dc:description/>
  <cp:lastModifiedBy>S3G_Reference_Citation_Sequence</cp:lastModifiedBy>
  <cp:revision>3</cp:revision>
  <dcterms:created xsi:type="dcterms:W3CDTF">2019-07-11T15:18:00Z</dcterms:created>
  <dcterms:modified xsi:type="dcterms:W3CDTF">2019-07-20T11:49:00Z</dcterms:modified>
</cp:coreProperties>
</file>