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4E2C" w14:textId="7BBE8154" w:rsidR="00F82353" w:rsidRPr="00421A3E" w:rsidRDefault="00F82353" w:rsidP="00F82353">
      <w:pPr>
        <w:spacing w:line="480" w:lineRule="auto"/>
        <w:rPr>
          <w:rFonts w:ascii="Times New Roman" w:hAnsi="Times New Roman" w:cs="Times New Roman"/>
          <w:b/>
          <w:sz w:val="24"/>
          <w:szCs w:val="24"/>
        </w:rPr>
      </w:pPr>
      <w:bookmarkStart w:id="0" w:name="_GoBack"/>
      <w:bookmarkEnd w:id="0"/>
      <w:r w:rsidRPr="00421A3E">
        <w:rPr>
          <w:rFonts w:ascii="Times New Roman" w:hAnsi="Times New Roman" w:cs="Times New Roman"/>
          <w:b/>
          <w:sz w:val="24"/>
          <w:szCs w:val="24"/>
        </w:rPr>
        <w:t xml:space="preserve">The epidemiology of homicide among older adults: </w:t>
      </w:r>
      <w:r w:rsidRPr="00421A3E">
        <w:rPr>
          <w:rFonts w:ascii="Times New Roman" w:eastAsia="Times New Roman" w:hAnsi="Times New Roman" w:cs="Times New Roman"/>
          <w:b/>
          <w:sz w:val="24"/>
          <w:szCs w:val="24"/>
          <w:lang w:eastAsia="zh-CN"/>
        </w:rPr>
        <w:t>Retrospective analysis</w:t>
      </w:r>
      <w:r w:rsidRPr="00421A3E">
        <w:rPr>
          <w:rFonts w:ascii="Times New Roman" w:hAnsi="Times New Roman" w:cs="Times New Roman"/>
          <w:b/>
          <w:sz w:val="24"/>
          <w:szCs w:val="24"/>
        </w:rPr>
        <w:t xml:space="preserve"> using data from the Victorian Homicide Register</w:t>
      </w:r>
    </w:p>
    <w:p w14:paraId="56748014" w14:textId="2F457F94" w:rsidR="00421A3E" w:rsidRPr="00421A3E" w:rsidRDefault="00421A3E" w:rsidP="00F82353">
      <w:pPr>
        <w:spacing w:line="480" w:lineRule="auto"/>
        <w:rPr>
          <w:rFonts w:ascii="Times New Roman" w:hAnsi="Times New Roman" w:cs="Times New Roman"/>
          <w:b/>
          <w:sz w:val="24"/>
          <w:szCs w:val="24"/>
        </w:rPr>
      </w:pPr>
      <w:r w:rsidRPr="00421A3E">
        <w:rPr>
          <w:rFonts w:ascii="Times New Roman" w:hAnsi="Times New Roman" w:cs="Times New Roman"/>
          <w:b/>
          <w:sz w:val="24"/>
          <w:szCs w:val="24"/>
        </w:rPr>
        <w:t>International Journal of Legal Medicine</w:t>
      </w:r>
    </w:p>
    <w:p w14:paraId="583FDE27" w14:textId="20CCA6D8" w:rsidR="00F82353" w:rsidRPr="00421A3E" w:rsidRDefault="00F82353" w:rsidP="00F82353">
      <w:pPr>
        <w:spacing w:line="480" w:lineRule="auto"/>
        <w:rPr>
          <w:rFonts w:ascii="Times New Roman" w:hAnsi="Times New Roman" w:cs="Times New Roman"/>
          <w:bCs/>
          <w:sz w:val="24"/>
          <w:szCs w:val="24"/>
        </w:rPr>
      </w:pPr>
      <w:r w:rsidRPr="00421A3E">
        <w:rPr>
          <w:rFonts w:ascii="Times New Roman" w:hAnsi="Times New Roman" w:cs="Times New Roman"/>
          <w:b/>
          <w:bCs/>
          <w:sz w:val="24"/>
          <w:szCs w:val="24"/>
        </w:rPr>
        <w:t xml:space="preserve">Authors: </w:t>
      </w:r>
      <w:r w:rsidRPr="00421A3E">
        <w:rPr>
          <w:rFonts w:ascii="Times New Roman" w:hAnsi="Times New Roman" w:cs="Times New Roman"/>
          <w:bCs/>
          <w:sz w:val="24"/>
          <w:szCs w:val="24"/>
        </w:rPr>
        <w:t>Briohny Kennedy</w:t>
      </w:r>
      <w:r w:rsidRPr="00421A3E">
        <w:rPr>
          <w:rFonts w:ascii="Times New Roman" w:hAnsi="Times New Roman" w:cs="Times New Roman"/>
          <w:bCs/>
          <w:sz w:val="24"/>
          <w:szCs w:val="24"/>
          <w:vertAlign w:val="superscript"/>
        </w:rPr>
        <w:t>1</w:t>
      </w:r>
      <w:r w:rsidRPr="00421A3E">
        <w:rPr>
          <w:rFonts w:ascii="Times New Roman" w:hAnsi="Times New Roman" w:cs="Times New Roman"/>
          <w:bCs/>
          <w:sz w:val="24"/>
          <w:szCs w:val="24"/>
        </w:rPr>
        <w:t>, Joseph Ibrahim1, Sjaan Koppel, PhD</w:t>
      </w:r>
      <w:r w:rsidRPr="00421A3E">
        <w:rPr>
          <w:rFonts w:ascii="Times New Roman" w:hAnsi="Times New Roman" w:cs="Times New Roman"/>
          <w:bCs/>
          <w:sz w:val="24"/>
          <w:szCs w:val="24"/>
          <w:vertAlign w:val="superscript"/>
        </w:rPr>
        <w:t>2</w:t>
      </w:r>
      <w:r w:rsidRPr="00421A3E">
        <w:rPr>
          <w:rFonts w:ascii="Times New Roman" w:hAnsi="Times New Roman" w:cs="Times New Roman"/>
          <w:bCs/>
          <w:sz w:val="24"/>
          <w:szCs w:val="24"/>
        </w:rPr>
        <w:t>, and Lyndal Bugeja.</w:t>
      </w:r>
      <w:r w:rsidRPr="00421A3E">
        <w:rPr>
          <w:rFonts w:ascii="Times New Roman" w:hAnsi="Times New Roman" w:cs="Times New Roman"/>
          <w:bCs/>
          <w:sz w:val="24"/>
          <w:szCs w:val="24"/>
          <w:vertAlign w:val="superscript"/>
        </w:rPr>
        <w:t>1</w:t>
      </w:r>
    </w:p>
    <w:p w14:paraId="253A54C9" w14:textId="77777777" w:rsidR="00F82353" w:rsidRPr="00421A3E" w:rsidRDefault="00F82353" w:rsidP="00F82353">
      <w:pPr>
        <w:autoSpaceDE w:val="0"/>
        <w:autoSpaceDN w:val="0"/>
        <w:adjustRightInd w:val="0"/>
        <w:spacing w:after="0" w:line="480" w:lineRule="auto"/>
        <w:rPr>
          <w:rFonts w:ascii="Times New Roman" w:hAnsi="Times New Roman" w:cs="Times New Roman"/>
          <w:b/>
          <w:bCs/>
          <w:sz w:val="24"/>
          <w:szCs w:val="24"/>
        </w:rPr>
      </w:pPr>
      <w:r w:rsidRPr="00421A3E">
        <w:rPr>
          <w:rFonts w:ascii="Times New Roman" w:hAnsi="Times New Roman" w:cs="Times New Roman"/>
          <w:b/>
          <w:bCs/>
          <w:sz w:val="24"/>
          <w:szCs w:val="24"/>
        </w:rPr>
        <w:t>Author affiliations:</w:t>
      </w:r>
    </w:p>
    <w:p w14:paraId="49D37BF6" w14:textId="77777777" w:rsidR="00F82353" w:rsidRPr="00421A3E" w:rsidRDefault="00F82353" w:rsidP="00F82353">
      <w:pPr>
        <w:autoSpaceDE w:val="0"/>
        <w:autoSpaceDN w:val="0"/>
        <w:adjustRightInd w:val="0"/>
        <w:spacing w:after="0" w:line="480" w:lineRule="auto"/>
        <w:rPr>
          <w:rFonts w:ascii="Times New Roman" w:hAnsi="Times New Roman" w:cs="Times New Roman"/>
          <w:bCs/>
          <w:sz w:val="24"/>
          <w:szCs w:val="24"/>
        </w:rPr>
      </w:pPr>
      <w:r w:rsidRPr="00421A3E">
        <w:rPr>
          <w:rFonts w:ascii="Times New Roman" w:hAnsi="Times New Roman" w:cs="Times New Roman"/>
          <w:bCs/>
          <w:sz w:val="24"/>
          <w:szCs w:val="24"/>
        </w:rPr>
        <w:t>1 - Monash University Department of Forensic Medicine</w:t>
      </w:r>
    </w:p>
    <w:p w14:paraId="51475725" w14:textId="77777777" w:rsidR="00F82353" w:rsidRPr="00421A3E" w:rsidRDefault="00F82353" w:rsidP="00F82353">
      <w:pPr>
        <w:autoSpaceDE w:val="0"/>
        <w:autoSpaceDN w:val="0"/>
        <w:adjustRightInd w:val="0"/>
        <w:spacing w:after="0" w:line="480" w:lineRule="auto"/>
        <w:rPr>
          <w:rFonts w:ascii="Times New Roman" w:hAnsi="Times New Roman" w:cs="Times New Roman"/>
          <w:bCs/>
          <w:sz w:val="24"/>
          <w:szCs w:val="24"/>
        </w:rPr>
      </w:pPr>
      <w:r w:rsidRPr="00421A3E">
        <w:rPr>
          <w:rFonts w:ascii="Times New Roman" w:hAnsi="Times New Roman" w:cs="Times New Roman"/>
          <w:bCs/>
          <w:sz w:val="24"/>
          <w:szCs w:val="24"/>
        </w:rPr>
        <w:t>2 - Monash University Accident Research Centre, Monash University</w:t>
      </w:r>
    </w:p>
    <w:p w14:paraId="38E70AEC" w14:textId="77777777" w:rsidR="00F82353" w:rsidRPr="00421A3E" w:rsidRDefault="00F82353" w:rsidP="00F82353">
      <w:pPr>
        <w:autoSpaceDE w:val="0"/>
        <w:autoSpaceDN w:val="0"/>
        <w:adjustRightInd w:val="0"/>
        <w:spacing w:after="0" w:line="480" w:lineRule="auto"/>
        <w:rPr>
          <w:rFonts w:ascii="Times New Roman" w:hAnsi="Times New Roman" w:cs="Times New Roman"/>
          <w:b/>
          <w:bCs/>
          <w:sz w:val="24"/>
          <w:szCs w:val="24"/>
        </w:rPr>
      </w:pPr>
      <w:r w:rsidRPr="00421A3E">
        <w:rPr>
          <w:rFonts w:ascii="Times New Roman" w:hAnsi="Times New Roman" w:cs="Times New Roman"/>
          <w:b/>
          <w:bCs/>
          <w:sz w:val="24"/>
          <w:szCs w:val="24"/>
        </w:rPr>
        <w:t>Corresponding author:</w:t>
      </w:r>
    </w:p>
    <w:p w14:paraId="129AC978" w14:textId="77777777" w:rsidR="00F82353" w:rsidRPr="00421A3E" w:rsidRDefault="00F82353" w:rsidP="00F82353">
      <w:pPr>
        <w:autoSpaceDE w:val="0"/>
        <w:autoSpaceDN w:val="0"/>
        <w:adjustRightInd w:val="0"/>
        <w:spacing w:after="0" w:line="480" w:lineRule="auto"/>
        <w:rPr>
          <w:rFonts w:ascii="Times New Roman" w:hAnsi="Times New Roman" w:cs="Times New Roman"/>
          <w:bCs/>
          <w:sz w:val="24"/>
          <w:szCs w:val="24"/>
        </w:rPr>
      </w:pPr>
      <w:r w:rsidRPr="00421A3E">
        <w:rPr>
          <w:rFonts w:ascii="Times New Roman" w:hAnsi="Times New Roman" w:cs="Times New Roman"/>
          <w:bCs/>
          <w:sz w:val="24"/>
          <w:szCs w:val="24"/>
        </w:rPr>
        <w:t xml:space="preserve">Ms Briohny Kennedy, 65 Kavanagh Street, Southbank, Victoria, 3006, Australia, Phone: +61 3 9684 4444, Email: </w:t>
      </w:r>
      <w:hyperlink r:id="rId4" w:history="1">
        <w:r w:rsidRPr="00421A3E">
          <w:rPr>
            <w:rStyle w:val="Hyperlink"/>
            <w:rFonts w:ascii="Times New Roman" w:hAnsi="Times New Roman" w:cs="Times New Roman"/>
            <w:bCs/>
            <w:sz w:val="24"/>
            <w:szCs w:val="24"/>
          </w:rPr>
          <w:t>briohny.kennedy@monash.edu</w:t>
        </w:r>
      </w:hyperlink>
    </w:p>
    <w:p w14:paraId="0BCBB444" w14:textId="77777777" w:rsidR="00626DEC" w:rsidRDefault="00626DEC" w:rsidP="00626DEC">
      <w:pPr>
        <w:rPr>
          <w:rFonts w:ascii="Times New Roman" w:hAnsi="Times New Roman" w:cs="Times New Roman"/>
          <w:b/>
          <w:bCs/>
          <w:sz w:val="28"/>
          <w:szCs w:val="28"/>
        </w:rPr>
      </w:pPr>
    </w:p>
    <w:p w14:paraId="75771596" w14:textId="052E509F" w:rsidR="009F63BC" w:rsidRPr="007E6946" w:rsidRDefault="005767D1" w:rsidP="009F63BC">
      <w:pPr>
        <w:rPr>
          <w:rFonts w:ascii="Times New Roman" w:hAnsi="Times New Roman" w:cs="Times New Roman"/>
          <w:bCs/>
          <w:sz w:val="24"/>
          <w:szCs w:val="24"/>
        </w:rPr>
      </w:pPr>
      <w:r w:rsidRPr="00F82353">
        <w:rPr>
          <w:rFonts w:ascii="Times New Roman" w:hAnsi="Times New Roman" w:cs="Times New Roman"/>
          <w:b/>
          <w:bCs/>
          <w:sz w:val="24"/>
          <w:szCs w:val="24"/>
        </w:rPr>
        <w:t xml:space="preserve">Online Resource </w:t>
      </w:r>
      <w:r w:rsidR="005B7436">
        <w:rPr>
          <w:rFonts w:ascii="Times New Roman" w:hAnsi="Times New Roman" w:cs="Times New Roman"/>
          <w:b/>
          <w:bCs/>
          <w:sz w:val="24"/>
          <w:szCs w:val="24"/>
        </w:rPr>
        <w:t>S</w:t>
      </w:r>
      <w:r w:rsidRPr="00F82353">
        <w:rPr>
          <w:rFonts w:ascii="Times New Roman" w:hAnsi="Times New Roman" w:cs="Times New Roman"/>
          <w:b/>
          <w:bCs/>
          <w:sz w:val="24"/>
          <w:szCs w:val="24"/>
        </w:rPr>
        <w:t>1</w:t>
      </w:r>
      <w:r w:rsidR="009F63BC" w:rsidRPr="00F82353">
        <w:rPr>
          <w:rFonts w:ascii="Times New Roman" w:hAnsi="Times New Roman" w:cs="Times New Roman"/>
          <w:b/>
          <w:bCs/>
          <w:sz w:val="24"/>
          <w:szCs w:val="24"/>
        </w:rPr>
        <w:t xml:space="preserve"> </w:t>
      </w:r>
      <w:bookmarkStart w:id="1" w:name="_Hlk126272494"/>
      <w:r w:rsidR="009F63BC" w:rsidRPr="00F966E9">
        <w:rPr>
          <w:rFonts w:ascii="Times New Roman" w:hAnsi="Times New Roman" w:cs="Times New Roman"/>
          <w:bCs/>
          <w:sz w:val="24"/>
          <w:szCs w:val="24"/>
        </w:rPr>
        <w:t>Definitions used in this study</w:t>
      </w:r>
      <w:bookmarkEnd w:id="1"/>
    </w:p>
    <w:p w14:paraId="0C386134" w14:textId="77777777" w:rsidR="009F63BC" w:rsidRDefault="009F63BC" w:rsidP="009F63BC">
      <w:pPr>
        <w:spacing w:line="240" w:lineRule="auto"/>
        <w:rPr>
          <w:rFonts w:ascii="Times New Roman" w:hAnsi="Times New Roman" w:cs="Times New Roman"/>
          <w:sz w:val="24"/>
          <w:szCs w:val="24"/>
        </w:rPr>
      </w:pPr>
      <w:r w:rsidRPr="00F01485">
        <w:rPr>
          <w:rFonts w:ascii="Times New Roman" w:hAnsi="Times New Roman" w:cs="Times New Roman"/>
          <w:sz w:val="24"/>
          <w:szCs w:val="24"/>
        </w:rPr>
        <w:t xml:space="preserve">A community dwelling adult was defined as living either in a private or publicly owned dwelling, or homeless at the time of the incident, and not in an institution (for example a prison, hospital, aged care home or other institutional/residential care). </w:t>
      </w:r>
    </w:p>
    <w:p w14:paraId="69F5C10F" w14:textId="227E449E" w:rsidR="009F63BC" w:rsidRDefault="009F63BC" w:rsidP="009F63BC">
      <w:pPr>
        <w:spacing w:line="240" w:lineRule="auto"/>
        <w:rPr>
          <w:rFonts w:ascii="Times New Roman" w:hAnsi="Times New Roman" w:cs="Times New Roman"/>
          <w:sz w:val="24"/>
          <w:szCs w:val="24"/>
        </w:rPr>
      </w:pPr>
      <w:r w:rsidRPr="00F01485">
        <w:rPr>
          <w:rFonts w:ascii="Times New Roman" w:hAnsi="Times New Roman" w:cs="Times New Roman"/>
          <w:sz w:val="24"/>
          <w:szCs w:val="24"/>
        </w:rPr>
        <w:t>An older adult was defined as a person aged 65 years and older in accordance with the Australian Government</w:t>
      </w:r>
      <w:r w:rsidR="007E6946">
        <w:rPr>
          <w:rFonts w:ascii="Times New Roman" w:hAnsi="Times New Roman" w:cs="Times New Roman"/>
          <w:sz w:val="24"/>
          <w:szCs w:val="24"/>
        </w:rPr>
        <w:t xml:space="preserve"> </w:t>
      </w:r>
      <w:r w:rsidR="007E6946">
        <w:rPr>
          <w:rFonts w:ascii="Times New Roman" w:hAnsi="Times New Roman" w:cs="Times New Roman"/>
          <w:sz w:val="24"/>
          <w:szCs w:val="24"/>
        </w:rPr>
        <w:fldChar w:fldCharType="begin"/>
      </w:r>
      <w:r w:rsidR="007E6946">
        <w:rPr>
          <w:rFonts w:ascii="Times New Roman" w:hAnsi="Times New Roman" w:cs="Times New Roman"/>
          <w:sz w:val="24"/>
          <w:szCs w:val="24"/>
        </w:rPr>
        <w:instrText xml:space="preserve"> ADDIN EN.CITE &lt;EndNote&gt;&lt;Cite&gt;&lt;Author&gt;Australian Institute of Health and Welfare&lt;/Author&gt;&lt;Year&gt;2021&lt;/Year&gt;&lt;RecNum&gt;488&lt;/RecNum&gt;&lt;DisplayText&gt;(Australian Institute of Health and Welfare, 2021)&lt;/DisplayText&gt;&lt;record&gt;&lt;rec-number&gt;488&lt;/rec-number&gt;&lt;foreign-keys&gt;&lt;key app="EN" db-id="xaxdfedv1dvr57ee5vavfvxtvefdea2tzeep" timestamp="1642468063"&gt;488&lt;/key&gt;&lt;/foreign-keys&gt;&lt;ref-type name="Report"&gt;27&lt;/ref-type&gt;&lt;contributors&gt;&lt;authors&gt;&lt;author&gt;Australian Institute of Health and Welfare,&lt;/author&gt;&lt;/authors&gt;&lt;tertiary-authors&gt;&lt;author&gt;Australian Government&lt;/author&gt;&lt;/tertiary-authors&gt;&lt;/contributors&gt;&lt;titles&gt;&lt;title&gt;Older Australians&lt;/title&gt;&lt;secondary-title&gt;Older people&lt;/secondary-title&gt;&lt;/titles&gt;&lt;pages&gt;1-130&lt;/pages&gt;&lt;edition&gt;V6.0&lt;/edition&gt;&lt;dates&gt;&lt;year&gt;2021&lt;/year&gt;&lt;/dates&gt;&lt;pub-location&gt;Canberra, ACT&lt;/pub-location&gt;&lt;publisher&gt;Australian Institute of Health and Welfare&lt;/publisher&gt;&lt;urls&gt;&lt;related-urls&gt;&lt;url&gt;https://www.aihw.gov.au/reports/older-people/older-australians&lt;/url&gt;&lt;/related-urls&gt;&lt;/urls&gt;&lt;/record&gt;&lt;/Cite&gt;&lt;/EndNote&gt;</w:instrText>
      </w:r>
      <w:r w:rsidR="007E6946">
        <w:rPr>
          <w:rFonts w:ascii="Times New Roman" w:hAnsi="Times New Roman" w:cs="Times New Roman"/>
          <w:sz w:val="24"/>
          <w:szCs w:val="24"/>
        </w:rPr>
        <w:fldChar w:fldCharType="separate"/>
      </w:r>
      <w:r w:rsidR="007E6946">
        <w:rPr>
          <w:rFonts w:ascii="Times New Roman" w:hAnsi="Times New Roman" w:cs="Times New Roman"/>
          <w:noProof/>
          <w:sz w:val="24"/>
          <w:szCs w:val="24"/>
        </w:rPr>
        <w:t>(Australian Institute of Health and Welfare, 2021)</w:t>
      </w:r>
      <w:r w:rsidR="007E6946">
        <w:rPr>
          <w:rFonts w:ascii="Times New Roman" w:hAnsi="Times New Roman" w:cs="Times New Roman"/>
          <w:sz w:val="24"/>
          <w:szCs w:val="24"/>
        </w:rPr>
        <w:fldChar w:fldCharType="end"/>
      </w:r>
      <w:r w:rsidRPr="00F01485">
        <w:rPr>
          <w:rFonts w:ascii="Times New Roman" w:hAnsi="Times New Roman" w:cs="Times New Roman"/>
          <w:sz w:val="24"/>
          <w:szCs w:val="24"/>
        </w:rPr>
        <w:t xml:space="preserve"> and more broadly in Australia and other OECD countries, for example the UK </w:t>
      </w:r>
      <w:r w:rsidR="007E6946">
        <w:rPr>
          <w:rFonts w:ascii="Times New Roman" w:hAnsi="Times New Roman" w:cs="Times New Roman"/>
          <w:sz w:val="24"/>
          <w:szCs w:val="24"/>
        </w:rPr>
        <w:fldChar w:fldCharType="begin"/>
      </w:r>
      <w:r w:rsidR="007E6946">
        <w:rPr>
          <w:rFonts w:ascii="Times New Roman" w:hAnsi="Times New Roman" w:cs="Times New Roman"/>
          <w:sz w:val="24"/>
          <w:szCs w:val="24"/>
        </w:rPr>
        <w:instrText xml:space="preserve"> ADDIN EN.CITE &lt;EndNote&gt;&lt;Cite&gt;&lt;Author&gt;National Health Service England&lt;/Author&gt;&lt;Year&gt;2021&lt;/Year&gt;&lt;RecNum&gt;497&lt;/RecNum&gt;&lt;DisplayText&gt;(National Health Service England, 2021)&lt;/DisplayText&gt;&lt;record&gt;&lt;rec-number&gt;497&lt;/rec-number&gt;&lt;foreign-keys&gt;&lt;key app="EN" db-id="xaxdfedv1dvr57ee5vavfvxtvefdea2tzeep" timestamp="1643163922"&gt;497&lt;/key&gt;&lt;/foreign-keys&gt;&lt;ref-type name="Web Page"&gt;12&lt;/ref-type&gt;&lt;contributors&gt;&lt;authors&gt;&lt;author&gt;National Health Service England,&lt;/author&gt;&lt;/authors&gt;&lt;/contributors&gt;&lt;titles&gt;&lt;title&gt;Improving care for older people&lt;/title&gt;&lt;secondary-title&gt;Our work&lt;/secondary-title&gt;&lt;/titles&gt;&lt;number&gt;cited 26 January 2022&lt;/number&gt;&lt;dates&gt;&lt;year&gt;2021&lt;/year&gt;&lt;/dates&gt;&lt;pub-location&gt;Redditch, England&lt;/pub-location&gt;&lt;publisher&gt;National Health Service England&lt;/publisher&gt;&lt;urls&gt;&lt;related-urls&gt;&lt;url&gt;https://www.england.nhs.uk/ourwork/clinical-policy/older-people/improving-care-for-older-people/&lt;/url&gt;&lt;/related-urls&gt;&lt;/urls&gt;&lt;/record&gt;&lt;/Cite&gt;&lt;/EndNote&gt;</w:instrText>
      </w:r>
      <w:r w:rsidR="007E6946">
        <w:rPr>
          <w:rFonts w:ascii="Times New Roman" w:hAnsi="Times New Roman" w:cs="Times New Roman"/>
          <w:sz w:val="24"/>
          <w:szCs w:val="24"/>
        </w:rPr>
        <w:fldChar w:fldCharType="separate"/>
      </w:r>
      <w:r w:rsidR="007E6946">
        <w:rPr>
          <w:rFonts w:ascii="Times New Roman" w:hAnsi="Times New Roman" w:cs="Times New Roman"/>
          <w:noProof/>
          <w:sz w:val="24"/>
          <w:szCs w:val="24"/>
        </w:rPr>
        <w:t>(National Health Service England, 2021)</w:t>
      </w:r>
      <w:r w:rsidR="007E6946">
        <w:rPr>
          <w:rFonts w:ascii="Times New Roman" w:hAnsi="Times New Roman" w:cs="Times New Roman"/>
          <w:sz w:val="24"/>
          <w:szCs w:val="24"/>
        </w:rPr>
        <w:fldChar w:fldCharType="end"/>
      </w:r>
      <w:r w:rsidR="007E6946">
        <w:rPr>
          <w:rFonts w:ascii="Times New Roman" w:hAnsi="Times New Roman" w:cs="Times New Roman"/>
          <w:sz w:val="24"/>
          <w:szCs w:val="24"/>
        </w:rPr>
        <w:t xml:space="preserve"> </w:t>
      </w:r>
      <w:r w:rsidRPr="00F01485">
        <w:rPr>
          <w:rFonts w:ascii="Times New Roman" w:hAnsi="Times New Roman" w:cs="Times New Roman"/>
          <w:sz w:val="24"/>
          <w:szCs w:val="24"/>
        </w:rPr>
        <w:t>and the US</w:t>
      </w:r>
      <w:r w:rsidR="007E6946">
        <w:rPr>
          <w:rFonts w:ascii="Times New Roman" w:hAnsi="Times New Roman" w:cs="Times New Roman"/>
          <w:sz w:val="24"/>
          <w:szCs w:val="24"/>
        </w:rPr>
        <w:t xml:space="preserve"> </w:t>
      </w:r>
      <w:r w:rsidR="007E6946">
        <w:rPr>
          <w:rFonts w:ascii="Times New Roman" w:hAnsi="Times New Roman" w:cs="Times New Roman"/>
          <w:sz w:val="24"/>
          <w:szCs w:val="24"/>
        </w:rPr>
        <w:fldChar w:fldCharType="begin"/>
      </w:r>
      <w:r w:rsidR="007E6946">
        <w:rPr>
          <w:rFonts w:ascii="Times New Roman" w:hAnsi="Times New Roman" w:cs="Times New Roman"/>
          <w:sz w:val="24"/>
          <w:szCs w:val="24"/>
        </w:rPr>
        <w:instrText xml:space="preserve"> ADDIN EN.CITE &lt;EndNote&gt;&lt;Cite&gt;&lt;Author&gt;U.S. Department of Health and Human Services&lt;/Author&gt;&lt;Year&gt;2021&lt;/Year&gt;&lt;RecNum&gt;496&lt;/RecNum&gt;&lt;DisplayText&gt;(U.S. Department of Health and Human Services, 2021)&lt;/DisplayText&gt;&lt;record&gt;&lt;rec-number&gt;496&lt;/rec-number&gt;&lt;foreign-keys&gt;&lt;key app="EN" db-id="xaxdfedv1dvr57ee5vavfvxtvefdea2tzeep" timestamp="1643160359"&gt;496&lt;/key&gt;&lt;/foreign-keys&gt;&lt;ref-type name="Web Page"&gt;12&lt;/ref-type&gt;&lt;contributors&gt;&lt;authors&gt;&lt;author&gt;U.S. Department of Health and Human Services,&lt;/author&gt;&lt;/authors&gt;&lt;/contributors&gt;&lt;titles&gt;&lt;title&gt;Aging&lt;/title&gt;&lt;secondary-title&gt;HHS.gov&lt;/secondary-title&gt;&lt;/titles&gt;&lt;number&gt;cited 23 February 2022&lt;/number&gt;&lt;dates&gt;&lt;year&gt;2021&lt;/year&gt;&lt;/dates&gt;&lt;pub-location&gt;Washington, D.C.&lt;/pub-location&gt;&lt;publisher&gt;U.S. Department of Health and Human Services&lt;/publisher&gt;&lt;urls&gt;&lt;related-urls&gt;&lt;url&gt;https://www.hhs.gov/aging/index.html&lt;/url&gt;&lt;/related-urls&gt;&lt;/urls&gt;&lt;custom2&gt;26 January 2022&lt;/custom2&gt;&lt;/record&gt;&lt;/Cite&gt;&lt;/EndNote&gt;</w:instrText>
      </w:r>
      <w:r w:rsidR="007E6946">
        <w:rPr>
          <w:rFonts w:ascii="Times New Roman" w:hAnsi="Times New Roman" w:cs="Times New Roman"/>
          <w:sz w:val="24"/>
          <w:szCs w:val="24"/>
        </w:rPr>
        <w:fldChar w:fldCharType="separate"/>
      </w:r>
      <w:r w:rsidR="007E6946">
        <w:rPr>
          <w:rFonts w:ascii="Times New Roman" w:hAnsi="Times New Roman" w:cs="Times New Roman"/>
          <w:noProof/>
          <w:sz w:val="24"/>
          <w:szCs w:val="24"/>
        </w:rPr>
        <w:t>(U.S. Department of Health and Human Services, 2021)</w:t>
      </w:r>
      <w:r w:rsidR="007E6946">
        <w:rPr>
          <w:rFonts w:ascii="Times New Roman" w:hAnsi="Times New Roman" w:cs="Times New Roman"/>
          <w:sz w:val="24"/>
          <w:szCs w:val="24"/>
        </w:rPr>
        <w:fldChar w:fldCharType="end"/>
      </w:r>
      <w:r w:rsidRPr="00F01485">
        <w:rPr>
          <w:rFonts w:ascii="Times New Roman" w:hAnsi="Times New Roman" w:cs="Times New Roman"/>
          <w:sz w:val="24"/>
          <w:szCs w:val="24"/>
        </w:rPr>
        <w:t xml:space="preserve">. </w:t>
      </w:r>
    </w:p>
    <w:p w14:paraId="13FC4CFF" w14:textId="77777777" w:rsidR="009F63BC" w:rsidRDefault="009F63BC" w:rsidP="009F63BC">
      <w:pPr>
        <w:spacing w:line="240" w:lineRule="auto"/>
        <w:rPr>
          <w:rFonts w:ascii="Times New Roman" w:hAnsi="Times New Roman" w:cs="Times New Roman"/>
          <w:sz w:val="24"/>
          <w:szCs w:val="24"/>
        </w:rPr>
      </w:pPr>
      <w:r w:rsidRPr="00F01485">
        <w:rPr>
          <w:rFonts w:ascii="Times New Roman" w:hAnsi="Times New Roman" w:cs="Times New Roman"/>
          <w:sz w:val="24"/>
          <w:szCs w:val="24"/>
        </w:rPr>
        <w:t>Homicide is defined in ICD-10 Version15 as ‘injuries inflicted by another person with intent to injure or kill, by any means’ that includes neglect and abandonment (</w:t>
      </w:r>
      <w:hyperlink r:id="rId5" w:anchor="/X85" w:history="1">
        <w:r w:rsidRPr="00642B82">
          <w:rPr>
            <w:rStyle w:val="Hyperlink"/>
            <w:rFonts w:ascii="Times New Roman" w:hAnsi="Times New Roman" w:cs="Times New Roman"/>
            <w:sz w:val="24"/>
            <w:szCs w:val="24"/>
          </w:rPr>
          <w:t>www.icd.who.int/browse10/2015/en#/X85</w:t>
        </w:r>
      </w:hyperlink>
      <w:r>
        <w:rPr>
          <w:rFonts w:ascii="Times New Roman" w:hAnsi="Times New Roman" w:cs="Times New Roman"/>
          <w:sz w:val="24"/>
          <w:szCs w:val="24"/>
        </w:rPr>
        <w:t>)</w:t>
      </w:r>
      <w:r w:rsidRPr="00F01485">
        <w:rPr>
          <w:rFonts w:ascii="Times New Roman" w:hAnsi="Times New Roman" w:cs="Times New Roman"/>
          <w:sz w:val="24"/>
          <w:szCs w:val="24"/>
        </w:rPr>
        <w:t>. For this study, we adopted the definition used by the CCOV for the VHR that includes the ‘unlawful killing of a person, where the death occurred or was suspected to have occurred due to external</w:t>
      </w:r>
      <w:r>
        <w:rPr>
          <w:rFonts w:ascii="Times New Roman" w:hAnsi="Times New Roman" w:cs="Times New Roman"/>
          <w:sz w:val="24"/>
          <w:szCs w:val="24"/>
        </w:rPr>
        <w:t xml:space="preserve"> [non-natural]</w:t>
      </w:r>
      <w:r w:rsidRPr="00F01485">
        <w:rPr>
          <w:rFonts w:ascii="Times New Roman" w:hAnsi="Times New Roman" w:cs="Times New Roman"/>
          <w:sz w:val="24"/>
          <w:szCs w:val="24"/>
        </w:rPr>
        <w:t xml:space="preserve"> causes attributable to a person through assaultive force’. This definition includes: murder, manslaughter, murder-suicides, infanticides and homicides as classified by the Victorian Police regardless of offender apprehension or conviction, and includes those where the offender was excused from criminal liability due to mental impairment. This definition excludes: driving-related fatalities not proximal to a crime, industrial accidents, unless manslaughter charges are laid, lawful homicide (i.e. by police in the course of duty), and missing persons unless a murder or manslaughter charge was laid.</w:t>
      </w:r>
    </w:p>
    <w:p w14:paraId="59F1EC28" w14:textId="77777777" w:rsidR="007E6946" w:rsidRDefault="007E6946"/>
    <w:p w14:paraId="0EEF071F" w14:textId="47DB6A0D" w:rsidR="007E6946" w:rsidRPr="007E6946" w:rsidRDefault="007E6946" w:rsidP="007E6946">
      <w:pPr>
        <w:spacing w:line="480" w:lineRule="auto"/>
        <w:rPr>
          <w:rFonts w:ascii="Times New Roman" w:hAnsi="Times New Roman" w:cs="Times New Roman"/>
          <w:b/>
          <w:sz w:val="24"/>
          <w:szCs w:val="24"/>
        </w:rPr>
      </w:pPr>
      <w:r w:rsidRPr="007E6946">
        <w:rPr>
          <w:rFonts w:ascii="Times New Roman" w:hAnsi="Times New Roman" w:cs="Times New Roman"/>
          <w:b/>
          <w:sz w:val="24"/>
          <w:szCs w:val="24"/>
        </w:rPr>
        <w:t>References</w:t>
      </w:r>
    </w:p>
    <w:p w14:paraId="0013BEF0" w14:textId="004F4611" w:rsidR="007E6946" w:rsidRPr="007E6946" w:rsidRDefault="007E6946" w:rsidP="007E6946">
      <w:pPr>
        <w:pStyle w:val="EndNoteBibliography"/>
        <w:spacing w:after="0"/>
        <w:ind w:left="720" w:hanging="720"/>
      </w:pPr>
      <w:r w:rsidRPr="007E6946">
        <w:rPr>
          <w:szCs w:val="24"/>
        </w:rPr>
        <w:lastRenderedPageBreak/>
        <w:fldChar w:fldCharType="begin"/>
      </w:r>
      <w:r w:rsidRPr="007E6946">
        <w:rPr>
          <w:szCs w:val="24"/>
        </w:rPr>
        <w:instrText xml:space="preserve"> ADDIN EN.REFLIST </w:instrText>
      </w:r>
      <w:r w:rsidRPr="007E6946">
        <w:rPr>
          <w:szCs w:val="24"/>
        </w:rPr>
        <w:fldChar w:fldCharType="separate"/>
      </w:r>
      <w:r w:rsidRPr="007E6946">
        <w:t xml:space="preserve">Australian Institute of Health and Welfare. (2021). </w:t>
      </w:r>
      <w:r w:rsidRPr="007E6946">
        <w:rPr>
          <w:i/>
        </w:rPr>
        <w:t>Older Australians</w:t>
      </w:r>
      <w:r w:rsidRPr="007E6946">
        <w:t xml:space="preserve"> (Older people, Issue. A. Government. </w:t>
      </w:r>
      <w:hyperlink r:id="rId6" w:history="1">
        <w:r w:rsidRPr="007E6946">
          <w:rPr>
            <w:rStyle w:val="Hyperlink"/>
          </w:rPr>
          <w:t>https://www.aihw.gov.au/reports/older-people/older-australians</w:t>
        </w:r>
      </w:hyperlink>
    </w:p>
    <w:p w14:paraId="3CA7E6EB" w14:textId="30ED4C90" w:rsidR="007E6946" w:rsidRPr="007E6946" w:rsidRDefault="007E6946" w:rsidP="007E6946">
      <w:pPr>
        <w:pStyle w:val="EndNoteBibliography"/>
        <w:spacing w:after="0"/>
        <w:ind w:left="720" w:hanging="720"/>
      </w:pPr>
      <w:r w:rsidRPr="007E6946">
        <w:t xml:space="preserve">National Health Service England. (2021). </w:t>
      </w:r>
      <w:r w:rsidRPr="007E6946">
        <w:rPr>
          <w:i/>
        </w:rPr>
        <w:t>Improving care for older people</w:t>
      </w:r>
      <w:r w:rsidRPr="007E6946">
        <w:t xml:space="preserve">. National Health Service England. Retrieved cited 26 January 2022 from </w:t>
      </w:r>
      <w:hyperlink r:id="rId7" w:history="1">
        <w:r w:rsidRPr="007E6946">
          <w:rPr>
            <w:rStyle w:val="Hyperlink"/>
          </w:rPr>
          <w:t>https://www.england.nhs.uk/ourwork/clinical-policy/older-people/improving-care-for-older-people/</w:t>
        </w:r>
      </w:hyperlink>
    </w:p>
    <w:p w14:paraId="173AE9F6" w14:textId="23A7FEF1" w:rsidR="007E6946" w:rsidRPr="007E6946" w:rsidRDefault="007E6946" w:rsidP="007E6946">
      <w:pPr>
        <w:pStyle w:val="EndNoteBibliography"/>
        <w:ind w:left="720" w:hanging="720"/>
      </w:pPr>
      <w:r w:rsidRPr="007E6946">
        <w:t xml:space="preserve">U.S. Department of Health and Human Services. (2021). </w:t>
      </w:r>
      <w:r w:rsidRPr="007E6946">
        <w:rPr>
          <w:i/>
        </w:rPr>
        <w:t>Aging</w:t>
      </w:r>
      <w:r w:rsidRPr="007E6946">
        <w:t xml:space="preserve">. U.S. Department of Health and Human Services. Retrieved cited 23 February 2022 from </w:t>
      </w:r>
      <w:hyperlink r:id="rId8" w:history="1">
        <w:r w:rsidRPr="007E6946">
          <w:rPr>
            <w:rStyle w:val="Hyperlink"/>
          </w:rPr>
          <w:t>https://www.hhs.gov/aging/index.html</w:t>
        </w:r>
      </w:hyperlink>
    </w:p>
    <w:p w14:paraId="7D56D1C5" w14:textId="1CC92C0C" w:rsidR="005766E6" w:rsidRDefault="007E6946" w:rsidP="00A20ACC">
      <w:pPr>
        <w:spacing w:line="480" w:lineRule="auto"/>
        <w:rPr>
          <w:rFonts w:ascii="Times New Roman" w:hAnsi="Times New Roman" w:cs="Times New Roman"/>
          <w:sz w:val="24"/>
          <w:szCs w:val="24"/>
        </w:rPr>
      </w:pPr>
      <w:r w:rsidRPr="007E6946">
        <w:rPr>
          <w:rFonts w:ascii="Times New Roman" w:hAnsi="Times New Roman" w:cs="Times New Roman"/>
          <w:sz w:val="24"/>
          <w:szCs w:val="24"/>
        </w:rPr>
        <w:fldChar w:fldCharType="end"/>
      </w:r>
    </w:p>
    <w:sectPr w:rsidR="00576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axdfedv1dvr57ee5vavfvxtvefdea2tzeep&quot;&gt;Homicide community Recovered&lt;record-ids&gt;&lt;item&gt;488&lt;/item&gt;&lt;item&gt;496&lt;/item&gt;&lt;item&gt;497&lt;/item&gt;&lt;/record-ids&gt;&lt;/item&gt;&lt;/Libraries&gt;"/>
    <w:docVar w:name="Total_Editing_Time" w:val="6"/>
  </w:docVars>
  <w:rsids>
    <w:rsidRoot w:val="006E28D3"/>
    <w:rsid w:val="00135988"/>
    <w:rsid w:val="003A4D85"/>
    <w:rsid w:val="0040576B"/>
    <w:rsid w:val="00421A3E"/>
    <w:rsid w:val="004D1FDB"/>
    <w:rsid w:val="005766E6"/>
    <w:rsid w:val="005767D1"/>
    <w:rsid w:val="005B7436"/>
    <w:rsid w:val="00626DEC"/>
    <w:rsid w:val="006E28D3"/>
    <w:rsid w:val="00723364"/>
    <w:rsid w:val="00773D20"/>
    <w:rsid w:val="00793B77"/>
    <w:rsid w:val="007E6946"/>
    <w:rsid w:val="009F63BC"/>
    <w:rsid w:val="00A20ACC"/>
    <w:rsid w:val="00A538A4"/>
    <w:rsid w:val="00E25A7D"/>
    <w:rsid w:val="00F82353"/>
    <w:rsid w:val="00F96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8326"/>
  <w15:chartTrackingRefBased/>
  <w15:docId w15:val="{9992BE73-27B8-4ECC-9030-F6157AED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3BC"/>
    <w:rPr>
      <w:color w:val="0563C1" w:themeColor="hyperlink"/>
      <w:u w:val="single"/>
    </w:rPr>
  </w:style>
  <w:style w:type="table" w:styleId="TableGrid">
    <w:name w:val="Table Grid"/>
    <w:basedOn w:val="TableNormal"/>
    <w:uiPriority w:val="39"/>
    <w:rsid w:val="009F6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E694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E694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E6946"/>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E6946"/>
    <w:rPr>
      <w:rFonts w:ascii="Times New Roman" w:hAnsi="Times New Roman" w:cs="Times New Roman"/>
      <w:noProof/>
      <w:sz w:val="24"/>
      <w:lang w:val="en-US"/>
    </w:rPr>
  </w:style>
  <w:style w:type="character" w:customStyle="1" w:styleId="UnresolvedMention">
    <w:name w:val="Unresolved Mention"/>
    <w:basedOn w:val="DefaultParagraphFont"/>
    <w:uiPriority w:val="99"/>
    <w:semiHidden/>
    <w:unhideWhenUsed/>
    <w:rsid w:val="007E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ging/index.html" TargetMode="External"/><Relationship Id="rId3" Type="http://schemas.openxmlformats.org/officeDocument/2006/relationships/webSettings" Target="webSettings.xml"/><Relationship Id="rId7" Type="http://schemas.openxmlformats.org/officeDocument/2006/relationships/hyperlink" Target="https://www.england.nhs.uk/ourwork/clinical-policy/older-people/improving-care-for-older-peo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hw.gov.au/reports/older-people/older-australians" TargetMode="External"/><Relationship Id="rId5" Type="http://schemas.openxmlformats.org/officeDocument/2006/relationships/hyperlink" Target="http://www.icd.who.int/browse10/2015/en" TargetMode="External"/><Relationship Id="rId10" Type="http://schemas.openxmlformats.org/officeDocument/2006/relationships/theme" Target="theme/theme1.xml"/><Relationship Id="rId4" Type="http://schemas.openxmlformats.org/officeDocument/2006/relationships/hyperlink" Target="mailto:briohny.kennedy@monash.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2428</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Briohny Kennedy</dc:creator>
  <cp:keywords/>
  <dc:description/>
  <cp:lastModifiedBy>S3G_Log_For_Missing_Part_Label</cp:lastModifiedBy>
  <cp:revision>8</cp:revision>
  <dcterms:created xsi:type="dcterms:W3CDTF">2023-03-27T09:34:00Z</dcterms:created>
  <dcterms:modified xsi:type="dcterms:W3CDTF">2023-05-19T10:55:00Z</dcterms:modified>
</cp:coreProperties>
</file>