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2505" w14:textId="34F407D9" w:rsidR="00CB5A71" w:rsidRDefault="00CB5A71">
      <w:pPr>
        <w:rPr>
          <w:lang w:val="en-US"/>
        </w:rPr>
      </w:pPr>
      <w:r w:rsidRPr="00CB5A71">
        <w:rPr>
          <w:lang w:val="en-US"/>
        </w:rPr>
        <w:t xml:space="preserve">Development and validation of a classification algorithm to diagnose and differentiate spontaneous episodic vertigo syndromes: results from the </w:t>
      </w:r>
      <w:proofErr w:type="spellStart"/>
      <w:r w:rsidRPr="00CB5A71">
        <w:rPr>
          <w:lang w:val="en-US"/>
        </w:rPr>
        <w:t>DizzyReg</w:t>
      </w:r>
      <w:proofErr w:type="spellEnd"/>
      <w:r w:rsidRPr="00CB5A71">
        <w:rPr>
          <w:lang w:val="en-US"/>
        </w:rPr>
        <w:t xml:space="preserve"> patient registry</w:t>
      </w:r>
    </w:p>
    <w:p w14:paraId="10DDD97D" w14:textId="730901FF" w:rsidR="00CB5A71" w:rsidRPr="00CB5A71" w:rsidRDefault="00CB5A71">
      <w:pPr>
        <w:rPr>
          <w:lang w:val="en-US"/>
        </w:rPr>
      </w:pPr>
      <w:r>
        <w:rPr>
          <w:lang w:val="en-US"/>
        </w:rPr>
        <w:t>Groezinger, M. et al.</w:t>
      </w:r>
    </w:p>
    <w:p w14:paraId="7B3A2C2E" w14:textId="3B9E96B0" w:rsidR="008C58DA" w:rsidRDefault="00CB5A71">
      <w:r w:rsidRPr="00CB5A71">
        <w:t>Supplementary material</w:t>
      </w:r>
    </w:p>
    <w:p w14:paraId="4E07ABF0" w14:textId="175BF367" w:rsidR="00CB5A71" w:rsidRDefault="00CB5A71"/>
    <w:p w14:paraId="3D956865" w14:textId="27D2CA74" w:rsidR="00CB5A71" w:rsidRDefault="00CB5A71"/>
    <w:p w14:paraId="7B36C48A" w14:textId="77777777" w:rsidR="00035225" w:rsidRDefault="00035225" w:rsidP="00035225">
      <w:pPr>
        <w:pStyle w:val="Beschriftung"/>
        <w:keepNext/>
        <w:rPr>
          <w:i w:val="0"/>
          <w:iCs w:val="0"/>
          <w:color w:val="auto"/>
          <w:sz w:val="24"/>
          <w:szCs w:val="22"/>
        </w:rPr>
      </w:pPr>
      <w:r>
        <w:rPr>
          <w:i w:val="0"/>
          <w:iCs w:val="0"/>
          <w:color w:val="auto"/>
          <w:sz w:val="24"/>
          <w:szCs w:val="22"/>
        </w:rPr>
        <w:t>Table 1: Summary description of variables used for training the classifiers for VM and MM, respectively.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2425"/>
        <w:gridCol w:w="3076"/>
      </w:tblGrid>
      <w:tr w:rsidR="00035225" w:rsidRPr="00B22B57" w14:paraId="4B56A2EE" w14:textId="77777777" w:rsidTr="00CA14E8">
        <w:trPr>
          <w:trHeight w:val="288"/>
        </w:trPr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1EEC99" w14:textId="77777777" w:rsidR="00035225" w:rsidRPr="00B22B57" w:rsidRDefault="00035225" w:rsidP="00CA14E8">
            <w:pPr>
              <w:pStyle w:val="Body"/>
              <w:spacing w:after="0"/>
            </w:pPr>
            <w:r>
              <w:t>Summary p</w:t>
            </w:r>
            <w:r w:rsidRPr="00B22B57">
              <w:t>anel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14:paraId="60679D32" w14:textId="77777777" w:rsidR="00035225" w:rsidRPr="00B22B57" w:rsidRDefault="00035225" w:rsidP="00CA14E8">
            <w:pPr>
              <w:pStyle w:val="Body"/>
              <w:spacing w:after="0"/>
              <w:ind w:left="-394" w:firstLine="394"/>
            </w:pPr>
            <w:r>
              <w:t>Examples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066B7F" w14:textId="32118665" w:rsidR="00035225" w:rsidRPr="00B22B57" w:rsidRDefault="00035225" w:rsidP="00CA14E8">
            <w:pPr>
              <w:pStyle w:val="Body"/>
              <w:spacing w:after="0"/>
              <w:ind w:left="-394" w:firstLine="394"/>
              <w:jc w:val="right"/>
            </w:pPr>
            <w:r w:rsidRPr="00B22B57">
              <w:t xml:space="preserve">Total </w:t>
            </w:r>
            <w:r>
              <w:t xml:space="preserve">number of variables </w:t>
            </w:r>
            <w:r w:rsidRPr="00B22B57">
              <w:t xml:space="preserve">per </w:t>
            </w:r>
            <w:r w:rsidR="00CA14E8">
              <w:t>p</w:t>
            </w:r>
            <w:r w:rsidRPr="00B22B57">
              <w:t>anel</w:t>
            </w:r>
          </w:p>
        </w:tc>
      </w:tr>
      <w:tr w:rsidR="00035225" w:rsidRPr="00B22B57" w14:paraId="728C1243" w14:textId="77777777" w:rsidTr="00CA14E8">
        <w:trPr>
          <w:trHeight w:val="288"/>
        </w:trPr>
        <w:tc>
          <w:tcPr>
            <w:tcW w:w="1968" w:type="pct"/>
            <w:tcBorders>
              <w:top w:val="single" w:sz="4" w:space="0" w:color="auto"/>
            </w:tcBorders>
            <w:noWrap/>
            <w:hideMark/>
          </w:tcPr>
          <w:p w14:paraId="2A890953" w14:textId="77777777" w:rsidR="00035225" w:rsidRDefault="00035225" w:rsidP="00CA14E8">
            <w:pPr>
              <w:pStyle w:val="Body"/>
              <w:spacing w:after="0"/>
            </w:pPr>
            <w:r>
              <w:t>Technical diagnostic variables</w:t>
            </w:r>
          </w:p>
          <w:p w14:paraId="55B55C5A" w14:textId="2C288BD4" w:rsidR="005C725C" w:rsidRPr="00B22B57" w:rsidRDefault="005C725C" w:rsidP="00CA14E8">
            <w:pPr>
              <w:pStyle w:val="Body"/>
              <w:spacing w:after="0"/>
            </w:pPr>
          </w:p>
        </w:tc>
        <w:tc>
          <w:tcPr>
            <w:tcW w:w="1704" w:type="pct"/>
            <w:tcBorders>
              <w:top w:val="single" w:sz="4" w:space="0" w:color="auto"/>
            </w:tcBorders>
          </w:tcPr>
          <w:p w14:paraId="29A4DC03" w14:textId="0F9BB173" w:rsidR="00035225" w:rsidRPr="00B22B57" w:rsidRDefault="00CA14E8" w:rsidP="00CA14E8">
            <w:pPr>
              <w:pStyle w:val="Body"/>
              <w:spacing w:after="0"/>
            </w:pPr>
            <w:r>
              <w:t>Results from audiometry</w:t>
            </w:r>
          </w:p>
        </w:tc>
        <w:tc>
          <w:tcPr>
            <w:tcW w:w="1328" w:type="pct"/>
            <w:tcBorders>
              <w:top w:val="single" w:sz="4" w:space="0" w:color="auto"/>
            </w:tcBorders>
            <w:noWrap/>
            <w:hideMark/>
          </w:tcPr>
          <w:p w14:paraId="34992779" w14:textId="77777777" w:rsidR="00035225" w:rsidRPr="00B22B57" w:rsidRDefault="00035225" w:rsidP="00CA14E8">
            <w:pPr>
              <w:pStyle w:val="Body"/>
              <w:spacing w:after="0"/>
              <w:jc w:val="right"/>
            </w:pPr>
            <w:r w:rsidRPr="00B22B57">
              <w:t>6</w:t>
            </w:r>
          </w:p>
        </w:tc>
      </w:tr>
      <w:tr w:rsidR="00035225" w:rsidRPr="00B22B57" w14:paraId="4FB5A324" w14:textId="77777777" w:rsidTr="00CA14E8">
        <w:trPr>
          <w:trHeight w:val="288"/>
        </w:trPr>
        <w:tc>
          <w:tcPr>
            <w:tcW w:w="1968" w:type="pct"/>
            <w:noWrap/>
            <w:hideMark/>
          </w:tcPr>
          <w:p w14:paraId="7C8F56C7" w14:textId="77777777" w:rsidR="00035225" w:rsidRDefault="00035225" w:rsidP="00CA14E8">
            <w:pPr>
              <w:pStyle w:val="Body"/>
              <w:spacing w:after="0"/>
            </w:pPr>
            <w:r>
              <w:t>Sociod</w:t>
            </w:r>
            <w:r w:rsidRPr="00B22B57">
              <w:t>emographic variables</w:t>
            </w:r>
          </w:p>
          <w:p w14:paraId="02A59538" w14:textId="66378FAA" w:rsidR="005C725C" w:rsidRPr="00B22B57" w:rsidRDefault="005C725C" w:rsidP="00CA14E8">
            <w:pPr>
              <w:pStyle w:val="Body"/>
              <w:spacing w:after="0"/>
            </w:pPr>
          </w:p>
        </w:tc>
        <w:tc>
          <w:tcPr>
            <w:tcW w:w="1704" w:type="pct"/>
          </w:tcPr>
          <w:p w14:paraId="255A4902" w14:textId="2970E5E4" w:rsidR="00035225" w:rsidRPr="00B22B57" w:rsidRDefault="00CA14E8" w:rsidP="00CA14E8">
            <w:pPr>
              <w:pStyle w:val="Body"/>
              <w:spacing w:after="0"/>
            </w:pPr>
            <w:r>
              <w:t>age, gender</w:t>
            </w:r>
            <w:r>
              <w:t>, e</w:t>
            </w:r>
            <w:r w:rsidR="00244778">
              <w:t xml:space="preserve">ducation, </w:t>
            </w:r>
          </w:p>
        </w:tc>
        <w:tc>
          <w:tcPr>
            <w:tcW w:w="1328" w:type="pct"/>
            <w:noWrap/>
            <w:hideMark/>
          </w:tcPr>
          <w:p w14:paraId="13AF8608" w14:textId="485D3D57" w:rsidR="00035225" w:rsidRPr="00B22B57" w:rsidRDefault="00CA14E8" w:rsidP="00CA14E8">
            <w:pPr>
              <w:pStyle w:val="Body"/>
              <w:spacing w:after="0"/>
              <w:jc w:val="right"/>
            </w:pPr>
            <w:r>
              <w:t>5</w:t>
            </w:r>
          </w:p>
        </w:tc>
      </w:tr>
      <w:tr w:rsidR="00035225" w:rsidRPr="00B22B57" w14:paraId="494B9C79" w14:textId="77777777" w:rsidTr="00CA14E8">
        <w:trPr>
          <w:trHeight w:val="288"/>
        </w:trPr>
        <w:tc>
          <w:tcPr>
            <w:tcW w:w="1968" w:type="pct"/>
            <w:noWrap/>
            <w:hideMark/>
          </w:tcPr>
          <w:p w14:paraId="7C009C28" w14:textId="77777777" w:rsidR="005C725C" w:rsidRDefault="00035225" w:rsidP="00CA14E8">
            <w:pPr>
              <w:pStyle w:val="Body"/>
              <w:spacing w:after="0"/>
            </w:pPr>
            <w:r>
              <w:t xml:space="preserve">Items from </w:t>
            </w:r>
            <w:r w:rsidRPr="00B22B57">
              <w:t xml:space="preserve">Dizziness </w:t>
            </w:r>
            <w:r>
              <w:t>Handicap Inventory</w:t>
            </w:r>
          </w:p>
          <w:p w14:paraId="06408BCD" w14:textId="3F6E0D4A" w:rsidR="00035225" w:rsidRPr="00B22B57" w:rsidRDefault="00035225" w:rsidP="00CA14E8">
            <w:pPr>
              <w:pStyle w:val="Body"/>
              <w:spacing w:after="0"/>
            </w:pPr>
            <w:r>
              <w:t xml:space="preserve"> </w:t>
            </w:r>
          </w:p>
        </w:tc>
        <w:tc>
          <w:tcPr>
            <w:tcW w:w="1704" w:type="pct"/>
          </w:tcPr>
          <w:p w14:paraId="753FE447" w14:textId="2E70EC98" w:rsidR="00035225" w:rsidRPr="00B22B57" w:rsidRDefault="00244778" w:rsidP="00CA14E8">
            <w:pPr>
              <w:pStyle w:val="Body"/>
              <w:spacing w:after="0"/>
            </w:pPr>
            <w:r>
              <w:t>“</w:t>
            </w:r>
            <w:r w:rsidR="00CA14E8" w:rsidRPr="00CA14E8">
              <w:t>Because of your problem, are you afraid to leave your home without having someone accompany you?</w:t>
            </w:r>
            <w:r>
              <w:t>”</w:t>
            </w:r>
          </w:p>
        </w:tc>
        <w:tc>
          <w:tcPr>
            <w:tcW w:w="1328" w:type="pct"/>
            <w:noWrap/>
            <w:hideMark/>
          </w:tcPr>
          <w:p w14:paraId="2F256976" w14:textId="77777777" w:rsidR="00035225" w:rsidRPr="00B22B57" w:rsidRDefault="00035225" w:rsidP="00CA14E8">
            <w:pPr>
              <w:pStyle w:val="Body"/>
              <w:spacing w:after="0"/>
              <w:jc w:val="right"/>
            </w:pPr>
            <w:r w:rsidRPr="00B22B57">
              <w:t>2</w:t>
            </w:r>
          </w:p>
        </w:tc>
      </w:tr>
      <w:tr w:rsidR="00035225" w:rsidRPr="00B22B57" w14:paraId="7EA25377" w14:textId="77777777" w:rsidTr="00CA14E8">
        <w:trPr>
          <w:trHeight w:val="288"/>
        </w:trPr>
        <w:tc>
          <w:tcPr>
            <w:tcW w:w="1968" w:type="pct"/>
            <w:noWrap/>
            <w:hideMark/>
          </w:tcPr>
          <w:p w14:paraId="74BEA82B" w14:textId="57B7C0D8" w:rsidR="005C725C" w:rsidRPr="00B22B57" w:rsidRDefault="00035225" w:rsidP="00CA14E8">
            <w:pPr>
              <w:pStyle w:val="Body"/>
              <w:spacing w:after="0"/>
            </w:pPr>
            <w:r>
              <w:t>Patient history</w:t>
            </w:r>
          </w:p>
        </w:tc>
        <w:tc>
          <w:tcPr>
            <w:tcW w:w="1704" w:type="pct"/>
          </w:tcPr>
          <w:p w14:paraId="75E585FD" w14:textId="6B30245B" w:rsidR="00035225" w:rsidRDefault="00CA14E8" w:rsidP="00CA14E8">
            <w:pPr>
              <w:pStyle w:val="Body"/>
              <w:spacing w:after="0"/>
            </w:pPr>
            <w:r>
              <w:t xml:space="preserve">Tinnitus, duration of vertigo attacks </w:t>
            </w:r>
          </w:p>
          <w:p w14:paraId="51466E22" w14:textId="3E73A74A" w:rsidR="005C725C" w:rsidRPr="00B22B57" w:rsidRDefault="005C725C" w:rsidP="00CA14E8">
            <w:pPr>
              <w:pStyle w:val="Body"/>
              <w:spacing w:after="0"/>
            </w:pPr>
          </w:p>
        </w:tc>
        <w:tc>
          <w:tcPr>
            <w:tcW w:w="1328" w:type="pct"/>
            <w:noWrap/>
            <w:hideMark/>
          </w:tcPr>
          <w:p w14:paraId="15FBF994" w14:textId="77777777" w:rsidR="00035225" w:rsidRPr="00B22B57" w:rsidRDefault="00035225" w:rsidP="00CA14E8">
            <w:pPr>
              <w:pStyle w:val="Body"/>
              <w:spacing w:after="0"/>
              <w:jc w:val="right"/>
            </w:pPr>
            <w:r w:rsidRPr="00B22B57">
              <w:t>39</w:t>
            </w:r>
          </w:p>
        </w:tc>
      </w:tr>
      <w:tr w:rsidR="00035225" w:rsidRPr="00B22B57" w14:paraId="0356F28F" w14:textId="77777777" w:rsidTr="00CA14E8">
        <w:trPr>
          <w:trHeight w:val="288"/>
        </w:trPr>
        <w:tc>
          <w:tcPr>
            <w:tcW w:w="1968" w:type="pct"/>
            <w:noWrap/>
            <w:hideMark/>
          </w:tcPr>
          <w:p w14:paraId="3468FEFB" w14:textId="77777777" w:rsidR="00035225" w:rsidRPr="00B22B57" w:rsidRDefault="00035225" w:rsidP="00CA14E8">
            <w:pPr>
              <w:pStyle w:val="Body"/>
              <w:spacing w:after="0"/>
            </w:pPr>
            <w:r>
              <w:t>Variables from n</w:t>
            </w:r>
            <w:r w:rsidRPr="00B22B57">
              <w:t xml:space="preserve">eurological </w:t>
            </w:r>
            <w:r>
              <w:t>examination</w:t>
            </w:r>
          </w:p>
        </w:tc>
        <w:tc>
          <w:tcPr>
            <w:tcW w:w="1704" w:type="pct"/>
          </w:tcPr>
          <w:p w14:paraId="3B0ABBAD" w14:textId="0F981350" w:rsidR="005C725C" w:rsidRPr="00B22B57" w:rsidRDefault="00CA14E8" w:rsidP="00CA14E8">
            <w:pPr>
              <w:pStyle w:val="Body"/>
              <w:spacing w:after="0"/>
            </w:pPr>
            <w:r>
              <w:t>Presence of</w:t>
            </w:r>
            <w:r w:rsidR="00035225">
              <w:t xml:space="preserve"> headache</w:t>
            </w:r>
            <w:r w:rsidR="005C725C">
              <w:br/>
            </w:r>
          </w:p>
        </w:tc>
        <w:tc>
          <w:tcPr>
            <w:tcW w:w="1328" w:type="pct"/>
            <w:noWrap/>
            <w:hideMark/>
          </w:tcPr>
          <w:p w14:paraId="25CEA32E" w14:textId="77777777" w:rsidR="00035225" w:rsidRPr="00B22B57" w:rsidRDefault="00035225" w:rsidP="00CA14E8">
            <w:pPr>
              <w:pStyle w:val="Body"/>
              <w:spacing w:after="0"/>
              <w:jc w:val="right"/>
            </w:pPr>
            <w:r w:rsidRPr="00B22B57">
              <w:t>6</w:t>
            </w:r>
          </w:p>
        </w:tc>
      </w:tr>
      <w:tr w:rsidR="00035225" w:rsidRPr="00B22B57" w14:paraId="7E1CDB0C" w14:textId="77777777" w:rsidTr="00CA14E8">
        <w:trPr>
          <w:trHeight w:val="288"/>
        </w:trPr>
        <w:tc>
          <w:tcPr>
            <w:tcW w:w="1968" w:type="pct"/>
            <w:noWrap/>
            <w:hideMark/>
          </w:tcPr>
          <w:p w14:paraId="39A3F911" w14:textId="2F865598" w:rsidR="00035225" w:rsidRPr="00B22B57" w:rsidRDefault="00035225" w:rsidP="00CA14E8">
            <w:pPr>
              <w:pStyle w:val="Body"/>
              <w:spacing w:after="0"/>
            </w:pPr>
            <w:r>
              <w:t>Variables from orthoptic examination</w:t>
            </w:r>
            <w:r w:rsidR="005C725C">
              <w:br/>
            </w:r>
          </w:p>
        </w:tc>
        <w:tc>
          <w:tcPr>
            <w:tcW w:w="1704" w:type="pct"/>
          </w:tcPr>
          <w:p w14:paraId="6296E5F4" w14:textId="70AEB74F" w:rsidR="00035225" w:rsidRPr="00B22B57" w:rsidRDefault="00CA14E8" w:rsidP="00CA14E8">
            <w:pPr>
              <w:pStyle w:val="Body"/>
              <w:spacing w:after="0"/>
            </w:pPr>
            <w:r>
              <w:t>Examination of n</w:t>
            </w:r>
            <w:r w:rsidR="005F02C3">
              <w:t xml:space="preserve">ystagmus, </w:t>
            </w:r>
          </w:p>
        </w:tc>
        <w:tc>
          <w:tcPr>
            <w:tcW w:w="1328" w:type="pct"/>
            <w:noWrap/>
            <w:hideMark/>
          </w:tcPr>
          <w:p w14:paraId="5200A73E" w14:textId="77777777" w:rsidR="00035225" w:rsidRPr="00B22B57" w:rsidRDefault="00035225" w:rsidP="00CA14E8">
            <w:pPr>
              <w:pStyle w:val="Body"/>
              <w:spacing w:after="0"/>
              <w:jc w:val="right"/>
            </w:pPr>
            <w:r w:rsidRPr="00B22B57">
              <w:t>44</w:t>
            </w:r>
          </w:p>
        </w:tc>
      </w:tr>
      <w:tr w:rsidR="00035225" w:rsidRPr="00B22B57" w14:paraId="65F815F7" w14:textId="77777777" w:rsidTr="00CA14E8">
        <w:trPr>
          <w:trHeight w:val="288"/>
        </w:trPr>
        <w:tc>
          <w:tcPr>
            <w:tcW w:w="1968" w:type="pct"/>
            <w:noWrap/>
            <w:hideMark/>
          </w:tcPr>
          <w:p w14:paraId="340C6049" w14:textId="77777777" w:rsidR="00035225" w:rsidRPr="00B22B57" w:rsidRDefault="00035225" w:rsidP="00CA14E8">
            <w:pPr>
              <w:pStyle w:val="Body"/>
              <w:spacing w:after="0"/>
            </w:pPr>
            <w:r>
              <w:t>Miscellaneous</w:t>
            </w:r>
          </w:p>
        </w:tc>
        <w:tc>
          <w:tcPr>
            <w:tcW w:w="1704" w:type="pct"/>
          </w:tcPr>
          <w:p w14:paraId="59D68CFC" w14:textId="3096EF8E" w:rsidR="00035225" w:rsidRDefault="00CA14E8" w:rsidP="00CA14E8">
            <w:pPr>
              <w:pStyle w:val="Body"/>
              <w:spacing w:after="0"/>
            </w:pPr>
            <w:r>
              <w:t xml:space="preserve"> noise as trigger</w:t>
            </w:r>
          </w:p>
        </w:tc>
        <w:tc>
          <w:tcPr>
            <w:tcW w:w="1328" w:type="pct"/>
            <w:noWrap/>
            <w:hideMark/>
          </w:tcPr>
          <w:p w14:paraId="16EB8FCB" w14:textId="2B7976BD" w:rsidR="00035225" w:rsidRPr="00B22B57" w:rsidRDefault="00CA14E8" w:rsidP="00CA14E8">
            <w:pPr>
              <w:pStyle w:val="Body"/>
              <w:spacing w:after="0"/>
              <w:jc w:val="right"/>
            </w:pPr>
            <w:r>
              <w:t>3</w:t>
            </w:r>
          </w:p>
        </w:tc>
      </w:tr>
      <w:tr w:rsidR="00035225" w:rsidRPr="00B22B57" w14:paraId="363D0E8E" w14:textId="77777777" w:rsidTr="00CA14E8">
        <w:trPr>
          <w:trHeight w:val="288"/>
        </w:trPr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6F9FE9" w14:textId="77777777" w:rsidR="00035225" w:rsidRPr="00B22B57" w:rsidRDefault="00035225" w:rsidP="00CA14E8">
            <w:pPr>
              <w:pStyle w:val="Body"/>
              <w:spacing w:after="0"/>
            </w:pPr>
            <w:r w:rsidRPr="00B22B57">
              <w:t xml:space="preserve">Total 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</w:tcPr>
          <w:p w14:paraId="4A569F29" w14:textId="77777777" w:rsidR="00035225" w:rsidRPr="00B22B57" w:rsidRDefault="00035225" w:rsidP="00CA14E8">
            <w:pPr>
              <w:pStyle w:val="Body"/>
              <w:spacing w:after="0"/>
            </w:pP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24C8EC" w14:textId="77777777" w:rsidR="00035225" w:rsidRPr="00B22B57" w:rsidRDefault="00035225" w:rsidP="00CA14E8">
            <w:pPr>
              <w:pStyle w:val="Body"/>
              <w:spacing w:after="0"/>
              <w:jc w:val="right"/>
            </w:pPr>
            <w:r w:rsidRPr="00B22B57">
              <w:t>105</w:t>
            </w:r>
          </w:p>
        </w:tc>
      </w:tr>
    </w:tbl>
    <w:p w14:paraId="68F7FFC7" w14:textId="77777777" w:rsidR="007A288C" w:rsidRPr="00CB5A71" w:rsidRDefault="007A288C"/>
    <w:p w14:paraId="10487389" w14:textId="3F69454D" w:rsidR="00CB5A71" w:rsidRDefault="00095DF5">
      <w:r>
        <w:rPr>
          <w:noProof/>
        </w:rPr>
        <w:drawing>
          <wp:inline distT="0" distB="0" distL="0" distR="0" wp14:anchorId="293E1EB7" wp14:editId="02A87DA6">
            <wp:extent cx="2461260" cy="38656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-Learning Graphi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07" cy="3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478A2" w14:textId="08196520" w:rsidR="00095DF5" w:rsidRPr="00CB5A71" w:rsidRDefault="00095DF5">
      <w:r>
        <w:lastRenderedPageBreak/>
        <w:t>Figure</w:t>
      </w:r>
      <w:r w:rsidR="00887CAD">
        <w:t xml:space="preserve"> 1: Description of the workflow for </w:t>
      </w:r>
      <w:r w:rsidR="00CA14E8">
        <w:t>the repeated</w:t>
      </w:r>
      <w:r w:rsidR="00764CF7">
        <w:t xml:space="preserve"> pre-training </w:t>
      </w:r>
      <w:r w:rsidR="00CA14E8">
        <w:t xml:space="preserve">of </w:t>
      </w:r>
      <w:r w:rsidR="00CA14E8">
        <w:t xml:space="preserve">Deep Neural Networks (DNN) </w:t>
      </w:r>
      <w:r w:rsidR="00CA14E8">
        <w:t xml:space="preserve">to improve </w:t>
      </w:r>
      <w:r w:rsidR="00764CF7">
        <w:t xml:space="preserve">training accuracy </w:t>
      </w:r>
    </w:p>
    <w:sectPr w:rsidR="00095DF5" w:rsidRPr="00CB5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71"/>
    <w:rsid w:val="00015455"/>
    <w:rsid w:val="00035225"/>
    <w:rsid w:val="00095DF5"/>
    <w:rsid w:val="001E7A3C"/>
    <w:rsid w:val="00202213"/>
    <w:rsid w:val="00244778"/>
    <w:rsid w:val="002909A9"/>
    <w:rsid w:val="003B3CA7"/>
    <w:rsid w:val="004007AD"/>
    <w:rsid w:val="004013AF"/>
    <w:rsid w:val="004720F1"/>
    <w:rsid w:val="00490A11"/>
    <w:rsid w:val="004E46D8"/>
    <w:rsid w:val="00515BBD"/>
    <w:rsid w:val="005C725C"/>
    <w:rsid w:val="005F02C3"/>
    <w:rsid w:val="006B3E8B"/>
    <w:rsid w:val="006B7224"/>
    <w:rsid w:val="00764CF7"/>
    <w:rsid w:val="007A288C"/>
    <w:rsid w:val="007C6B6C"/>
    <w:rsid w:val="00814C85"/>
    <w:rsid w:val="00887CAD"/>
    <w:rsid w:val="008A65A3"/>
    <w:rsid w:val="008C58DA"/>
    <w:rsid w:val="00916F38"/>
    <w:rsid w:val="009A2F84"/>
    <w:rsid w:val="00B54C4A"/>
    <w:rsid w:val="00BB2469"/>
    <w:rsid w:val="00C05B63"/>
    <w:rsid w:val="00CA14E8"/>
    <w:rsid w:val="00CB5A71"/>
    <w:rsid w:val="00D87F6A"/>
    <w:rsid w:val="00DC0567"/>
    <w:rsid w:val="00F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E48B"/>
  <w15:chartTrackingRefBased/>
  <w15:docId w15:val="{C59AC294-BF76-4384-8CC8-C590339D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213"/>
    <w:rPr>
      <w:rFonts w:ascii="Cambria" w:hAnsi="Cambria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A71"/>
    <w:rPr>
      <w:rFonts w:ascii="Segoe UI" w:hAnsi="Segoe UI" w:cs="Segoe UI"/>
      <w:sz w:val="18"/>
      <w:szCs w:val="18"/>
      <w:lang w:val="en-GB"/>
    </w:rPr>
  </w:style>
  <w:style w:type="table" w:styleId="Tabellenraster">
    <w:name w:val="Table Grid"/>
    <w:basedOn w:val="NormaleTabelle"/>
    <w:uiPriority w:val="39"/>
    <w:rsid w:val="00CB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B5A71"/>
    <w:pPr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  <w:lang w:val="en-US"/>
    </w:rPr>
  </w:style>
  <w:style w:type="paragraph" w:customStyle="1" w:styleId="Body">
    <w:name w:val="Body"/>
    <w:basedOn w:val="Standard"/>
    <w:link w:val="BodyZchn"/>
    <w:qFormat/>
    <w:rsid w:val="00CB5A71"/>
    <w:pPr>
      <w:spacing w:after="240"/>
    </w:pPr>
    <w:rPr>
      <w:rFonts w:ascii="Times New Roman" w:hAnsi="Times New Roman" w:cs="Times New Roman"/>
      <w:sz w:val="20"/>
      <w:lang w:val="en-US"/>
    </w:rPr>
  </w:style>
  <w:style w:type="character" w:customStyle="1" w:styleId="BodyZchn">
    <w:name w:val="Body Zchn"/>
    <w:basedOn w:val="Absatz-Standardschriftart"/>
    <w:link w:val="Body"/>
    <w:rsid w:val="00CB5A71"/>
    <w:rPr>
      <w:rFonts w:ascii="Times New Roman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FEDD3F8FBB449BC153421F86A68FC" ma:contentTypeVersion="10" ma:contentTypeDescription="Ein neues Dokument erstellen." ma:contentTypeScope="" ma:versionID="9ac4c4a37fdf9d573ce1efc3aa57f715">
  <xsd:schema xmlns:xsd="http://www.w3.org/2001/XMLSchema" xmlns:xs="http://www.w3.org/2001/XMLSchema" xmlns:p="http://schemas.microsoft.com/office/2006/metadata/properties" xmlns:ns2="62b028c9-684b-4f1b-9111-1f00f8e8d23e" xmlns:ns3="21fc0eaf-3e63-4efb-891c-61c6bf77de1c" targetNamespace="http://schemas.microsoft.com/office/2006/metadata/properties" ma:root="true" ma:fieldsID="d1dd025664b75e02783f90c6a7d7bebb" ns2:_="" ns3:_="">
    <xsd:import namespace="62b028c9-684b-4f1b-9111-1f00f8e8d23e"/>
    <xsd:import namespace="21fc0eaf-3e63-4efb-891c-61c6bf77d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28c9-684b-4f1b-9111-1f00f8e8d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eaf-3e63-4efb-891c-61c6bf77d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63FAF-32C3-48E3-8692-1F2AD9309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28c9-684b-4f1b-9111-1f00f8e8d23e"/>
    <ds:schemaRef ds:uri="21fc0eaf-3e63-4efb-891c-61c6bf77d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09F5C-05C5-43A6-BA8F-5F30AF140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EA4E3-F49A-48C8-85FA-1D900E8F5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Grill</dc:creator>
  <cp:keywords/>
  <dc:description/>
  <cp:lastModifiedBy>Eva Grill</cp:lastModifiedBy>
  <cp:revision>2</cp:revision>
  <dcterms:created xsi:type="dcterms:W3CDTF">2020-06-18T10:27:00Z</dcterms:created>
  <dcterms:modified xsi:type="dcterms:W3CDTF">2020-06-18T10:27:00Z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0x010100FBDFEDD3F8FBB449BC153421F86A68FC</vt:lpwstr>
  </property>
</Properties>
</file>