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9AAC0" w14:textId="7DE32D62" w:rsidR="00922AE3" w:rsidRDefault="00922AE3" w:rsidP="00922AE3">
      <w:pPr>
        <w:jc w:val="center"/>
        <w:rPr>
          <w:rFonts w:ascii="Arial" w:hAnsi="Arial" w:cs="Arial"/>
          <w:b/>
          <w:bCs/>
          <w:sz w:val="28"/>
          <w:szCs w:val="28"/>
          <w:u w:val="single"/>
        </w:rPr>
      </w:pPr>
      <w:r w:rsidRPr="00197668">
        <w:rPr>
          <w:rFonts w:ascii="Arial" w:hAnsi="Arial" w:cs="Arial"/>
          <w:b/>
          <w:bCs/>
          <w:sz w:val="28"/>
          <w:szCs w:val="28"/>
          <w:u w:val="single"/>
        </w:rPr>
        <w:t>ELECTRONIC SUPPLEMENTARY MATERIAL</w:t>
      </w:r>
      <w:r w:rsidR="00197668">
        <w:rPr>
          <w:rFonts w:ascii="Arial" w:hAnsi="Arial" w:cs="Arial"/>
          <w:b/>
          <w:bCs/>
          <w:sz w:val="28"/>
          <w:szCs w:val="28"/>
          <w:u w:val="single"/>
        </w:rPr>
        <w:br/>
      </w:r>
    </w:p>
    <w:p w14:paraId="28AB309D" w14:textId="56A78533" w:rsidR="00197668" w:rsidRDefault="00197668" w:rsidP="00197668">
      <w:pPr>
        <w:spacing w:line="480" w:lineRule="auto"/>
        <w:jc w:val="center"/>
        <w:rPr>
          <w:rFonts w:ascii="Arial" w:hAnsi="Arial" w:cs="Arial"/>
          <w:b/>
          <w:bCs/>
        </w:rPr>
      </w:pPr>
      <w:r>
        <w:rPr>
          <w:rFonts w:ascii="Arial" w:hAnsi="Arial" w:cs="Arial"/>
          <w:b/>
          <w:bCs/>
        </w:rPr>
        <w:t>High-frame-rate contrast-enhanced ultrasound particle image velocimetry in patients with a stented superficial femoral artery: a feasibility study</w:t>
      </w:r>
    </w:p>
    <w:p w14:paraId="26915DAF" w14:textId="77777777" w:rsidR="00922AE3" w:rsidRPr="00922AE3" w:rsidRDefault="00922AE3">
      <w:pPr>
        <w:rPr>
          <w:rFonts w:ascii="Arial" w:hAnsi="Arial" w:cs="Arial"/>
        </w:rPr>
      </w:pPr>
    </w:p>
    <w:p w14:paraId="3D3668E7" w14:textId="03386BEF" w:rsidR="007150C7" w:rsidRPr="00922AE3" w:rsidRDefault="00195F85">
      <w:pPr>
        <w:rPr>
          <w:rFonts w:ascii="Arial" w:hAnsi="Arial" w:cs="Arial"/>
        </w:rPr>
      </w:pPr>
      <w:r w:rsidRPr="00922AE3">
        <w:rPr>
          <w:rFonts w:ascii="Arial" w:hAnsi="Arial" w:cs="Arial"/>
          <w:b/>
          <w:bCs/>
        </w:rPr>
        <w:t>Appendix 1</w:t>
      </w:r>
      <w:r w:rsidRPr="00922AE3">
        <w:rPr>
          <w:rFonts w:ascii="Arial" w:hAnsi="Arial" w:cs="Arial"/>
        </w:rPr>
        <w:t xml:space="preserve"> – acquisition parameters computed tomography angiography scan </w:t>
      </w:r>
    </w:p>
    <w:p w14:paraId="66F09BC1" w14:textId="611B2BC8" w:rsidR="00195F85" w:rsidRDefault="00195F85" w:rsidP="00922AE3">
      <w:pPr>
        <w:pStyle w:val="NoSpacing"/>
        <w:spacing w:line="360" w:lineRule="auto"/>
        <w:rPr>
          <w:rFonts w:ascii="Arial" w:hAnsi="Arial" w:cs="Arial"/>
        </w:rPr>
      </w:pPr>
      <w:r w:rsidRPr="00922AE3">
        <w:rPr>
          <w:rFonts w:ascii="Arial" w:hAnsi="Arial" w:cs="Arial"/>
        </w:rPr>
        <w:t xml:space="preserve">Computed tomography angiography scans were acquired </w:t>
      </w:r>
      <w:r w:rsidR="00420DCE" w:rsidRPr="00922AE3">
        <w:rPr>
          <w:rFonts w:ascii="Arial" w:hAnsi="Arial" w:cs="Arial"/>
        </w:rPr>
        <w:t>using</w:t>
      </w:r>
      <w:r w:rsidRPr="00922AE3">
        <w:rPr>
          <w:rFonts w:ascii="Arial" w:hAnsi="Arial" w:cs="Arial"/>
        </w:rPr>
        <w:t xml:space="preserve"> a 256-slice computed tomography scanner (Brilliance iCT 256, Philips Healthcare, Best, The Netherlands) </w:t>
      </w:r>
      <w:r w:rsidR="00420DCE" w:rsidRPr="00922AE3">
        <w:rPr>
          <w:rFonts w:ascii="Arial" w:hAnsi="Arial" w:cs="Arial"/>
        </w:rPr>
        <w:t>with</w:t>
      </w:r>
      <w:r w:rsidRPr="00922AE3">
        <w:rPr>
          <w:rFonts w:ascii="Arial" w:hAnsi="Arial" w:cs="Arial"/>
        </w:rPr>
        <w:t xml:space="preserve"> a standardized arterial scan protocol. The </w:t>
      </w:r>
      <w:r w:rsidR="00D67104" w:rsidRPr="00922AE3">
        <w:rPr>
          <w:rFonts w:ascii="Arial" w:hAnsi="Arial" w:cs="Arial"/>
        </w:rPr>
        <w:t>scan</w:t>
      </w:r>
      <w:r w:rsidRPr="00922AE3">
        <w:rPr>
          <w:rFonts w:ascii="Arial" w:hAnsi="Arial" w:cs="Arial"/>
        </w:rPr>
        <w:t xml:space="preserve"> parameters were as follows</w:t>
      </w:r>
      <w:r w:rsidR="00420DCE" w:rsidRPr="00922AE3">
        <w:rPr>
          <w:rFonts w:ascii="Arial" w:hAnsi="Arial" w:cs="Arial"/>
        </w:rPr>
        <w:t xml:space="preserve">: </w:t>
      </w:r>
      <w:r w:rsidR="00812D3F" w:rsidRPr="00922AE3">
        <w:rPr>
          <w:rFonts w:ascii="Arial" w:hAnsi="Arial" w:cs="Arial"/>
        </w:rPr>
        <w:t>tube voltage, 100</w:t>
      </w:r>
      <w:r w:rsidR="00EE2729" w:rsidRPr="00922AE3">
        <w:rPr>
          <w:rFonts w:ascii="Arial" w:hAnsi="Arial" w:cs="Arial"/>
        </w:rPr>
        <w:t xml:space="preserve"> or 120</w:t>
      </w:r>
      <w:r w:rsidR="00812D3F" w:rsidRPr="00922AE3">
        <w:rPr>
          <w:rFonts w:ascii="Arial" w:hAnsi="Arial" w:cs="Arial"/>
        </w:rPr>
        <w:t xml:space="preserve"> kV; tube current time product,</w:t>
      </w:r>
      <w:r w:rsidR="00B57695" w:rsidRPr="00922AE3">
        <w:rPr>
          <w:rFonts w:ascii="Arial" w:hAnsi="Arial" w:cs="Arial"/>
        </w:rPr>
        <w:t xml:space="preserve"> median</w:t>
      </w:r>
      <w:r w:rsidR="00812D3F" w:rsidRPr="00922AE3">
        <w:rPr>
          <w:rFonts w:ascii="Arial" w:hAnsi="Arial" w:cs="Arial"/>
        </w:rPr>
        <w:t xml:space="preserve"> </w:t>
      </w:r>
      <w:r w:rsidR="00EE2729" w:rsidRPr="00922AE3">
        <w:rPr>
          <w:rFonts w:ascii="Arial" w:hAnsi="Arial" w:cs="Arial"/>
        </w:rPr>
        <w:t>108.5</w:t>
      </w:r>
      <w:r w:rsidR="00812D3F" w:rsidRPr="00922AE3">
        <w:rPr>
          <w:rFonts w:ascii="Arial" w:hAnsi="Arial" w:cs="Arial"/>
        </w:rPr>
        <w:t xml:space="preserve"> mA ∙ s</w:t>
      </w:r>
      <w:r w:rsidR="00B57695" w:rsidRPr="00922AE3">
        <w:rPr>
          <w:rFonts w:ascii="Arial" w:hAnsi="Arial" w:cs="Arial"/>
        </w:rPr>
        <w:t xml:space="preserve"> (range: 60 – 249)</w:t>
      </w:r>
      <w:r w:rsidR="00812D3F" w:rsidRPr="00922AE3">
        <w:rPr>
          <w:rFonts w:ascii="Arial" w:hAnsi="Arial" w:cs="Arial"/>
        </w:rPr>
        <w:t xml:space="preserve">; pitch factor, 0.34; collimation, 80 </w:t>
      </w:r>
      <w:r w:rsidR="001C5EB7" w:rsidRPr="00922AE3">
        <w:rPr>
          <w:rFonts w:ascii="Arial" w:hAnsi="Arial" w:cs="Arial"/>
          <w:lang w:val="en-GB"/>
        </w:rPr>
        <w:sym w:font="Symbol" w:char="F0B4"/>
      </w:r>
      <w:r w:rsidR="00812D3F" w:rsidRPr="00922AE3">
        <w:rPr>
          <w:rFonts w:ascii="Arial" w:hAnsi="Arial" w:cs="Arial"/>
        </w:rPr>
        <w:t xml:space="preserve"> 0.625 mm; slice thickness, 0.9 mm; slice increment, 0.45 mm; reconstruction matrix, 512 </w:t>
      </w:r>
      <w:r w:rsidR="001C5EB7" w:rsidRPr="00922AE3">
        <w:rPr>
          <w:rFonts w:ascii="Arial" w:hAnsi="Arial" w:cs="Arial"/>
          <w:lang w:val="en-GB"/>
        </w:rPr>
        <w:sym w:font="Symbol" w:char="F0B4"/>
      </w:r>
      <w:r w:rsidR="00812D3F" w:rsidRPr="00922AE3">
        <w:rPr>
          <w:rFonts w:ascii="Arial" w:hAnsi="Arial" w:cs="Arial"/>
        </w:rPr>
        <w:t xml:space="preserve"> 512 pixels; dose length product, </w:t>
      </w:r>
      <w:r w:rsidR="00EE2729" w:rsidRPr="00922AE3">
        <w:rPr>
          <w:rFonts w:ascii="Arial" w:hAnsi="Arial" w:cs="Arial"/>
        </w:rPr>
        <w:t>median 494.5</w:t>
      </w:r>
      <w:r w:rsidR="00812D3F" w:rsidRPr="00922AE3">
        <w:rPr>
          <w:rFonts w:ascii="Arial" w:hAnsi="Arial" w:cs="Arial"/>
        </w:rPr>
        <w:t xml:space="preserve"> mGy ∙ cm</w:t>
      </w:r>
      <w:r w:rsidR="00EE2729" w:rsidRPr="00922AE3">
        <w:rPr>
          <w:rFonts w:ascii="Arial" w:hAnsi="Arial" w:cs="Arial"/>
        </w:rPr>
        <w:t xml:space="preserve"> (range: 209.4 </w:t>
      </w:r>
      <w:r w:rsidR="00B57695" w:rsidRPr="00922AE3">
        <w:rPr>
          <w:rFonts w:ascii="Arial" w:hAnsi="Arial" w:cs="Arial"/>
        </w:rPr>
        <w:t>–</w:t>
      </w:r>
      <w:r w:rsidR="00EE2729" w:rsidRPr="00922AE3">
        <w:rPr>
          <w:rFonts w:ascii="Arial" w:hAnsi="Arial" w:cs="Arial"/>
        </w:rPr>
        <w:t xml:space="preserve"> </w:t>
      </w:r>
      <w:r w:rsidR="00B57695" w:rsidRPr="00922AE3">
        <w:rPr>
          <w:rFonts w:ascii="Arial" w:hAnsi="Arial" w:cs="Arial"/>
        </w:rPr>
        <w:t>1330)</w:t>
      </w:r>
      <w:r w:rsidR="00812D3F" w:rsidRPr="00922AE3">
        <w:rPr>
          <w:rFonts w:ascii="Arial" w:hAnsi="Arial" w:cs="Arial"/>
        </w:rPr>
        <w:t xml:space="preserve">. </w:t>
      </w:r>
      <w:r w:rsidR="004B2777" w:rsidRPr="00922AE3">
        <w:rPr>
          <w:rFonts w:ascii="Arial" w:hAnsi="Arial" w:cs="Arial"/>
        </w:rPr>
        <w:t xml:space="preserve">In total </w:t>
      </w:r>
      <w:r w:rsidR="00120C0D" w:rsidRPr="00922AE3">
        <w:rPr>
          <w:rFonts w:ascii="Arial" w:hAnsi="Arial" w:cs="Arial"/>
        </w:rPr>
        <w:t xml:space="preserve">a maximum of </w:t>
      </w:r>
      <w:r w:rsidR="004B2777" w:rsidRPr="00922AE3">
        <w:rPr>
          <w:rFonts w:ascii="Arial" w:hAnsi="Arial" w:cs="Arial"/>
        </w:rPr>
        <w:t>1</w:t>
      </w:r>
      <w:r w:rsidR="006B15A2" w:rsidRPr="00922AE3">
        <w:rPr>
          <w:rFonts w:ascii="Arial" w:hAnsi="Arial" w:cs="Arial"/>
        </w:rPr>
        <w:t>1</w:t>
      </w:r>
      <w:r w:rsidR="004B2777" w:rsidRPr="00922AE3">
        <w:rPr>
          <w:rFonts w:ascii="Arial" w:hAnsi="Arial" w:cs="Arial"/>
        </w:rPr>
        <w:t>0 mL</w:t>
      </w:r>
      <w:r w:rsidR="00120C0D" w:rsidRPr="00922AE3">
        <w:rPr>
          <w:rFonts w:ascii="Arial" w:hAnsi="Arial" w:cs="Arial"/>
        </w:rPr>
        <w:t xml:space="preserve"> </w:t>
      </w:r>
      <w:r w:rsidR="004B2777" w:rsidRPr="00922AE3">
        <w:rPr>
          <w:rFonts w:ascii="Arial" w:hAnsi="Arial" w:cs="Arial"/>
        </w:rPr>
        <w:t xml:space="preserve">radiocontrast agent (Xenetix 350) was intravenously administered at a rate of </w:t>
      </w:r>
      <w:r w:rsidR="00120C0D" w:rsidRPr="00922AE3">
        <w:rPr>
          <w:rFonts w:ascii="Arial" w:hAnsi="Arial" w:cs="Arial"/>
        </w:rPr>
        <w:t>4</w:t>
      </w:r>
      <w:r w:rsidR="004B2777" w:rsidRPr="00922AE3">
        <w:rPr>
          <w:rFonts w:ascii="Arial" w:hAnsi="Arial" w:cs="Arial"/>
        </w:rPr>
        <w:t xml:space="preserve"> mL/s</w:t>
      </w:r>
      <w:r w:rsidR="00120C0D" w:rsidRPr="00922AE3">
        <w:rPr>
          <w:rFonts w:ascii="Arial" w:hAnsi="Arial" w:cs="Arial"/>
        </w:rPr>
        <w:t xml:space="preserve"> (range: 2 – 4.5, depending on patient’s body weight)</w:t>
      </w:r>
      <w:r w:rsidR="004B2777" w:rsidRPr="00922AE3">
        <w:rPr>
          <w:rFonts w:ascii="Arial" w:hAnsi="Arial" w:cs="Arial"/>
        </w:rPr>
        <w:t xml:space="preserve">. </w:t>
      </w:r>
    </w:p>
    <w:p w14:paraId="6A6B8E91" w14:textId="3B4934A1" w:rsidR="00922AE3" w:rsidRDefault="00922AE3">
      <w:pPr>
        <w:rPr>
          <w:rFonts w:ascii="Arial" w:hAnsi="Arial" w:cs="Arial"/>
        </w:rPr>
      </w:pPr>
      <w:r>
        <w:rPr>
          <w:rFonts w:ascii="Arial" w:hAnsi="Arial" w:cs="Arial"/>
        </w:rPr>
        <w:br w:type="page"/>
      </w:r>
    </w:p>
    <w:p w14:paraId="5A4839C1" w14:textId="12AEE54B" w:rsidR="00922AE3" w:rsidRPr="00C85CFC" w:rsidRDefault="00922AE3" w:rsidP="00922AE3">
      <w:pPr>
        <w:pStyle w:val="Caption"/>
        <w:keepNext/>
        <w:rPr>
          <w:rFonts w:ascii="Arial" w:hAnsi="Arial" w:cs="Arial"/>
          <w:i w:val="0"/>
          <w:iCs w:val="0"/>
          <w:color w:val="auto"/>
          <w:sz w:val="22"/>
          <w:szCs w:val="22"/>
        </w:rPr>
      </w:pPr>
      <w:r w:rsidRPr="00C85CFC">
        <w:rPr>
          <w:rFonts w:ascii="Arial" w:hAnsi="Arial" w:cs="Arial"/>
          <w:b/>
          <w:bCs/>
          <w:i w:val="0"/>
          <w:iCs w:val="0"/>
          <w:color w:val="auto"/>
          <w:sz w:val="22"/>
          <w:szCs w:val="22"/>
        </w:rPr>
        <w:lastRenderedPageBreak/>
        <w:t xml:space="preserve">Table </w:t>
      </w:r>
      <w:r w:rsidR="0099699E">
        <w:rPr>
          <w:rFonts w:ascii="Arial" w:hAnsi="Arial" w:cs="Arial"/>
          <w:b/>
          <w:bCs/>
          <w:i w:val="0"/>
          <w:iCs w:val="0"/>
          <w:color w:val="auto"/>
          <w:sz w:val="22"/>
          <w:szCs w:val="22"/>
        </w:rPr>
        <w:t>S</w:t>
      </w:r>
      <w:bookmarkStart w:id="0" w:name="_GoBack"/>
      <w:bookmarkEnd w:id="0"/>
      <w:r w:rsidRPr="00C85CFC">
        <w:rPr>
          <w:rFonts w:ascii="Arial" w:hAnsi="Arial" w:cs="Arial"/>
          <w:b/>
          <w:bCs/>
          <w:i w:val="0"/>
          <w:iCs w:val="0"/>
          <w:color w:val="auto"/>
          <w:sz w:val="22"/>
          <w:szCs w:val="22"/>
        </w:rPr>
        <w:t xml:space="preserve">1. </w:t>
      </w:r>
      <w:r w:rsidRPr="00C85CFC">
        <w:rPr>
          <w:rFonts w:ascii="Arial" w:hAnsi="Arial" w:cs="Arial"/>
          <w:i w:val="0"/>
          <w:iCs w:val="0"/>
          <w:color w:val="auto"/>
          <w:sz w:val="22"/>
          <w:szCs w:val="22"/>
        </w:rPr>
        <w:t>Feasibility assessment per location for both MIs and the best measurement.</w:t>
      </w:r>
    </w:p>
    <w:tbl>
      <w:tblPr>
        <w:tblStyle w:val="TableGrid"/>
        <w:tblpPr w:leftFromText="180" w:rightFromText="180" w:vertAnchor="page" w:horzAnchor="margin" w:tblpY="2416"/>
        <w:tblW w:w="0" w:type="auto"/>
        <w:tblLayout w:type="fixed"/>
        <w:tblLook w:val="04A0" w:firstRow="1" w:lastRow="0" w:firstColumn="1" w:lastColumn="0" w:noHBand="0" w:noVBand="1"/>
      </w:tblPr>
      <w:tblGrid>
        <w:gridCol w:w="2835"/>
        <w:gridCol w:w="906"/>
        <w:gridCol w:w="906"/>
        <w:gridCol w:w="906"/>
        <w:gridCol w:w="906"/>
        <w:gridCol w:w="906"/>
        <w:gridCol w:w="906"/>
        <w:gridCol w:w="906"/>
        <w:gridCol w:w="906"/>
        <w:gridCol w:w="906"/>
        <w:gridCol w:w="906"/>
        <w:gridCol w:w="906"/>
        <w:gridCol w:w="906"/>
      </w:tblGrid>
      <w:tr w:rsidR="00922AE3" w:rsidRPr="00C85CFC" w14:paraId="166901E1" w14:textId="77777777" w:rsidTr="000F2891">
        <w:tc>
          <w:tcPr>
            <w:tcW w:w="2835" w:type="dxa"/>
          </w:tcPr>
          <w:p w14:paraId="1FDC7B8E" w14:textId="77777777" w:rsidR="00922AE3" w:rsidRPr="00C85CFC" w:rsidRDefault="00922AE3" w:rsidP="000F2891">
            <w:pPr>
              <w:pStyle w:val="NoSpacing"/>
              <w:rPr>
                <w:rFonts w:ascii="Arial" w:hAnsi="Arial" w:cs="Arial"/>
                <w:b/>
                <w:bCs/>
                <w:lang w:val="en-US"/>
              </w:rPr>
            </w:pPr>
            <w:r w:rsidRPr="00C85CFC">
              <w:rPr>
                <w:rFonts w:ascii="Arial" w:hAnsi="Arial" w:cs="Arial"/>
                <w:b/>
                <w:bCs/>
                <w:lang w:val="en-US"/>
              </w:rPr>
              <w:t>Location</w:t>
            </w:r>
          </w:p>
        </w:tc>
        <w:tc>
          <w:tcPr>
            <w:tcW w:w="10872" w:type="dxa"/>
            <w:gridSpan w:val="12"/>
          </w:tcPr>
          <w:p w14:paraId="687CCA47"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Feasibility category</w:t>
            </w:r>
          </w:p>
        </w:tc>
      </w:tr>
      <w:tr w:rsidR="00922AE3" w:rsidRPr="00C85CFC" w14:paraId="10F99CA9" w14:textId="77777777" w:rsidTr="000F2891">
        <w:tc>
          <w:tcPr>
            <w:tcW w:w="2835" w:type="dxa"/>
            <w:vMerge w:val="restart"/>
          </w:tcPr>
          <w:p w14:paraId="5579C06C" w14:textId="77777777" w:rsidR="00922AE3" w:rsidRPr="00C85CFC" w:rsidRDefault="00922AE3" w:rsidP="000F2891">
            <w:pPr>
              <w:pStyle w:val="NoSpacing"/>
              <w:rPr>
                <w:rFonts w:ascii="Arial" w:hAnsi="Arial" w:cs="Arial"/>
                <w:lang w:val="en-US"/>
              </w:rPr>
            </w:pPr>
          </w:p>
        </w:tc>
        <w:tc>
          <w:tcPr>
            <w:tcW w:w="2718" w:type="dxa"/>
            <w:gridSpan w:val="3"/>
          </w:tcPr>
          <w:p w14:paraId="3AD7C51A"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No contrast upon SVD, n(%)</w:t>
            </w:r>
          </w:p>
        </w:tc>
        <w:tc>
          <w:tcPr>
            <w:tcW w:w="2718" w:type="dxa"/>
            <w:gridSpan w:val="3"/>
          </w:tcPr>
          <w:p w14:paraId="02B1566F"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Insufficient, n(%)</w:t>
            </w:r>
          </w:p>
        </w:tc>
        <w:tc>
          <w:tcPr>
            <w:tcW w:w="2718" w:type="dxa"/>
            <w:gridSpan w:val="3"/>
          </w:tcPr>
          <w:p w14:paraId="684D8796"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Partial, n(%)</w:t>
            </w:r>
          </w:p>
        </w:tc>
        <w:tc>
          <w:tcPr>
            <w:tcW w:w="2718" w:type="dxa"/>
            <w:gridSpan w:val="3"/>
          </w:tcPr>
          <w:p w14:paraId="0157663B"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Optimal, n(%)</w:t>
            </w:r>
          </w:p>
        </w:tc>
      </w:tr>
      <w:tr w:rsidR="00922AE3" w:rsidRPr="00C85CFC" w14:paraId="0E90ABD1" w14:textId="77777777" w:rsidTr="000F2891">
        <w:tc>
          <w:tcPr>
            <w:tcW w:w="2835" w:type="dxa"/>
            <w:vMerge/>
          </w:tcPr>
          <w:p w14:paraId="52FBADDA" w14:textId="77777777" w:rsidR="00922AE3" w:rsidRPr="00C85CFC" w:rsidRDefault="00922AE3" w:rsidP="000F2891">
            <w:pPr>
              <w:pStyle w:val="NoSpacing"/>
              <w:rPr>
                <w:rFonts w:ascii="Arial" w:hAnsi="Arial" w:cs="Arial"/>
                <w:lang w:val="en-US"/>
              </w:rPr>
            </w:pPr>
          </w:p>
        </w:tc>
        <w:tc>
          <w:tcPr>
            <w:tcW w:w="906" w:type="dxa"/>
          </w:tcPr>
          <w:p w14:paraId="1C495ADA"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0.06</w:t>
            </w:r>
          </w:p>
        </w:tc>
        <w:tc>
          <w:tcPr>
            <w:tcW w:w="906" w:type="dxa"/>
          </w:tcPr>
          <w:p w14:paraId="452F267A"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0.12</w:t>
            </w:r>
          </w:p>
        </w:tc>
        <w:tc>
          <w:tcPr>
            <w:tcW w:w="906" w:type="dxa"/>
          </w:tcPr>
          <w:p w14:paraId="3CE3E286"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Best</w:t>
            </w:r>
          </w:p>
        </w:tc>
        <w:tc>
          <w:tcPr>
            <w:tcW w:w="906" w:type="dxa"/>
          </w:tcPr>
          <w:p w14:paraId="0D75FE1B"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0.06</w:t>
            </w:r>
          </w:p>
        </w:tc>
        <w:tc>
          <w:tcPr>
            <w:tcW w:w="906" w:type="dxa"/>
          </w:tcPr>
          <w:p w14:paraId="02A219F8"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0.12</w:t>
            </w:r>
          </w:p>
        </w:tc>
        <w:tc>
          <w:tcPr>
            <w:tcW w:w="906" w:type="dxa"/>
          </w:tcPr>
          <w:p w14:paraId="1FCAEF80"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Best</w:t>
            </w:r>
          </w:p>
        </w:tc>
        <w:tc>
          <w:tcPr>
            <w:tcW w:w="906" w:type="dxa"/>
          </w:tcPr>
          <w:p w14:paraId="4752C204"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0.06</w:t>
            </w:r>
          </w:p>
        </w:tc>
        <w:tc>
          <w:tcPr>
            <w:tcW w:w="906" w:type="dxa"/>
          </w:tcPr>
          <w:p w14:paraId="4CE9ECFE"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0.12</w:t>
            </w:r>
          </w:p>
        </w:tc>
        <w:tc>
          <w:tcPr>
            <w:tcW w:w="906" w:type="dxa"/>
          </w:tcPr>
          <w:p w14:paraId="4535A86F"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Best</w:t>
            </w:r>
          </w:p>
        </w:tc>
        <w:tc>
          <w:tcPr>
            <w:tcW w:w="906" w:type="dxa"/>
          </w:tcPr>
          <w:p w14:paraId="368B9433"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0.06</w:t>
            </w:r>
          </w:p>
        </w:tc>
        <w:tc>
          <w:tcPr>
            <w:tcW w:w="906" w:type="dxa"/>
          </w:tcPr>
          <w:p w14:paraId="23C13542"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0.12</w:t>
            </w:r>
          </w:p>
        </w:tc>
        <w:tc>
          <w:tcPr>
            <w:tcW w:w="906" w:type="dxa"/>
          </w:tcPr>
          <w:p w14:paraId="4624D874" w14:textId="77777777" w:rsidR="00922AE3" w:rsidRPr="00C85CFC" w:rsidRDefault="00922AE3" w:rsidP="000F2891">
            <w:pPr>
              <w:pStyle w:val="NoSpacing"/>
              <w:jc w:val="center"/>
              <w:rPr>
                <w:rFonts w:ascii="Arial" w:hAnsi="Arial" w:cs="Arial"/>
                <w:b/>
                <w:bCs/>
                <w:lang w:val="en-US"/>
              </w:rPr>
            </w:pPr>
            <w:r w:rsidRPr="00C85CFC">
              <w:rPr>
                <w:rFonts w:ascii="Arial" w:hAnsi="Arial" w:cs="Arial"/>
                <w:b/>
                <w:bCs/>
                <w:lang w:val="en-US"/>
              </w:rPr>
              <w:t>Best</w:t>
            </w:r>
          </w:p>
        </w:tc>
      </w:tr>
      <w:tr w:rsidR="00922AE3" w:rsidRPr="00C85CFC" w14:paraId="30130307" w14:textId="77777777" w:rsidTr="000F2891">
        <w:tc>
          <w:tcPr>
            <w:tcW w:w="2835" w:type="dxa"/>
          </w:tcPr>
          <w:p w14:paraId="5F1C23F3" w14:textId="77777777" w:rsidR="00922AE3" w:rsidRPr="00C85CFC" w:rsidRDefault="00922AE3" w:rsidP="000F2891">
            <w:pPr>
              <w:pStyle w:val="NoSpacing"/>
              <w:rPr>
                <w:rFonts w:ascii="Arial" w:hAnsi="Arial" w:cs="Arial"/>
                <w:lang w:val="en-US"/>
              </w:rPr>
            </w:pPr>
            <w:r w:rsidRPr="00C85CFC">
              <w:rPr>
                <w:rFonts w:ascii="Arial" w:hAnsi="Arial" w:cs="Arial"/>
                <w:b/>
                <w:bCs/>
                <w:lang w:val="en-US"/>
              </w:rPr>
              <w:t>CFA</w:t>
            </w:r>
            <w:r w:rsidRPr="00C85CFC">
              <w:rPr>
                <w:rFonts w:ascii="Arial" w:hAnsi="Arial" w:cs="Arial"/>
                <w:lang w:val="en-US"/>
              </w:rPr>
              <w:t xml:space="preserve"> (n</w:t>
            </w:r>
            <w:r w:rsidRPr="00C85CFC">
              <w:rPr>
                <w:rFonts w:ascii="Arial" w:hAnsi="Arial" w:cs="Arial"/>
                <w:vertAlign w:val="subscript"/>
                <w:lang w:val="en-US"/>
              </w:rPr>
              <w:t>0.06</w:t>
            </w:r>
            <w:r w:rsidRPr="00C85CFC">
              <w:rPr>
                <w:rFonts w:ascii="Arial" w:hAnsi="Arial" w:cs="Arial"/>
                <w:lang w:val="en-US"/>
              </w:rPr>
              <w:t xml:space="preserve"> = 20, n</w:t>
            </w:r>
            <w:r w:rsidRPr="00C85CFC">
              <w:rPr>
                <w:rFonts w:ascii="Arial" w:hAnsi="Arial" w:cs="Arial"/>
                <w:vertAlign w:val="subscript"/>
                <w:lang w:val="en-US"/>
              </w:rPr>
              <w:t>0.12</w:t>
            </w:r>
            <w:r w:rsidRPr="00C85CFC">
              <w:rPr>
                <w:rFonts w:ascii="Arial" w:hAnsi="Arial" w:cs="Arial"/>
                <w:lang w:val="en-US"/>
              </w:rPr>
              <w:t xml:space="preserve"> = 19)</w:t>
            </w:r>
          </w:p>
        </w:tc>
        <w:tc>
          <w:tcPr>
            <w:tcW w:w="906" w:type="dxa"/>
          </w:tcPr>
          <w:p w14:paraId="559C15DD"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 xml:space="preserve">3 </w:t>
            </w:r>
          </w:p>
          <w:p w14:paraId="5FFFB166"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(15%)</w:t>
            </w:r>
          </w:p>
        </w:tc>
        <w:tc>
          <w:tcPr>
            <w:tcW w:w="906" w:type="dxa"/>
          </w:tcPr>
          <w:p w14:paraId="6F458865"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2</w:t>
            </w:r>
          </w:p>
          <w:p w14:paraId="598E6B93"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(11%)</w:t>
            </w:r>
          </w:p>
        </w:tc>
        <w:tc>
          <w:tcPr>
            <w:tcW w:w="906" w:type="dxa"/>
          </w:tcPr>
          <w:p w14:paraId="47C1BAFF"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2</w:t>
            </w:r>
          </w:p>
          <w:p w14:paraId="6E2FA53F"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(10%)</w:t>
            </w:r>
          </w:p>
        </w:tc>
        <w:tc>
          <w:tcPr>
            <w:tcW w:w="906" w:type="dxa"/>
          </w:tcPr>
          <w:p w14:paraId="34E34F35"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w:t>
            </w:r>
          </w:p>
          <w:p w14:paraId="0F627EB2"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(25%)</w:t>
            </w:r>
          </w:p>
        </w:tc>
        <w:tc>
          <w:tcPr>
            <w:tcW w:w="906" w:type="dxa"/>
          </w:tcPr>
          <w:p w14:paraId="50A32F5B"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w:t>
            </w:r>
          </w:p>
          <w:p w14:paraId="1F5C94D8"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w:t>
            </w:r>
          </w:p>
        </w:tc>
        <w:tc>
          <w:tcPr>
            <w:tcW w:w="906" w:type="dxa"/>
          </w:tcPr>
          <w:p w14:paraId="3DC6F3B1"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2</w:t>
            </w:r>
          </w:p>
          <w:p w14:paraId="147FA33F"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(10%)</w:t>
            </w:r>
          </w:p>
        </w:tc>
        <w:tc>
          <w:tcPr>
            <w:tcW w:w="906" w:type="dxa"/>
          </w:tcPr>
          <w:p w14:paraId="7FA66879"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8</w:t>
            </w:r>
          </w:p>
          <w:p w14:paraId="2E02D9D4"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(40%)</w:t>
            </w:r>
          </w:p>
        </w:tc>
        <w:tc>
          <w:tcPr>
            <w:tcW w:w="906" w:type="dxa"/>
          </w:tcPr>
          <w:p w14:paraId="3E6B54D6"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9</w:t>
            </w:r>
          </w:p>
          <w:p w14:paraId="36A25FC6"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(47%)</w:t>
            </w:r>
          </w:p>
        </w:tc>
        <w:tc>
          <w:tcPr>
            <w:tcW w:w="906" w:type="dxa"/>
          </w:tcPr>
          <w:p w14:paraId="0E40F418"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8</w:t>
            </w:r>
          </w:p>
          <w:p w14:paraId="6CE0E2EE"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(40%)</w:t>
            </w:r>
          </w:p>
        </w:tc>
        <w:tc>
          <w:tcPr>
            <w:tcW w:w="906" w:type="dxa"/>
          </w:tcPr>
          <w:p w14:paraId="0A6EB6BB"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4</w:t>
            </w:r>
          </w:p>
          <w:p w14:paraId="5464D78F"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(20%)</w:t>
            </w:r>
          </w:p>
        </w:tc>
        <w:tc>
          <w:tcPr>
            <w:tcW w:w="906" w:type="dxa"/>
          </w:tcPr>
          <w:p w14:paraId="3BAE688F"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7</w:t>
            </w:r>
          </w:p>
          <w:p w14:paraId="2CEE0719"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(37%)</w:t>
            </w:r>
          </w:p>
        </w:tc>
        <w:tc>
          <w:tcPr>
            <w:tcW w:w="906" w:type="dxa"/>
          </w:tcPr>
          <w:p w14:paraId="4293190E"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8</w:t>
            </w:r>
          </w:p>
          <w:p w14:paraId="20351929"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(40%)</w:t>
            </w:r>
          </w:p>
        </w:tc>
      </w:tr>
      <w:tr w:rsidR="00922AE3" w:rsidRPr="00C85CFC" w14:paraId="53B283D0" w14:textId="77777777" w:rsidTr="000F2891">
        <w:tc>
          <w:tcPr>
            <w:tcW w:w="2835" w:type="dxa"/>
          </w:tcPr>
          <w:p w14:paraId="6467E1CE" w14:textId="77777777" w:rsidR="00922AE3" w:rsidRPr="00C85CFC" w:rsidRDefault="00922AE3" w:rsidP="000F2891">
            <w:pPr>
              <w:pStyle w:val="NoSpacing"/>
              <w:rPr>
                <w:rFonts w:ascii="Arial" w:hAnsi="Arial" w:cs="Arial"/>
                <w:lang w:val="en-US"/>
              </w:rPr>
            </w:pPr>
            <w:r w:rsidRPr="00C85CFC">
              <w:rPr>
                <w:rFonts w:ascii="Arial" w:hAnsi="Arial" w:cs="Arial"/>
                <w:b/>
                <w:bCs/>
                <w:lang w:val="en-US"/>
              </w:rPr>
              <w:t>Inflow</w:t>
            </w:r>
            <w:r w:rsidRPr="00C85CFC">
              <w:rPr>
                <w:rFonts w:ascii="Arial" w:hAnsi="Arial" w:cs="Arial"/>
                <w:lang w:val="en-US"/>
              </w:rPr>
              <w:t xml:space="preserve"> (n</w:t>
            </w:r>
            <w:r w:rsidRPr="00C85CFC">
              <w:rPr>
                <w:rFonts w:ascii="Arial" w:hAnsi="Arial" w:cs="Arial"/>
                <w:vertAlign w:val="subscript"/>
                <w:lang w:val="en-US"/>
              </w:rPr>
              <w:t>0.06</w:t>
            </w:r>
            <w:r w:rsidRPr="00C85CFC">
              <w:rPr>
                <w:rFonts w:ascii="Arial" w:hAnsi="Arial" w:cs="Arial"/>
                <w:lang w:val="en-US"/>
              </w:rPr>
              <w:t xml:space="preserve"> = 19, n</w:t>
            </w:r>
            <w:r w:rsidRPr="00C85CFC">
              <w:rPr>
                <w:rFonts w:ascii="Arial" w:hAnsi="Arial" w:cs="Arial"/>
                <w:vertAlign w:val="subscript"/>
                <w:lang w:val="en-US"/>
              </w:rPr>
              <w:t>0.12</w:t>
            </w:r>
            <w:r w:rsidRPr="00C85CFC">
              <w:rPr>
                <w:rFonts w:ascii="Arial" w:hAnsi="Arial" w:cs="Arial"/>
                <w:lang w:val="en-US"/>
              </w:rPr>
              <w:t xml:space="preserve"> = 18)</w:t>
            </w:r>
          </w:p>
        </w:tc>
        <w:tc>
          <w:tcPr>
            <w:tcW w:w="906" w:type="dxa"/>
          </w:tcPr>
          <w:p w14:paraId="004E99DF"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 xml:space="preserve">1 </w:t>
            </w:r>
          </w:p>
          <w:p w14:paraId="6271A10E"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w:t>
            </w:r>
          </w:p>
        </w:tc>
        <w:tc>
          <w:tcPr>
            <w:tcW w:w="906" w:type="dxa"/>
          </w:tcPr>
          <w:p w14:paraId="3C3C73E6"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 xml:space="preserve">1 </w:t>
            </w:r>
          </w:p>
          <w:p w14:paraId="7637104C"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(6%)</w:t>
            </w:r>
          </w:p>
        </w:tc>
        <w:tc>
          <w:tcPr>
            <w:tcW w:w="906" w:type="dxa"/>
          </w:tcPr>
          <w:p w14:paraId="39793A55"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w:t>
            </w:r>
          </w:p>
          <w:p w14:paraId="7ABF9921"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w:t>
            </w:r>
          </w:p>
        </w:tc>
        <w:tc>
          <w:tcPr>
            <w:tcW w:w="906" w:type="dxa"/>
          </w:tcPr>
          <w:p w14:paraId="2362876B"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 xml:space="preserve">1 </w:t>
            </w:r>
          </w:p>
          <w:p w14:paraId="15F1D43D"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w:t>
            </w:r>
          </w:p>
        </w:tc>
        <w:tc>
          <w:tcPr>
            <w:tcW w:w="906" w:type="dxa"/>
          </w:tcPr>
          <w:p w14:paraId="7967DCC2"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 xml:space="preserve">0 </w:t>
            </w:r>
          </w:p>
          <w:p w14:paraId="208CEBF3"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(0%)</w:t>
            </w:r>
          </w:p>
        </w:tc>
        <w:tc>
          <w:tcPr>
            <w:tcW w:w="906" w:type="dxa"/>
          </w:tcPr>
          <w:p w14:paraId="59448B4A"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0</w:t>
            </w:r>
          </w:p>
          <w:p w14:paraId="35A070B2"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(0%)</w:t>
            </w:r>
          </w:p>
        </w:tc>
        <w:tc>
          <w:tcPr>
            <w:tcW w:w="906" w:type="dxa"/>
          </w:tcPr>
          <w:p w14:paraId="67103C32"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15 (79%)</w:t>
            </w:r>
          </w:p>
        </w:tc>
        <w:tc>
          <w:tcPr>
            <w:tcW w:w="906" w:type="dxa"/>
          </w:tcPr>
          <w:p w14:paraId="74E23AB4"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13</w:t>
            </w:r>
          </w:p>
          <w:p w14:paraId="25F304DA"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(72%)</w:t>
            </w:r>
          </w:p>
        </w:tc>
        <w:tc>
          <w:tcPr>
            <w:tcW w:w="906" w:type="dxa"/>
          </w:tcPr>
          <w:p w14:paraId="770DE39A"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14</w:t>
            </w:r>
          </w:p>
          <w:p w14:paraId="6AE184ED"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(74%)</w:t>
            </w:r>
          </w:p>
        </w:tc>
        <w:tc>
          <w:tcPr>
            <w:tcW w:w="906" w:type="dxa"/>
          </w:tcPr>
          <w:p w14:paraId="68B56D35"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2</w:t>
            </w:r>
          </w:p>
          <w:p w14:paraId="132B86DD"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(11%)</w:t>
            </w:r>
          </w:p>
        </w:tc>
        <w:tc>
          <w:tcPr>
            <w:tcW w:w="906" w:type="dxa"/>
          </w:tcPr>
          <w:p w14:paraId="07E18263"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4</w:t>
            </w:r>
          </w:p>
          <w:p w14:paraId="7153C8FC"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(22%)</w:t>
            </w:r>
          </w:p>
        </w:tc>
        <w:tc>
          <w:tcPr>
            <w:tcW w:w="906" w:type="dxa"/>
          </w:tcPr>
          <w:p w14:paraId="36524E27"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4</w:t>
            </w:r>
          </w:p>
          <w:p w14:paraId="0E8D0982"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(21%)</w:t>
            </w:r>
          </w:p>
        </w:tc>
      </w:tr>
      <w:tr w:rsidR="00922AE3" w:rsidRPr="00C85CFC" w14:paraId="4F336E99" w14:textId="77777777" w:rsidTr="000F2891">
        <w:tc>
          <w:tcPr>
            <w:tcW w:w="2835" w:type="dxa"/>
          </w:tcPr>
          <w:p w14:paraId="02779643" w14:textId="77777777" w:rsidR="00922AE3" w:rsidRPr="00C85CFC" w:rsidRDefault="00922AE3" w:rsidP="000F2891">
            <w:pPr>
              <w:pStyle w:val="NoSpacing"/>
              <w:rPr>
                <w:rFonts w:ascii="Arial" w:hAnsi="Arial" w:cs="Arial"/>
                <w:lang w:val="en-US"/>
              </w:rPr>
            </w:pPr>
            <w:r w:rsidRPr="00C85CFC">
              <w:rPr>
                <w:rFonts w:ascii="Arial" w:hAnsi="Arial" w:cs="Arial"/>
                <w:b/>
                <w:bCs/>
                <w:lang w:val="en-US"/>
              </w:rPr>
              <w:t>Outflow</w:t>
            </w:r>
            <w:r w:rsidRPr="00C85CFC">
              <w:rPr>
                <w:rFonts w:ascii="Arial" w:hAnsi="Arial" w:cs="Arial"/>
                <w:lang w:val="en-US"/>
              </w:rPr>
              <w:t xml:space="preserve"> (n</w:t>
            </w:r>
            <w:r w:rsidRPr="00C85CFC">
              <w:rPr>
                <w:rFonts w:ascii="Arial" w:hAnsi="Arial" w:cs="Arial"/>
                <w:vertAlign w:val="subscript"/>
                <w:lang w:val="en-US"/>
              </w:rPr>
              <w:t>0.06</w:t>
            </w:r>
            <w:r w:rsidRPr="00C85CFC">
              <w:rPr>
                <w:rFonts w:ascii="Arial" w:hAnsi="Arial" w:cs="Arial"/>
                <w:lang w:val="en-US"/>
              </w:rPr>
              <w:t xml:space="preserve"> = 19, n</w:t>
            </w:r>
            <w:r w:rsidRPr="00C85CFC">
              <w:rPr>
                <w:rFonts w:ascii="Arial" w:hAnsi="Arial" w:cs="Arial"/>
                <w:vertAlign w:val="subscript"/>
                <w:lang w:val="en-US"/>
              </w:rPr>
              <w:t>0.12</w:t>
            </w:r>
            <w:r w:rsidRPr="00C85CFC">
              <w:rPr>
                <w:rFonts w:ascii="Arial" w:hAnsi="Arial" w:cs="Arial"/>
                <w:lang w:val="en-US"/>
              </w:rPr>
              <w:t xml:space="preserve"> = 19)</w:t>
            </w:r>
          </w:p>
        </w:tc>
        <w:tc>
          <w:tcPr>
            <w:tcW w:w="906" w:type="dxa"/>
          </w:tcPr>
          <w:p w14:paraId="40CC37B2"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4</w:t>
            </w:r>
          </w:p>
          <w:p w14:paraId="758179B6"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(21%)</w:t>
            </w:r>
          </w:p>
        </w:tc>
        <w:tc>
          <w:tcPr>
            <w:tcW w:w="906" w:type="dxa"/>
          </w:tcPr>
          <w:p w14:paraId="032727FE"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3</w:t>
            </w:r>
          </w:p>
          <w:p w14:paraId="1035EBE8"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(16%)</w:t>
            </w:r>
          </w:p>
        </w:tc>
        <w:tc>
          <w:tcPr>
            <w:tcW w:w="906" w:type="dxa"/>
          </w:tcPr>
          <w:p w14:paraId="7FA7D256"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3</w:t>
            </w:r>
          </w:p>
          <w:p w14:paraId="643D20C8"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(16%)</w:t>
            </w:r>
          </w:p>
        </w:tc>
        <w:tc>
          <w:tcPr>
            <w:tcW w:w="906" w:type="dxa"/>
          </w:tcPr>
          <w:p w14:paraId="181F7618"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3</w:t>
            </w:r>
          </w:p>
          <w:p w14:paraId="0A023D9B"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(16%)</w:t>
            </w:r>
          </w:p>
        </w:tc>
        <w:tc>
          <w:tcPr>
            <w:tcW w:w="906" w:type="dxa"/>
          </w:tcPr>
          <w:p w14:paraId="13021058"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2</w:t>
            </w:r>
          </w:p>
          <w:p w14:paraId="5139B9D0"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(11%)</w:t>
            </w:r>
          </w:p>
        </w:tc>
        <w:tc>
          <w:tcPr>
            <w:tcW w:w="906" w:type="dxa"/>
          </w:tcPr>
          <w:p w14:paraId="2E9A4318"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w:t>
            </w:r>
          </w:p>
          <w:p w14:paraId="6F0CC416"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w:t>
            </w:r>
          </w:p>
        </w:tc>
        <w:tc>
          <w:tcPr>
            <w:tcW w:w="906" w:type="dxa"/>
          </w:tcPr>
          <w:p w14:paraId="57CB6E10"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11</w:t>
            </w:r>
          </w:p>
          <w:p w14:paraId="324A2F35"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(58%)</w:t>
            </w:r>
          </w:p>
        </w:tc>
        <w:tc>
          <w:tcPr>
            <w:tcW w:w="906" w:type="dxa"/>
          </w:tcPr>
          <w:p w14:paraId="6301E476"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9</w:t>
            </w:r>
          </w:p>
          <w:p w14:paraId="5AA66566"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(47%)</w:t>
            </w:r>
          </w:p>
        </w:tc>
        <w:tc>
          <w:tcPr>
            <w:tcW w:w="906" w:type="dxa"/>
          </w:tcPr>
          <w:p w14:paraId="3C8CCE6D"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10</w:t>
            </w:r>
          </w:p>
          <w:p w14:paraId="00D7F34F"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(53%)</w:t>
            </w:r>
          </w:p>
        </w:tc>
        <w:tc>
          <w:tcPr>
            <w:tcW w:w="906" w:type="dxa"/>
          </w:tcPr>
          <w:p w14:paraId="779DCAA7"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w:t>
            </w:r>
          </w:p>
          <w:p w14:paraId="7B746845"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w:t>
            </w:r>
          </w:p>
        </w:tc>
        <w:tc>
          <w:tcPr>
            <w:tcW w:w="906" w:type="dxa"/>
          </w:tcPr>
          <w:p w14:paraId="3BD11155"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w:t>
            </w:r>
          </w:p>
          <w:p w14:paraId="5E92C3DE"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(26%)</w:t>
            </w:r>
          </w:p>
        </w:tc>
        <w:tc>
          <w:tcPr>
            <w:tcW w:w="906" w:type="dxa"/>
          </w:tcPr>
          <w:p w14:paraId="3F70FB42"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w:t>
            </w:r>
          </w:p>
          <w:p w14:paraId="6C63E41F"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(26%)</w:t>
            </w:r>
          </w:p>
        </w:tc>
      </w:tr>
      <w:tr w:rsidR="00922AE3" w:rsidRPr="00C85CFC" w14:paraId="117A3BB3" w14:textId="77777777" w:rsidTr="000F2891">
        <w:tc>
          <w:tcPr>
            <w:tcW w:w="2835" w:type="dxa"/>
          </w:tcPr>
          <w:p w14:paraId="0326CECF" w14:textId="77777777" w:rsidR="00922AE3" w:rsidRPr="00C85CFC" w:rsidRDefault="00922AE3" w:rsidP="000F2891">
            <w:pPr>
              <w:pStyle w:val="NoSpacing"/>
              <w:rPr>
                <w:rFonts w:ascii="Arial" w:hAnsi="Arial" w:cs="Arial"/>
                <w:lang w:val="en-US"/>
              </w:rPr>
            </w:pPr>
            <w:r w:rsidRPr="00C85CFC">
              <w:rPr>
                <w:rFonts w:ascii="Arial" w:hAnsi="Arial" w:cs="Arial"/>
                <w:b/>
                <w:bCs/>
                <w:lang w:val="en-US"/>
              </w:rPr>
              <w:t>Total</w:t>
            </w:r>
            <w:r w:rsidRPr="00C85CFC">
              <w:rPr>
                <w:rFonts w:ascii="Arial" w:hAnsi="Arial" w:cs="Arial"/>
                <w:lang w:val="en-US"/>
              </w:rPr>
              <w:t xml:space="preserve"> (n</w:t>
            </w:r>
            <w:r w:rsidRPr="00C85CFC">
              <w:rPr>
                <w:rFonts w:ascii="Arial" w:hAnsi="Arial" w:cs="Arial"/>
                <w:vertAlign w:val="subscript"/>
                <w:lang w:val="en-US"/>
              </w:rPr>
              <w:t>0.06</w:t>
            </w:r>
            <w:r w:rsidRPr="00C85CFC">
              <w:rPr>
                <w:rFonts w:ascii="Arial" w:hAnsi="Arial" w:cs="Arial"/>
                <w:lang w:val="en-US"/>
              </w:rPr>
              <w:t xml:space="preserve"> = 58, n</w:t>
            </w:r>
            <w:r w:rsidRPr="00C85CFC">
              <w:rPr>
                <w:rFonts w:ascii="Arial" w:hAnsi="Arial" w:cs="Arial"/>
                <w:vertAlign w:val="subscript"/>
                <w:lang w:val="en-US"/>
              </w:rPr>
              <w:t>0.12</w:t>
            </w:r>
            <w:r w:rsidRPr="00C85CFC">
              <w:rPr>
                <w:rFonts w:ascii="Arial" w:hAnsi="Arial" w:cs="Arial"/>
                <w:lang w:val="en-US"/>
              </w:rPr>
              <w:t xml:space="preserve"> = 56)</w:t>
            </w:r>
          </w:p>
        </w:tc>
        <w:tc>
          <w:tcPr>
            <w:tcW w:w="906" w:type="dxa"/>
          </w:tcPr>
          <w:p w14:paraId="02D88BE8"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8</w:t>
            </w:r>
          </w:p>
          <w:p w14:paraId="487BF94F"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(14%)</w:t>
            </w:r>
          </w:p>
        </w:tc>
        <w:tc>
          <w:tcPr>
            <w:tcW w:w="906" w:type="dxa"/>
          </w:tcPr>
          <w:p w14:paraId="571814C0"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6</w:t>
            </w:r>
          </w:p>
          <w:p w14:paraId="51E0DFC4"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(11%)</w:t>
            </w:r>
          </w:p>
        </w:tc>
        <w:tc>
          <w:tcPr>
            <w:tcW w:w="906" w:type="dxa"/>
          </w:tcPr>
          <w:p w14:paraId="3AF55020"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6</w:t>
            </w:r>
          </w:p>
          <w:p w14:paraId="700FA102"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(11%)</w:t>
            </w:r>
          </w:p>
        </w:tc>
        <w:tc>
          <w:tcPr>
            <w:tcW w:w="906" w:type="dxa"/>
          </w:tcPr>
          <w:p w14:paraId="22A0AB36"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9</w:t>
            </w:r>
          </w:p>
          <w:p w14:paraId="08D4F63C"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(15%)</w:t>
            </w:r>
          </w:p>
        </w:tc>
        <w:tc>
          <w:tcPr>
            <w:tcW w:w="906" w:type="dxa"/>
          </w:tcPr>
          <w:p w14:paraId="6CF71770"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3</w:t>
            </w:r>
          </w:p>
          <w:p w14:paraId="5E4B1401"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w:t>
            </w:r>
          </w:p>
        </w:tc>
        <w:tc>
          <w:tcPr>
            <w:tcW w:w="906" w:type="dxa"/>
          </w:tcPr>
          <w:p w14:paraId="014B4EFF"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3</w:t>
            </w:r>
          </w:p>
          <w:p w14:paraId="41223DF1"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w:t>
            </w:r>
          </w:p>
        </w:tc>
        <w:tc>
          <w:tcPr>
            <w:tcW w:w="906" w:type="dxa"/>
          </w:tcPr>
          <w:p w14:paraId="59AF0DF5"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34</w:t>
            </w:r>
          </w:p>
          <w:p w14:paraId="2BB75948"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(59%)</w:t>
            </w:r>
          </w:p>
        </w:tc>
        <w:tc>
          <w:tcPr>
            <w:tcW w:w="906" w:type="dxa"/>
          </w:tcPr>
          <w:p w14:paraId="33E8DA80"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31</w:t>
            </w:r>
          </w:p>
          <w:p w14:paraId="071334F3"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(55%)</w:t>
            </w:r>
          </w:p>
        </w:tc>
        <w:tc>
          <w:tcPr>
            <w:tcW w:w="906" w:type="dxa"/>
          </w:tcPr>
          <w:p w14:paraId="06E2F698"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32</w:t>
            </w:r>
          </w:p>
          <w:p w14:paraId="4C1ACE0E"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(55%)</w:t>
            </w:r>
          </w:p>
        </w:tc>
        <w:tc>
          <w:tcPr>
            <w:tcW w:w="906" w:type="dxa"/>
          </w:tcPr>
          <w:p w14:paraId="3B5FC8B3"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7</w:t>
            </w:r>
          </w:p>
          <w:p w14:paraId="64A35E28"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(12%)</w:t>
            </w:r>
          </w:p>
        </w:tc>
        <w:tc>
          <w:tcPr>
            <w:tcW w:w="906" w:type="dxa"/>
          </w:tcPr>
          <w:p w14:paraId="6A600A48"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16 (29%)</w:t>
            </w:r>
          </w:p>
        </w:tc>
        <w:tc>
          <w:tcPr>
            <w:tcW w:w="906" w:type="dxa"/>
          </w:tcPr>
          <w:p w14:paraId="01775FA0"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17</w:t>
            </w:r>
          </w:p>
          <w:p w14:paraId="5B9C2D14" w14:textId="77777777" w:rsidR="00922AE3" w:rsidRPr="00C85CFC" w:rsidRDefault="00922AE3" w:rsidP="000F2891">
            <w:pPr>
              <w:pStyle w:val="NoSpacing"/>
              <w:jc w:val="center"/>
              <w:rPr>
                <w:rFonts w:ascii="Arial" w:hAnsi="Arial" w:cs="Arial"/>
                <w:lang w:val="en-US"/>
              </w:rPr>
            </w:pPr>
            <w:r w:rsidRPr="00C85CFC">
              <w:rPr>
                <w:rFonts w:ascii="Arial" w:hAnsi="Arial" w:cs="Arial"/>
                <w:lang w:val="en-US"/>
              </w:rPr>
              <w:t>(29%)</w:t>
            </w:r>
          </w:p>
        </w:tc>
      </w:tr>
    </w:tbl>
    <w:p w14:paraId="19510265" w14:textId="77777777" w:rsidR="00922AE3" w:rsidRPr="00C85CFC" w:rsidRDefault="00922AE3" w:rsidP="00922AE3">
      <w:pPr>
        <w:rPr>
          <w:rFonts w:ascii="Arial" w:hAnsi="Arial" w:cs="Arial"/>
        </w:rPr>
      </w:pPr>
      <w:r w:rsidRPr="00C85CFC">
        <w:rPr>
          <w:rFonts w:ascii="Arial" w:hAnsi="Arial" w:cs="Arial"/>
        </w:rPr>
        <w:t>CFA; common femoral artery, n</w:t>
      </w:r>
      <w:r w:rsidRPr="00C85CFC">
        <w:rPr>
          <w:rFonts w:ascii="Arial" w:hAnsi="Arial" w:cs="Arial"/>
          <w:vertAlign w:val="subscript"/>
        </w:rPr>
        <w:t>0.06</w:t>
      </w:r>
      <w:r w:rsidRPr="00C85CFC">
        <w:rPr>
          <w:rFonts w:ascii="Arial" w:hAnsi="Arial" w:cs="Arial"/>
        </w:rPr>
        <w:t>;</w:t>
      </w:r>
      <w:r w:rsidRPr="00C85CFC">
        <w:rPr>
          <w:rFonts w:ascii="Arial" w:hAnsi="Arial" w:cs="Arial"/>
          <w:vertAlign w:val="subscript"/>
        </w:rPr>
        <w:t xml:space="preserve"> </w:t>
      </w:r>
      <w:r w:rsidRPr="00C85CFC">
        <w:rPr>
          <w:rFonts w:ascii="Arial" w:hAnsi="Arial" w:cs="Arial"/>
        </w:rPr>
        <w:t>number of measurements with an MI of 0.06, n</w:t>
      </w:r>
      <w:r w:rsidRPr="00C85CFC">
        <w:rPr>
          <w:rFonts w:ascii="Arial" w:hAnsi="Arial" w:cs="Arial"/>
          <w:vertAlign w:val="subscript"/>
        </w:rPr>
        <w:t>0.12</w:t>
      </w:r>
      <w:r w:rsidRPr="00C85CFC">
        <w:rPr>
          <w:rFonts w:ascii="Arial" w:hAnsi="Arial" w:cs="Arial"/>
        </w:rPr>
        <w:t xml:space="preserve">; number of measurements with an MI of 0.12. </w:t>
      </w:r>
    </w:p>
    <w:p w14:paraId="0274EA2C" w14:textId="77777777" w:rsidR="00922AE3" w:rsidRPr="00922AE3" w:rsidRDefault="00922AE3" w:rsidP="00922AE3">
      <w:pPr>
        <w:pStyle w:val="NoSpacing"/>
        <w:spacing w:line="360" w:lineRule="auto"/>
        <w:rPr>
          <w:rFonts w:ascii="Arial" w:hAnsi="Arial" w:cs="Arial"/>
        </w:rPr>
      </w:pPr>
    </w:p>
    <w:p w14:paraId="3127B1FF" w14:textId="77777777" w:rsidR="00922AE3" w:rsidRDefault="00922AE3" w:rsidP="00922AE3">
      <w:pPr>
        <w:pStyle w:val="Caption"/>
        <w:spacing w:after="0" w:line="480" w:lineRule="auto"/>
        <w:rPr>
          <w:rFonts w:ascii="Arial" w:hAnsi="Arial" w:cs="Arial"/>
          <w:b/>
          <w:bCs/>
          <w:i w:val="0"/>
          <w:iCs w:val="0"/>
          <w:color w:val="auto"/>
          <w:sz w:val="22"/>
          <w:szCs w:val="22"/>
          <w:lang w:val="en-GB"/>
        </w:rPr>
      </w:pPr>
      <w:r>
        <w:rPr>
          <w:rFonts w:ascii="Arial" w:hAnsi="Arial" w:cs="Arial"/>
          <w:b/>
          <w:bCs/>
          <w:i w:val="0"/>
          <w:iCs w:val="0"/>
          <w:color w:val="auto"/>
          <w:sz w:val="22"/>
          <w:szCs w:val="22"/>
          <w:lang w:val="en-GB"/>
        </w:rPr>
        <w:br w:type="page"/>
      </w:r>
    </w:p>
    <w:p w14:paraId="2C6BEA03" w14:textId="5AE4577B" w:rsidR="00922AE3" w:rsidRDefault="00922AE3" w:rsidP="00922AE3">
      <w:pPr>
        <w:pStyle w:val="Caption"/>
        <w:spacing w:after="0" w:line="480" w:lineRule="auto"/>
        <w:rPr>
          <w:rFonts w:ascii="Arial" w:hAnsi="Arial" w:cs="Arial"/>
          <w:i w:val="0"/>
          <w:iCs w:val="0"/>
          <w:color w:val="auto"/>
          <w:sz w:val="22"/>
          <w:szCs w:val="22"/>
          <w:lang w:val="en-GB"/>
        </w:rPr>
      </w:pPr>
      <w:r w:rsidRPr="008214A4">
        <w:rPr>
          <w:rFonts w:ascii="Arial" w:hAnsi="Arial" w:cs="Arial"/>
          <w:b/>
          <w:bCs/>
          <w:i w:val="0"/>
          <w:iCs w:val="0"/>
          <w:color w:val="auto"/>
          <w:sz w:val="22"/>
          <w:szCs w:val="22"/>
          <w:lang w:val="en-GB"/>
        </w:rPr>
        <w:lastRenderedPageBreak/>
        <w:t>Table S2.</w:t>
      </w:r>
      <w:r w:rsidRPr="008214A4">
        <w:rPr>
          <w:rFonts w:ascii="Arial" w:hAnsi="Arial" w:cs="Arial"/>
          <w:i w:val="0"/>
          <w:iCs w:val="0"/>
          <w:color w:val="auto"/>
          <w:sz w:val="22"/>
          <w:szCs w:val="22"/>
          <w:lang w:val="en-GB"/>
        </w:rPr>
        <w:t xml:space="preserve"> Partial feasibility: limiting issue per location for both MIs and the best measurement.</w:t>
      </w:r>
    </w:p>
    <w:tbl>
      <w:tblPr>
        <w:tblStyle w:val="TableGrid"/>
        <w:tblpPr w:leftFromText="180" w:rightFromText="180" w:vertAnchor="page" w:horzAnchor="margin" w:tblpY="1831"/>
        <w:tblW w:w="0" w:type="auto"/>
        <w:tblLayout w:type="fixed"/>
        <w:tblLook w:val="04A0" w:firstRow="1" w:lastRow="0" w:firstColumn="1" w:lastColumn="0" w:noHBand="0" w:noVBand="1"/>
      </w:tblPr>
      <w:tblGrid>
        <w:gridCol w:w="2689"/>
        <w:gridCol w:w="1052"/>
        <w:gridCol w:w="906"/>
        <w:gridCol w:w="877"/>
        <w:gridCol w:w="935"/>
        <w:gridCol w:w="906"/>
        <w:gridCol w:w="852"/>
        <w:gridCol w:w="960"/>
        <w:gridCol w:w="906"/>
        <w:gridCol w:w="906"/>
        <w:gridCol w:w="906"/>
        <w:gridCol w:w="906"/>
        <w:gridCol w:w="906"/>
      </w:tblGrid>
      <w:tr w:rsidR="00922AE3" w:rsidRPr="00467494" w14:paraId="1A22DF97" w14:textId="77777777" w:rsidTr="000F2891">
        <w:tc>
          <w:tcPr>
            <w:tcW w:w="2689" w:type="dxa"/>
          </w:tcPr>
          <w:p w14:paraId="15EB0D3C" w14:textId="77777777" w:rsidR="00922AE3" w:rsidRPr="00467494" w:rsidRDefault="00922AE3" w:rsidP="000F2891">
            <w:pPr>
              <w:pStyle w:val="NoSpacing"/>
              <w:rPr>
                <w:rFonts w:ascii="Arial" w:hAnsi="Arial" w:cs="Arial"/>
                <w:b/>
                <w:bCs/>
                <w:lang w:val="en-US"/>
              </w:rPr>
            </w:pPr>
            <w:r w:rsidRPr="00467494">
              <w:rPr>
                <w:rFonts w:ascii="Arial" w:hAnsi="Arial" w:cs="Arial"/>
                <w:b/>
                <w:bCs/>
                <w:lang w:val="en-US"/>
              </w:rPr>
              <w:t>Location</w:t>
            </w:r>
          </w:p>
        </w:tc>
        <w:tc>
          <w:tcPr>
            <w:tcW w:w="11018" w:type="dxa"/>
            <w:gridSpan w:val="12"/>
          </w:tcPr>
          <w:p w14:paraId="756761E1"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Limiting issues</w:t>
            </w:r>
          </w:p>
        </w:tc>
      </w:tr>
      <w:tr w:rsidR="00922AE3" w:rsidRPr="00467494" w14:paraId="78285D92" w14:textId="77777777" w:rsidTr="000F2891">
        <w:tc>
          <w:tcPr>
            <w:tcW w:w="2689" w:type="dxa"/>
            <w:vMerge w:val="restart"/>
          </w:tcPr>
          <w:p w14:paraId="46E8583B" w14:textId="77777777" w:rsidR="00922AE3" w:rsidRPr="00467494" w:rsidRDefault="00922AE3" w:rsidP="000F2891">
            <w:pPr>
              <w:pStyle w:val="NoSpacing"/>
              <w:rPr>
                <w:rFonts w:ascii="Arial" w:hAnsi="Arial" w:cs="Arial"/>
                <w:lang w:val="en-US"/>
              </w:rPr>
            </w:pPr>
          </w:p>
        </w:tc>
        <w:tc>
          <w:tcPr>
            <w:tcW w:w="2835" w:type="dxa"/>
            <w:gridSpan w:val="3"/>
          </w:tcPr>
          <w:p w14:paraId="5A8DA7FF"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Loss of correlation, n(%)</w:t>
            </w:r>
          </w:p>
        </w:tc>
        <w:tc>
          <w:tcPr>
            <w:tcW w:w="2693" w:type="dxa"/>
            <w:gridSpan w:val="3"/>
          </w:tcPr>
          <w:p w14:paraId="0772D64E"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Short segment, n(%)</w:t>
            </w:r>
          </w:p>
        </w:tc>
        <w:tc>
          <w:tcPr>
            <w:tcW w:w="2772" w:type="dxa"/>
            <w:gridSpan w:val="3"/>
          </w:tcPr>
          <w:p w14:paraId="5B941AB1"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Loss of contrast agent, n(%)</w:t>
            </w:r>
          </w:p>
        </w:tc>
        <w:tc>
          <w:tcPr>
            <w:tcW w:w="2718" w:type="dxa"/>
            <w:gridSpan w:val="3"/>
          </w:tcPr>
          <w:p w14:paraId="5BD0E685"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Shadow regions, n(%)</w:t>
            </w:r>
          </w:p>
        </w:tc>
      </w:tr>
      <w:tr w:rsidR="00922AE3" w:rsidRPr="00467494" w14:paraId="23075561" w14:textId="77777777" w:rsidTr="000F2891">
        <w:tc>
          <w:tcPr>
            <w:tcW w:w="2689" w:type="dxa"/>
            <w:vMerge/>
          </w:tcPr>
          <w:p w14:paraId="3F9AA166" w14:textId="77777777" w:rsidR="00922AE3" w:rsidRPr="00467494" w:rsidRDefault="00922AE3" w:rsidP="000F2891">
            <w:pPr>
              <w:pStyle w:val="NoSpacing"/>
              <w:rPr>
                <w:rFonts w:ascii="Arial" w:hAnsi="Arial" w:cs="Arial"/>
                <w:lang w:val="en-US"/>
              </w:rPr>
            </w:pPr>
          </w:p>
        </w:tc>
        <w:tc>
          <w:tcPr>
            <w:tcW w:w="1052" w:type="dxa"/>
          </w:tcPr>
          <w:p w14:paraId="2A2EAD88"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0.06</w:t>
            </w:r>
          </w:p>
        </w:tc>
        <w:tc>
          <w:tcPr>
            <w:tcW w:w="906" w:type="dxa"/>
          </w:tcPr>
          <w:p w14:paraId="5BC40E53"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0.12</w:t>
            </w:r>
          </w:p>
        </w:tc>
        <w:tc>
          <w:tcPr>
            <w:tcW w:w="877" w:type="dxa"/>
          </w:tcPr>
          <w:p w14:paraId="0B6670C7"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Best</w:t>
            </w:r>
          </w:p>
        </w:tc>
        <w:tc>
          <w:tcPr>
            <w:tcW w:w="935" w:type="dxa"/>
          </w:tcPr>
          <w:p w14:paraId="740147F9"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0.06</w:t>
            </w:r>
          </w:p>
        </w:tc>
        <w:tc>
          <w:tcPr>
            <w:tcW w:w="906" w:type="dxa"/>
          </w:tcPr>
          <w:p w14:paraId="703318CF"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0.12</w:t>
            </w:r>
          </w:p>
        </w:tc>
        <w:tc>
          <w:tcPr>
            <w:tcW w:w="852" w:type="dxa"/>
          </w:tcPr>
          <w:p w14:paraId="734BB90E"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Best</w:t>
            </w:r>
          </w:p>
        </w:tc>
        <w:tc>
          <w:tcPr>
            <w:tcW w:w="960" w:type="dxa"/>
          </w:tcPr>
          <w:p w14:paraId="3B0731AB"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0.06</w:t>
            </w:r>
          </w:p>
        </w:tc>
        <w:tc>
          <w:tcPr>
            <w:tcW w:w="906" w:type="dxa"/>
          </w:tcPr>
          <w:p w14:paraId="1E093009"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0.12</w:t>
            </w:r>
          </w:p>
        </w:tc>
        <w:tc>
          <w:tcPr>
            <w:tcW w:w="906" w:type="dxa"/>
          </w:tcPr>
          <w:p w14:paraId="6184849C"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Best</w:t>
            </w:r>
          </w:p>
        </w:tc>
        <w:tc>
          <w:tcPr>
            <w:tcW w:w="906" w:type="dxa"/>
          </w:tcPr>
          <w:p w14:paraId="33E04F7B"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0.06</w:t>
            </w:r>
          </w:p>
        </w:tc>
        <w:tc>
          <w:tcPr>
            <w:tcW w:w="906" w:type="dxa"/>
          </w:tcPr>
          <w:p w14:paraId="3F55F05C"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0.12</w:t>
            </w:r>
          </w:p>
        </w:tc>
        <w:tc>
          <w:tcPr>
            <w:tcW w:w="906" w:type="dxa"/>
          </w:tcPr>
          <w:p w14:paraId="5EF2C89F" w14:textId="77777777" w:rsidR="00922AE3" w:rsidRPr="00467494" w:rsidRDefault="00922AE3" w:rsidP="000F2891">
            <w:pPr>
              <w:pStyle w:val="NoSpacing"/>
              <w:jc w:val="center"/>
              <w:rPr>
                <w:rFonts w:ascii="Arial" w:hAnsi="Arial" w:cs="Arial"/>
                <w:b/>
                <w:bCs/>
                <w:lang w:val="en-US"/>
              </w:rPr>
            </w:pPr>
            <w:r w:rsidRPr="00467494">
              <w:rPr>
                <w:rFonts w:ascii="Arial" w:hAnsi="Arial" w:cs="Arial"/>
                <w:b/>
                <w:bCs/>
                <w:lang w:val="en-US"/>
              </w:rPr>
              <w:t>Best</w:t>
            </w:r>
          </w:p>
        </w:tc>
      </w:tr>
      <w:tr w:rsidR="00922AE3" w:rsidRPr="00467494" w14:paraId="0F743070" w14:textId="77777777" w:rsidTr="000F2891">
        <w:tc>
          <w:tcPr>
            <w:tcW w:w="2689" w:type="dxa"/>
          </w:tcPr>
          <w:p w14:paraId="6B632701" w14:textId="77777777" w:rsidR="00922AE3" w:rsidRPr="00467494" w:rsidRDefault="00922AE3" w:rsidP="000F2891">
            <w:pPr>
              <w:pStyle w:val="NoSpacing"/>
              <w:rPr>
                <w:rFonts w:ascii="Arial" w:hAnsi="Arial" w:cs="Arial"/>
                <w:lang w:val="en-US"/>
              </w:rPr>
            </w:pPr>
            <w:r w:rsidRPr="00467494">
              <w:rPr>
                <w:rFonts w:ascii="Arial" w:hAnsi="Arial" w:cs="Arial"/>
                <w:b/>
                <w:bCs/>
                <w:lang w:val="en-US"/>
              </w:rPr>
              <w:t>CFA</w:t>
            </w:r>
            <w:r w:rsidRPr="00467494">
              <w:rPr>
                <w:rFonts w:ascii="Arial" w:hAnsi="Arial" w:cs="Arial"/>
                <w:lang w:val="en-US"/>
              </w:rPr>
              <w:t xml:space="preserve"> (n</w:t>
            </w:r>
            <w:r w:rsidRPr="00467494">
              <w:rPr>
                <w:rFonts w:ascii="Arial" w:hAnsi="Arial" w:cs="Arial"/>
                <w:vertAlign w:val="subscript"/>
                <w:lang w:val="en-US"/>
              </w:rPr>
              <w:t>0.06</w:t>
            </w:r>
            <w:r w:rsidRPr="00467494">
              <w:rPr>
                <w:rFonts w:ascii="Arial" w:hAnsi="Arial" w:cs="Arial"/>
                <w:lang w:val="en-US"/>
              </w:rPr>
              <w:t xml:space="preserve"> = 8, n</w:t>
            </w:r>
            <w:r w:rsidRPr="00467494">
              <w:rPr>
                <w:rFonts w:ascii="Arial" w:hAnsi="Arial" w:cs="Arial"/>
                <w:vertAlign w:val="subscript"/>
                <w:lang w:val="en-US"/>
              </w:rPr>
              <w:t>0.12</w:t>
            </w:r>
            <w:r w:rsidRPr="00467494">
              <w:rPr>
                <w:rFonts w:ascii="Arial" w:hAnsi="Arial" w:cs="Arial"/>
                <w:lang w:val="en-US"/>
              </w:rPr>
              <w:t xml:space="preserve"> = 9)</w:t>
            </w:r>
          </w:p>
        </w:tc>
        <w:tc>
          <w:tcPr>
            <w:tcW w:w="1052" w:type="dxa"/>
          </w:tcPr>
          <w:p w14:paraId="55DC371D"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3</w:t>
            </w:r>
          </w:p>
          <w:p w14:paraId="7C3B4725"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(38%)</w:t>
            </w:r>
          </w:p>
        </w:tc>
        <w:tc>
          <w:tcPr>
            <w:tcW w:w="906" w:type="dxa"/>
          </w:tcPr>
          <w:p w14:paraId="09256110"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4</w:t>
            </w:r>
          </w:p>
          <w:p w14:paraId="7A0957C9"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(44%)</w:t>
            </w:r>
          </w:p>
        </w:tc>
        <w:tc>
          <w:tcPr>
            <w:tcW w:w="877" w:type="dxa"/>
          </w:tcPr>
          <w:p w14:paraId="5379A3F8"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3</w:t>
            </w:r>
          </w:p>
          <w:p w14:paraId="7C9434EF"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(38%)</w:t>
            </w:r>
          </w:p>
        </w:tc>
        <w:tc>
          <w:tcPr>
            <w:tcW w:w="935" w:type="dxa"/>
          </w:tcPr>
          <w:p w14:paraId="5CBFBED7"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w:t>
            </w:r>
          </w:p>
          <w:p w14:paraId="43092E6C"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(13%)</w:t>
            </w:r>
          </w:p>
        </w:tc>
        <w:tc>
          <w:tcPr>
            <w:tcW w:w="906" w:type="dxa"/>
          </w:tcPr>
          <w:p w14:paraId="5246C9CA"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3</w:t>
            </w:r>
          </w:p>
          <w:p w14:paraId="00B81B16"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(33%)</w:t>
            </w:r>
          </w:p>
        </w:tc>
        <w:tc>
          <w:tcPr>
            <w:tcW w:w="852" w:type="dxa"/>
          </w:tcPr>
          <w:p w14:paraId="31F3C028"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3</w:t>
            </w:r>
          </w:p>
          <w:p w14:paraId="6F1F9BF7"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(38%)</w:t>
            </w:r>
          </w:p>
        </w:tc>
        <w:tc>
          <w:tcPr>
            <w:tcW w:w="960" w:type="dxa"/>
          </w:tcPr>
          <w:p w14:paraId="2AAF4B7B"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0</w:t>
            </w:r>
          </w:p>
          <w:p w14:paraId="21EF6967"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(0%)</w:t>
            </w:r>
          </w:p>
        </w:tc>
        <w:tc>
          <w:tcPr>
            <w:tcW w:w="906" w:type="dxa"/>
          </w:tcPr>
          <w:p w14:paraId="78AB6556"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2</w:t>
            </w:r>
          </w:p>
          <w:p w14:paraId="625B9B09"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(22%)</w:t>
            </w:r>
          </w:p>
        </w:tc>
        <w:tc>
          <w:tcPr>
            <w:tcW w:w="906" w:type="dxa"/>
          </w:tcPr>
          <w:p w14:paraId="6F579FC7"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2</w:t>
            </w:r>
          </w:p>
          <w:p w14:paraId="0F998AA2"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(25%)</w:t>
            </w:r>
          </w:p>
        </w:tc>
        <w:tc>
          <w:tcPr>
            <w:tcW w:w="906" w:type="dxa"/>
          </w:tcPr>
          <w:p w14:paraId="10682DB7"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4</w:t>
            </w:r>
          </w:p>
          <w:p w14:paraId="07AE7630"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(50%)</w:t>
            </w:r>
          </w:p>
        </w:tc>
        <w:tc>
          <w:tcPr>
            <w:tcW w:w="906" w:type="dxa"/>
          </w:tcPr>
          <w:p w14:paraId="4AF8C576"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4</w:t>
            </w:r>
          </w:p>
          <w:p w14:paraId="44BC1848"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(44%)</w:t>
            </w:r>
          </w:p>
        </w:tc>
        <w:tc>
          <w:tcPr>
            <w:tcW w:w="906" w:type="dxa"/>
          </w:tcPr>
          <w:p w14:paraId="7EFC68E1"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4</w:t>
            </w:r>
          </w:p>
          <w:p w14:paraId="34508111"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(50%)</w:t>
            </w:r>
          </w:p>
        </w:tc>
      </w:tr>
      <w:tr w:rsidR="00922AE3" w:rsidRPr="00467494" w14:paraId="27EA5D3F" w14:textId="77777777" w:rsidTr="000F2891">
        <w:tc>
          <w:tcPr>
            <w:tcW w:w="2689" w:type="dxa"/>
          </w:tcPr>
          <w:p w14:paraId="7772E232" w14:textId="77777777" w:rsidR="00922AE3" w:rsidRPr="00467494" w:rsidRDefault="00922AE3" w:rsidP="000F2891">
            <w:pPr>
              <w:pStyle w:val="NoSpacing"/>
              <w:rPr>
                <w:rFonts w:ascii="Arial" w:hAnsi="Arial" w:cs="Arial"/>
                <w:lang w:val="en-US"/>
              </w:rPr>
            </w:pPr>
            <w:r w:rsidRPr="00467494">
              <w:rPr>
                <w:rFonts w:ascii="Arial" w:hAnsi="Arial" w:cs="Arial"/>
                <w:b/>
                <w:bCs/>
                <w:lang w:val="en-US"/>
              </w:rPr>
              <w:t>Inflow</w:t>
            </w:r>
            <w:r w:rsidRPr="00467494">
              <w:rPr>
                <w:rFonts w:ascii="Arial" w:hAnsi="Arial" w:cs="Arial"/>
                <w:lang w:val="en-US"/>
              </w:rPr>
              <w:t xml:space="preserve"> (n</w:t>
            </w:r>
            <w:r w:rsidRPr="00467494">
              <w:rPr>
                <w:rFonts w:ascii="Arial" w:hAnsi="Arial" w:cs="Arial"/>
                <w:vertAlign w:val="subscript"/>
                <w:lang w:val="en-US"/>
              </w:rPr>
              <w:t>0.06</w:t>
            </w:r>
            <w:r w:rsidRPr="00467494">
              <w:rPr>
                <w:rFonts w:ascii="Arial" w:hAnsi="Arial" w:cs="Arial"/>
                <w:lang w:val="en-US"/>
              </w:rPr>
              <w:t xml:space="preserve"> = 15, n</w:t>
            </w:r>
            <w:r w:rsidRPr="00467494">
              <w:rPr>
                <w:rFonts w:ascii="Arial" w:hAnsi="Arial" w:cs="Arial"/>
                <w:vertAlign w:val="subscript"/>
                <w:lang w:val="en-US"/>
              </w:rPr>
              <w:t>0.12</w:t>
            </w:r>
            <w:r w:rsidRPr="00467494">
              <w:rPr>
                <w:rFonts w:ascii="Arial" w:hAnsi="Arial" w:cs="Arial"/>
                <w:lang w:val="en-US"/>
              </w:rPr>
              <w:t xml:space="preserve"> = 13)</w:t>
            </w:r>
          </w:p>
        </w:tc>
        <w:tc>
          <w:tcPr>
            <w:tcW w:w="1052" w:type="dxa"/>
          </w:tcPr>
          <w:p w14:paraId="0D5C8A22"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w:t>
            </w:r>
          </w:p>
          <w:p w14:paraId="322BF878"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(7%)</w:t>
            </w:r>
          </w:p>
        </w:tc>
        <w:tc>
          <w:tcPr>
            <w:tcW w:w="906" w:type="dxa"/>
          </w:tcPr>
          <w:p w14:paraId="5BE7DD52"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w:t>
            </w:r>
          </w:p>
          <w:p w14:paraId="692288CD"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(8%)</w:t>
            </w:r>
          </w:p>
        </w:tc>
        <w:tc>
          <w:tcPr>
            <w:tcW w:w="877" w:type="dxa"/>
          </w:tcPr>
          <w:p w14:paraId="6CE6FD88"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w:t>
            </w:r>
          </w:p>
          <w:p w14:paraId="74993B2C"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(7%)</w:t>
            </w:r>
          </w:p>
        </w:tc>
        <w:tc>
          <w:tcPr>
            <w:tcW w:w="935" w:type="dxa"/>
          </w:tcPr>
          <w:p w14:paraId="357FEF10"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2</w:t>
            </w:r>
          </w:p>
          <w:p w14:paraId="0802F7D5"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(13%)</w:t>
            </w:r>
          </w:p>
        </w:tc>
        <w:tc>
          <w:tcPr>
            <w:tcW w:w="906" w:type="dxa"/>
          </w:tcPr>
          <w:p w14:paraId="74EA50A3"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2</w:t>
            </w:r>
          </w:p>
          <w:p w14:paraId="5C246823"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(15%)</w:t>
            </w:r>
          </w:p>
        </w:tc>
        <w:tc>
          <w:tcPr>
            <w:tcW w:w="852" w:type="dxa"/>
          </w:tcPr>
          <w:p w14:paraId="7BBBE858"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2</w:t>
            </w:r>
          </w:p>
          <w:p w14:paraId="72CD6BCE"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(14%)</w:t>
            </w:r>
          </w:p>
        </w:tc>
        <w:tc>
          <w:tcPr>
            <w:tcW w:w="960" w:type="dxa"/>
          </w:tcPr>
          <w:p w14:paraId="4DADB725"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7</w:t>
            </w:r>
          </w:p>
          <w:p w14:paraId="1C57E348"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(47%)</w:t>
            </w:r>
          </w:p>
        </w:tc>
        <w:tc>
          <w:tcPr>
            <w:tcW w:w="906" w:type="dxa"/>
          </w:tcPr>
          <w:p w14:paraId="72B6F6A7"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7</w:t>
            </w:r>
          </w:p>
          <w:p w14:paraId="70215907"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(54%)</w:t>
            </w:r>
          </w:p>
        </w:tc>
        <w:tc>
          <w:tcPr>
            <w:tcW w:w="906" w:type="dxa"/>
          </w:tcPr>
          <w:p w14:paraId="4A616531"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7</w:t>
            </w:r>
          </w:p>
          <w:p w14:paraId="1573E830"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(50%)</w:t>
            </w:r>
          </w:p>
        </w:tc>
        <w:tc>
          <w:tcPr>
            <w:tcW w:w="906" w:type="dxa"/>
          </w:tcPr>
          <w:p w14:paraId="1A9F35AF"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9</w:t>
            </w:r>
          </w:p>
          <w:p w14:paraId="68DB2F8C"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(60%)</w:t>
            </w:r>
          </w:p>
        </w:tc>
        <w:tc>
          <w:tcPr>
            <w:tcW w:w="906" w:type="dxa"/>
          </w:tcPr>
          <w:p w14:paraId="3BBBF7CF"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8</w:t>
            </w:r>
          </w:p>
          <w:p w14:paraId="351E93E5"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(62%)</w:t>
            </w:r>
          </w:p>
        </w:tc>
        <w:tc>
          <w:tcPr>
            <w:tcW w:w="906" w:type="dxa"/>
          </w:tcPr>
          <w:p w14:paraId="711C8DE8"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8</w:t>
            </w:r>
          </w:p>
          <w:p w14:paraId="6F7CF5B0"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(57%)</w:t>
            </w:r>
          </w:p>
        </w:tc>
      </w:tr>
      <w:tr w:rsidR="00922AE3" w:rsidRPr="00467494" w14:paraId="646C2B02" w14:textId="77777777" w:rsidTr="000F2891">
        <w:tc>
          <w:tcPr>
            <w:tcW w:w="2689" w:type="dxa"/>
          </w:tcPr>
          <w:p w14:paraId="6507FA8C" w14:textId="77777777" w:rsidR="00922AE3" w:rsidRPr="00467494" w:rsidRDefault="00922AE3" w:rsidP="000F2891">
            <w:pPr>
              <w:pStyle w:val="NoSpacing"/>
              <w:rPr>
                <w:rFonts w:ascii="Arial" w:hAnsi="Arial" w:cs="Arial"/>
                <w:lang w:val="en-US"/>
              </w:rPr>
            </w:pPr>
            <w:r w:rsidRPr="00467494">
              <w:rPr>
                <w:rFonts w:ascii="Arial" w:hAnsi="Arial" w:cs="Arial"/>
                <w:b/>
                <w:bCs/>
                <w:lang w:val="en-US"/>
              </w:rPr>
              <w:t>Outflow</w:t>
            </w:r>
            <w:r w:rsidRPr="00467494">
              <w:rPr>
                <w:rFonts w:ascii="Arial" w:hAnsi="Arial" w:cs="Arial"/>
                <w:lang w:val="en-US"/>
              </w:rPr>
              <w:t xml:space="preserve"> (n</w:t>
            </w:r>
            <w:r w:rsidRPr="00467494">
              <w:rPr>
                <w:rFonts w:ascii="Arial" w:hAnsi="Arial" w:cs="Arial"/>
                <w:vertAlign w:val="subscript"/>
                <w:lang w:val="en-US"/>
              </w:rPr>
              <w:t>0.06</w:t>
            </w:r>
            <w:r w:rsidRPr="00467494">
              <w:rPr>
                <w:rFonts w:ascii="Arial" w:hAnsi="Arial" w:cs="Arial"/>
                <w:lang w:val="en-US"/>
              </w:rPr>
              <w:t xml:space="preserve"> = 11, n</w:t>
            </w:r>
            <w:r w:rsidRPr="00467494">
              <w:rPr>
                <w:rFonts w:ascii="Arial" w:hAnsi="Arial" w:cs="Arial"/>
                <w:vertAlign w:val="subscript"/>
                <w:lang w:val="en-US"/>
              </w:rPr>
              <w:t>0.12</w:t>
            </w:r>
            <w:r w:rsidRPr="00467494">
              <w:rPr>
                <w:rFonts w:ascii="Arial" w:hAnsi="Arial" w:cs="Arial"/>
                <w:lang w:val="en-US"/>
              </w:rPr>
              <w:t xml:space="preserve"> = 9)</w:t>
            </w:r>
          </w:p>
        </w:tc>
        <w:tc>
          <w:tcPr>
            <w:tcW w:w="1052" w:type="dxa"/>
          </w:tcPr>
          <w:p w14:paraId="7E23C3B1"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w:t>
            </w:r>
          </w:p>
          <w:p w14:paraId="3D1760A7"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(9%)</w:t>
            </w:r>
          </w:p>
        </w:tc>
        <w:tc>
          <w:tcPr>
            <w:tcW w:w="906" w:type="dxa"/>
          </w:tcPr>
          <w:p w14:paraId="44E3AA2E"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w:t>
            </w:r>
          </w:p>
          <w:p w14:paraId="6D04736F"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(11%)</w:t>
            </w:r>
          </w:p>
        </w:tc>
        <w:tc>
          <w:tcPr>
            <w:tcW w:w="877" w:type="dxa"/>
          </w:tcPr>
          <w:p w14:paraId="5ECD6986"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w:t>
            </w:r>
          </w:p>
          <w:p w14:paraId="095631CB"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(10%)</w:t>
            </w:r>
          </w:p>
        </w:tc>
        <w:tc>
          <w:tcPr>
            <w:tcW w:w="935" w:type="dxa"/>
          </w:tcPr>
          <w:p w14:paraId="4AC0F2BE"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w:t>
            </w:r>
          </w:p>
          <w:p w14:paraId="672D2D20"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(45%)</w:t>
            </w:r>
          </w:p>
        </w:tc>
        <w:tc>
          <w:tcPr>
            <w:tcW w:w="906" w:type="dxa"/>
          </w:tcPr>
          <w:p w14:paraId="4B29171D"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2</w:t>
            </w:r>
          </w:p>
          <w:p w14:paraId="0268A25C"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(22%)</w:t>
            </w:r>
          </w:p>
        </w:tc>
        <w:tc>
          <w:tcPr>
            <w:tcW w:w="852" w:type="dxa"/>
          </w:tcPr>
          <w:p w14:paraId="03294957"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3</w:t>
            </w:r>
          </w:p>
          <w:p w14:paraId="61EF3EA3"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(30%)</w:t>
            </w:r>
          </w:p>
        </w:tc>
        <w:tc>
          <w:tcPr>
            <w:tcW w:w="960" w:type="dxa"/>
          </w:tcPr>
          <w:p w14:paraId="3242CE40"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4</w:t>
            </w:r>
          </w:p>
          <w:p w14:paraId="47EF33AF"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(36%)</w:t>
            </w:r>
          </w:p>
        </w:tc>
        <w:tc>
          <w:tcPr>
            <w:tcW w:w="906" w:type="dxa"/>
          </w:tcPr>
          <w:p w14:paraId="3E9E9086"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w:t>
            </w:r>
          </w:p>
          <w:p w14:paraId="641B3740"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(56%)</w:t>
            </w:r>
          </w:p>
        </w:tc>
        <w:tc>
          <w:tcPr>
            <w:tcW w:w="906" w:type="dxa"/>
          </w:tcPr>
          <w:p w14:paraId="03237289"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w:t>
            </w:r>
          </w:p>
          <w:p w14:paraId="01EDB4E9"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(50%)</w:t>
            </w:r>
          </w:p>
        </w:tc>
        <w:tc>
          <w:tcPr>
            <w:tcW w:w="906" w:type="dxa"/>
          </w:tcPr>
          <w:p w14:paraId="1741F889"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7</w:t>
            </w:r>
          </w:p>
          <w:p w14:paraId="58E8587C"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(64%)</w:t>
            </w:r>
          </w:p>
        </w:tc>
        <w:tc>
          <w:tcPr>
            <w:tcW w:w="906" w:type="dxa"/>
          </w:tcPr>
          <w:p w14:paraId="64977284"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w:t>
            </w:r>
          </w:p>
          <w:p w14:paraId="2111280B"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(56%)</w:t>
            </w:r>
          </w:p>
        </w:tc>
        <w:tc>
          <w:tcPr>
            <w:tcW w:w="906" w:type="dxa"/>
          </w:tcPr>
          <w:p w14:paraId="2A39EBAA"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6</w:t>
            </w:r>
          </w:p>
          <w:p w14:paraId="0B129F0B"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(60%)</w:t>
            </w:r>
          </w:p>
        </w:tc>
      </w:tr>
      <w:tr w:rsidR="00922AE3" w:rsidRPr="00467494" w14:paraId="6101F25F" w14:textId="77777777" w:rsidTr="000F2891">
        <w:tc>
          <w:tcPr>
            <w:tcW w:w="2689" w:type="dxa"/>
          </w:tcPr>
          <w:p w14:paraId="24BAC68B" w14:textId="77777777" w:rsidR="00922AE3" w:rsidRPr="00467494" w:rsidRDefault="00922AE3" w:rsidP="000F2891">
            <w:pPr>
              <w:pStyle w:val="NoSpacing"/>
              <w:rPr>
                <w:rFonts w:ascii="Arial" w:hAnsi="Arial" w:cs="Arial"/>
                <w:lang w:val="en-US"/>
              </w:rPr>
            </w:pPr>
            <w:r w:rsidRPr="00467494">
              <w:rPr>
                <w:rFonts w:ascii="Arial" w:hAnsi="Arial" w:cs="Arial"/>
                <w:b/>
                <w:bCs/>
                <w:lang w:val="en-US"/>
              </w:rPr>
              <w:t>Total</w:t>
            </w:r>
            <w:r w:rsidRPr="00467494">
              <w:rPr>
                <w:rFonts w:ascii="Arial" w:hAnsi="Arial" w:cs="Arial"/>
                <w:lang w:val="en-US"/>
              </w:rPr>
              <w:t xml:space="preserve"> (n</w:t>
            </w:r>
            <w:r w:rsidRPr="00467494">
              <w:rPr>
                <w:rFonts w:ascii="Arial" w:hAnsi="Arial" w:cs="Arial"/>
                <w:vertAlign w:val="subscript"/>
                <w:lang w:val="en-US"/>
              </w:rPr>
              <w:t>0.06</w:t>
            </w:r>
            <w:r w:rsidRPr="00467494">
              <w:rPr>
                <w:rFonts w:ascii="Arial" w:hAnsi="Arial" w:cs="Arial"/>
                <w:lang w:val="en-US"/>
              </w:rPr>
              <w:t xml:space="preserve"> = 34, n</w:t>
            </w:r>
            <w:r w:rsidRPr="00467494">
              <w:rPr>
                <w:rFonts w:ascii="Arial" w:hAnsi="Arial" w:cs="Arial"/>
                <w:vertAlign w:val="subscript"/>
                <w:lang w:val="en-US"/>
              </w:rPr>
              <w:t>0.12</w:t>
            </w:r>
            <w:r w:rsidRPr="00467494">
              <w:rPr>
                <w:rFonts w:ascii="Arial" w:hAnsi="Arial" w:cs="Arial"/>
                <w:lang w:val="en-US"/>
              </w:rPr>
              <w:t xml:space="preserve"> = 31)</w:t>
            </w:r>
          </w:p>
        </w:tc>
        <w:tc>
          <w:tcPr>
            <w:tcW w:w="1052" w:type="dxa"/>
          </w:tcPr>
          <w:p w14:paraId="2C5F7BAB"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w:t>
            </w:r>
          </w:p>
          <w:p w14:paraId="6618194C"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(18%)</w:t>
            </w:r>
          </w:p>
        </w:tc>
        <w:tc>
          <w:tcPr>
            <w:tcW w:w="906" w:type="dxa"/>
          </w:tcPr>
          <w:p w14:paraId="458F7211"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6</w:t>
            </w:r>
          </w:p>
          <w:p w14:paraId="2B17E0E0"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(19%)</w:t>
            </w:r>
          </w:p>
        </w:tc>
        <w:tc>
          <w:tcPr>
            <w:tcW w:w="877" w:type="dxa"/>
          </w:tcPr>
          <w:p w14:paraId="4E1ABE07"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w:t>
            </w:r>
          </w:p>
          <w:p w14:paraId="72F8E569"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(16%)</w:t>
            </w:r>
          </w:p>
        </w:tc>
        <w:tc>
          <w:tcPr>
            <w:tcW w:w="935" w:type="dxa"/>
          </w:tcPr>
          <w:p w14:paraId="5185E94D"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8</w:t>
            </w:r>
          </w:p>
          <w:p w14:paraId="19540811"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(24%)</w:t>
            </w:r>
          </w:p>
        </w:tc>
        <w:tc>
          <w:tcPr>
            <w:tcW w:w="906" w:type="dxa"/>
          </w:tcPr>
          <w:p w14:paraId="47C62687"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7</w:t>
            </w:r>
          </w:p>
          <w:p w14:paraId="17C0E548"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(23%)</w:t>
            </w:r>
          </w:p>
        </w:tc>
        <w:tc>
          <w:tcPr>
            <w:tcW w:w="852" w:type="dxa"/>
          </w:tcPr>
          <w:p w14:paraId="5E28C5A2"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8</w:t>
            </w:r>
          </w:p>
          <w:p w14:paraId="5D32C6D2"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(25%)</w:t>
            </w:r>
          </w:p>
        </w:tc>
        <w:tc>
          <w:tcPr>
            <w:tcW w:w="960" w:type="dxa"/>
          </w:tcPr>
          <w:p w14:paraId="00024082"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11</w:t>
            </w:r>
          </w:p>
          <w:p w14:paraId="71716303"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(32%)</w:t>
            </w:r>
          </w:p>
        </w:tc>
        <w:tc>
          <w:tcPr>
            <w:tcW w:w="906" w:type="dxa"/>
          </w:tcPr>
          <w:p w14:paraId="25F0553E"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14</w:t>
            </w:r>
          </w:p>
          <w:p w14:paraId="1002E333"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(45%)</w:t>
            </w:r>
          </w:p>
        </w:tc>
        <w:tc>
          <w:tcPr>
            <w:tcW w:w="906" w:type="dxa"/>
          </w:tcPr>
          <w:p w14:paraId="59D2CD6E"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14</w:t>
            </w:r>
          </w:p>
          <w:p w14:paraId="071FCDC1"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(44%)</w:t>
            </w:r>
          </w:p>
        </w:tc>
        <w:tc>
          <w:tcPr>
            <w:tcW w:w="906" w:type="dxa"/>
          </w:tcPr>
          <w:p w14:paraId="6A2521F4"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20</w:t>
            </w:r>
          </w:p>
          <w:p w14:paraId="2D947A5D"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(59%)</w:t>
            </w:r>
          </w:p>
        </w:tc>
        <w:tc>
          <w:tcPr>
            <w:tcW w:w="906" w:type="dxa"/>
          </w:tcPr>
          <w:p w14:paraId="34270AC4"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17</w:t>
            </w:r>
          </w:p>
          <w:p w14:paraId="58D4D7E5"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(55%)</w:t>
            </w:r>
          </w:p>
        </w:tc>
        <w:tc>
          <w:tcPr>
            <w:tcW w:w="906" w:type="dxa"/>
          </w:tcPr>
          <w:p w14:paraId="786B4C19"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18</w:t>
            </w:r>
          </w:p>
          <w:p w14:paraId="4753481A" w14:textId="77777777" w:rsidR="00922AE3" w:rsidRPr="00467494" w:rsidRDefault="00922AE3" w:rsidP="000F2891">
            <w:pPr>
              <w:pStyle w:val="NoSpacing"/>
              <w:jc w:val="center"/>
              <w:rPr>
                <w:rFonts w:ascii="Arial" w:hAnsi="Arial" w:cs="Arial"/>
                <w:lang w:val="en-US"/>
              </w:rPr>
            </w:pPr>
            <w:r w:rsidRPr="00467494">
              <w:rPr>
                <w:rFonts w:ascii="Arial" w:hAnsi="Arial" w:cs="Arial"/>
                <w:lang w:val="en-US"/>
              </w:rPr>
              <w:t>(56%)</w:t>
            </w:r>
          </w:p>
        </w:tc>
      </w:tr>
    </w:tbl>
    <w:p w14:paraId="22BC1A0E" w14:textId="77777777" w:rsidR="00922AE3" w:rsidRPr="00467494" w:rsidRDefault="00922AE3" w:rsidP="00922AE3">
      <w:pPr>
        <w:rPr>
          <w:rFonts w:ascii="Arial" w:hAnsi="Arial" w:cs="Arial"/>
        </w:rPr>
      </w:pPr>
      <w:r w:rsidRPr="00467494">
        <w:rPr>
          <w:rFonts w:ascii="Arial" w:hAnsi="Arial" w:cs="Arial"/>
        </w:rPr>
        <w:t xml:space="preserve"> CFA; common femoral artery, n</w:t>
      </w:r>
      <w:r w:rsidRPr="00467494">
        <w:rPr>
          <w:rFonts w:ascii="Arial" w:hAnsi="Arial" w:cs="Arial"/>
          <w:vertAlign w:val="subscript"/>
        </w:rPr>
        <w:t>0.06</w:t>
      </w:r>
      <w:r w:rsidRPr="00467494">
        <w:rPr>
          <w:rFonts w:ascii="Arial" w:hAnsi="Arial" w:cs="Arial"/>
        </w:rPr>
        <w:t>;</w:t>
      </w:r>
      <w:r w:rsidRPr="00467494">
        <w:rPr>
          <w:rFonts w:ascii="Arial" w:hAnsi="Arial" w:cs="Arial"/>
          <w:vertAlign w:val="subscript"/>
        </w:rPr>
        <w:t xml:space="preserve"> </w:t>
      </w:r>
      <w:r w:rsidRPr="00467494">
        <w:rPr>
          <w:rFonts w:ascii="Arial" w:hAnsi="Arial" w:cs="Arial"/>
        </w:rPr>
        <w:t>number of measurements with an MI of 0.06, n</w:t>
      </w:r>
      <w:r w:rsidRPr="00467494">
        <w:rPr>
          <w:rFonts w:ascii="Arial" w:hAnsi="Arial" w:cs="Arial"/>
          <w:vertAlign w:val="subscript"/>
        </w:rPr>
        <w:t>0.12</w:t>
      </w:r>
      <w:r w:rsidRPr="00467494">
        <w:rPr>
          <w:rFonts w:ascii="Arial" w:hAnsi="Arial" w:cs="Arial"/>
        </w:rPr>
        <w:t xml:space="preserve">; number of measurements with an MI of 0.12. </w:t>
      </w:r>
    </w:p>
    <w:p w14:paraId="2007A604" w14:textId="77777777" w:rsidR="00922AE3" w:rsidRDefault="00922AE3" w:rsidP="00922AE3">
      <w:pPr>
        <w:pStyle w:val="Caption"/>
        <w:spacing w:after="0" w:line="480" w:lineRule="auto"/>
        <w:rPr>
          <w:rFonts w:ascii="Arial" w:hAnsi="Arial" w:cs="Arial"/>
          <w:b/>
          <w:bCs/>
          <w:i w:val="0"/>
          <w:iCs w:val="0"/>
          <w:color w:val="auto"/>
          <w:sz w:val="22"/>
          <w:szCs w:val="22"/>
          <w:lang w:val="en-GB"/>
        </w:rPr>
      </w:pPr>
    </w:p>
    <w:p w14:paraId="20FCE7B0" w14:textId="77777777" w:rsidR="00922AE3" w:rsidRDefault="00922AE3" w:rsidP="00922AE3">
      <w:pPr>
        <w:pStyle w:val="Caption"/>
        <w:spacing w:after="0" w:line="480" w:lineRule="auto"/>
        <w:rPr>
          <w:rFonts w:ascii="Arial" w:hAnsi="Arial" w:cs="Arial"/>
          <w:b/>
          <w:bCs/>
          <w:i w:val="0"/>
          <w:iCs w:val="0"/>
          <w:color w:val="auto"/>
          <w:sz w:val="22"/>
          <w:szCs w:val="22"/>
          <w:lang w:val="en-GB"/>
        </w:rPr>
      </w:pPr>
      <w:r>
        <w:rPr>
          <w:rFonts w:ascii="Arial" w:hAnsi="Arial" w:cs="Arial"/>
          <w:b/>
          <w:bCs/>
          <w:i w:val="0"/>
          <w:iCs w:val="0"/>
          <w:color w:val="auto"/>
          <w:sz w:val="22"/>
          <w:szCs w:val="22"/>
          <w:lang w:val="en-GB"/>
        </w:rPr>
        <w:br w:type="page"/>
      </w:r>
    </w:p>
    <w:p w14:paraId="42FD335B" w14:textId="21511EDC" w:rsidR="00922AE3" w:rsidRDefault="00922AE3" w:rsidP="00922AE3">
      <w:pPr>
        <w:pStyle w:val="Caption"/>
        <w:spacing w:after="0" w:line="480" w:lineRule="auto"/>
        <w:rPr>
          <w:rFonts w:ascii="Arial" w:hAnsi="Arial" w:cs="Arial"/>
          <w:i w:val="0"/>
          <w:iCs w:val="0"/>
          <w:color w:val="auto"/>
          <w:sz w:val="22"/>
          <w:szCs w:val="22"/>
          <w:lang w:val="en-GB"/>
        </w:rPr>
      </w:pPr>
      <w:r w:rsidRPr="008214A4">
        <w:rPr>
          <w:rFonts w:ascii="Arial" w:hAnsi="Arial" w:cs="Arial"/>
          <w:b/>
          <w:bCs/>
          <w:i w:val="0"/>
          <w:iCs w:val="0"/>
          <w:color w:val="auto"/>
          <w:sz w:val="22"/>
          <w:szCs w:val="22"/>
          <w:lang w:val="en-GB"/>
        </w:rPr>
        <w:lastRenderedPageBreak/>
        <w:t xml:space="preserve">Figure S1. </w:t>
      </w:r>
      <w:r w:rsidRPr="008214A4">
        <w:rPr>
          <w:rFonts w:ascii="Arial" w:hAnsi="Arial" w:cs="Arial"/>
          <w:bCs/>
          <w:i w:val="0"/>
          <w:iCs w:val="0"/>
          <w:color w:val="auto"/>
          <w:sz w:val="22"/>
          <w:szCs w:val="22"/>
          <w:lang w:val="en-GB"/>
        </w:rPr>
        <w:t>Comparison of contrast-to-tissue ratio (CTR) (</w:t>
      </w:r>
      <w:r w:rsidRPr="008214A4">
        <w:rPr>
          <w:rFonts w:ascii="Arial" w:hAnsi="Arial" w:cs="Arial"/>
          <w:b/>
          <w:bCs/>
          <w:i w:val="0"/>
          <w:iCs w:val="0"/>
          <w:color w:val="auto"/>
          <w:sz w:val="22"/>
          <w:szCs w:val="22"/>
          <w:lang w:val="en-GB"/>
        </w:rPr>
        <w:t>a</w:t>
      </w:r>
      <w:r w:rsidRPr="008214A4">
        <w:rPr>
          <w:rFonts w:ascii="Arial" w:hAnsi="Arial" w:cs="Arial"/>
          <w:bCs/>
          <w:i w:val="0"/>
          <w:iCs w:val="0"/>
          <w:color w:val="auto"/>
          <w:sz w:val="22"/>
          <w:szCs w:val="22"/>
          <w:lang w:val="en-GB"/>
        </w:rPr>
        <w:t xml:space="preserve">, </w:t>
      </w:r>
      <w:r w:rsidRPr="008214A4">
        <w:rPr>
          <w:rFonts w:ascii="Arial" w:hAnsi="Arial" w:cs="Arial"/>
          <w:b/>
          <w:bCs/>
          <w:i w:val="0"/>
          <w:iCs w:val="0"/>
          <w:color w:val="auto"/>
          <w:sz w:val="22"/>
          <w:szCs w:val="22"/>
          <w:lang w:val="en-GB"/>
        </w:rPr>
        <w:t>b</w:t>
      </w:r>
      <w:r w:rsidRPr="008214A4">
        <w:rPr>
          <w:rFonts w:ascii="Arial" w:hAnsi="Arial" w:cs="Arial"/>
          <w:bCs/>
          <w:i w:val="0"/>
          <w:iCs w:val="0"/>
          <w:color w:val="auto"/>
          <w:sz w:val="22"/>
          <w:szCs w:val="22"/>
          <w:lang w:val="en-GB"/>
        </w:rPr>
        <w:t xml:space="preserve">, </w:t>
      </w:r>
      <w:r w:rsidRPr="008214A4">
        <w:rPr>
          <w:rFonts w:ascii="Arial" w:hAnsi="Arial" w:cs="Arial"/>
          <w:b/>
          <w:bCs/>
          <w:i w:val="0"/>
          <w:iCs w:val="0"/>
          <w:color w:val="auto"/>
          <w:sz w:val="22"/>
          <w:szCs w:val="22"/>
          <w:lang w:val="en-GB"/>
        </w:rPr>
        <w:t>c</w:t>
      </w:r>
      <w:r w:rsidRPr="008214A4">
        <w:rPr>
          <w:rFonts w:ascii="Arial" w:hAnsi="Arial" w:cs="Arial"/>
          <w:bCs/>
          <w:i w:val="0"/>
          <w:iCs w:val="0"/>
          <w:color w:val="auto"/>
          <w:sz w:val="22"/>
          <w:szCs w:val="22"/>
          <w:lang w:val="en-GB"/>
        </w:rPr>
        <w:t>) and vector correlation (</w:t>
      </w:r>
      <w:r w:rsidRPr="008214A4">
        <w:rPr>
          <w:rFonts w:ascii="Arial" w:hAnsi="Arial" w:cs="Arial"/>
          <w:b/>
          <w:bCs/>
          <w:i w:val="0"/>
          <w:iCs w:val="0"/>
          <w:color w:val="auto"/>
          <w:sz w:val="22"/>
          <w:szCs w:val="22"/>
          <w:lang w:val="en-GB"/>
        </w:rPr>
        <w:t>d</w:t>
      </w:r>
      <w:r w:rsidRPr="008214A4">
        <w:rPr>
          <w:rFonts w:ascii="Arial" w:hAnsi="Arial" w:cs="Arial"/>
          <w:bCs/>
          <w:i w:val="0"/>
          <w:iCs w:val="0"/>
          <w:color w:val="auto"/>
          <w:sz w:val="22"/>
          <w:szCs w:val="22"/>
          <w:lang w:val="en-GB"/>
        </w:rPr>
        <w:t xml:space="preserve">, </w:t>
      </w:r>
      <w:r w:rsidRPr="008214A4">
        <w:rPr>
          <w:rFonts w:ascii="Arial" w:hAnsi="Arial" w:cs="Arial"/>
          <w:b/>
          <w:bCs/>
          <w:i w:val="0"/>
          <w:iCs w:val="0"/>
          <w:color w:val="auto"/>
          <w:sz w:val="22"/>
          <w:szCs w:val="22"/>
          <w:lang w:val="en-GB"/>
        </w:rPr>
        <w:t>e</w:t>
      </w:r>
      <w:r w:rsidRPr="008214A4">
        <w:rPr>
          <w:rFonts w:ascii="Arial" w:hAnsi="Arial" w:cs="Arial"/>
          <w:bCs/>
          <w:i w:val="0"/>
          <w:iCs w:val="0"/>
          <w:color w:val="auto"/>
          <w:sz w:val="22"/>
          <w:szCs w:val="22"/>
          <w:lang w:val="en-GB"/>
        </w:rPr>
        <w:t xml:space="preserve">, </w:t>
      </w:r>
      <w:r w:rsidRPr="008214A4">
        <w:rPr>
          <w:rFonts w:ascii="Arial" w:hAnsi="Arial" w:cs="Arial"/>
          <w:b/>
          <w:bCs/>
          <w:i w:val="0"/>
          <w:iCs w:val="0"/>
          <w:color w:val="auto"/>
          <w:sz w:val="22"/>
          <w:szCs w:val="22"/>
          <w:lang w:val="en-GB"/>
        </w:rPr>
        <w:t>f</w:t>
      </w:r>
      <w:r w:rsidRPr="008214A4">
        <w:rPr>
          <w:rFonts w:ascii="Arial" w:hAnsi="Arial" w:cs="Arial"/>
          <w:bCs/>
          <w:i w:val="0"/>
          <w:iCs w:val="0"/>
          <w:color w:val="auto"/>
          <w:sz w:val="22"/>
          <w:szCs w:val="22"/>
          <w:lang w:val="en-GB"/>
        </w:rPr>
        <w:t>) between systole (purple) and diastole (green) per location for both mechanical indexes (MI).</w:t>
      </w:r>
      <w:r w:rsidRPr="008214A4">
        <w:rPr>
          <w:rFonts w:ascii="Arial" w:hAnsi="Arial" w:cs="Arial"/>
          <w:i w:val="0"/>
          <w:iCs w:val="0"/>
          <w:color w:val="auto"/>
          <w:sz w:val="22"/>
          <w:szCs w:val="22"/>
          <w:lang w:val="en-GB"/>
        </w:rPr>
        <w:t xml:space="preserve"> Edges of the boxes indicate the 25th (Q1) and 75th (Q3) percentiles, whereas whiskers give the minimum and maximum values. Outliers are presented as crosses. The values corresponding to measurements assigned as “loss of contrast” by the observers are highlighted with a diamond shape.* </w:t>
      </w:r>
      <w:r w:rsidRPr="008214A4">
        <w:rPr>
          <w:rFonts w:ascii="Arial" w:hAnsi="Arial" w:cs="Arial"/>
          <w:iCs w:val="0"/>
          <w:color w:val="auto"/>
          <w:sz w:val="22"/>
          <w:szCs w:val="22"/>
          <w:lang w:val="en-GB"/>
        </w:rPr>
        <w:t>p</w:t>
      </w:r>
      <w:r w:rsidRPr="008214A4">
        <w:rPr>
          <w:rFonts w:ascii="Arial" w:hAnsi="Arial" w:cs="Arial"/>
          <w:i w:val="0"/>
          <w:iCs w:val="0"/>
          <w:color w:val="auto"/>
          <w:sz w:val="22"/>
          <w:szCs w:val="22"/>
          <w:lang w:val="en-GB"/>
        </w:rPr>
        <w:t xml:space="preserve"> &lt; 0.05, </w:t>
      </w:r>
      <w:r w:rsidRPr="008214A4">
        <w:rPr>
          <w:rFonts w:ascii="Arial" w:hAnsi="Arial" w:cs="Arial"/>
          <w:iCs w:val="0"/>
          <w:color w:val="auto"/>
          <w:sz w:val="22"/>
          <w:szCs w:val="22"/>
          <w:lang w:val="en-GB"/>
        </w:rPr>
        <w:t>ns</w:t>
      </w:r>
      <w:r w:rsidRPr="008214A4">
        <w:rPr>
          <w:rFonts w:ascii="Arial" w:hAnsi="Arial" w:cs="Arial"/>
          <w:i w:val="0"/>
          <w:iCs w:val="0"/>
          <w:color w:val="auto"/>
          <w:sz w:val="22"/>
          <w:szCs w:val="22"/>
          <w:lang w:val="en-GB"/>
        </w:rPr>
        <w:t xml:space="preserve"> Not significant, </w:t>
      </w:r>
      <w:r w:rsidRPr="008214A4">
        <w:rPr>
          <w:rFonts w:ascii="Arial" w:hAnsi="Arial" w:cs="Arial"/>
          <w:iCs w:val="0"/>
          <w:color w:val="auto"/>
          <w:sz w:val="22"/>
          <w:szCs w:val="22"/>
          <w:lang w:val="en-GB"/>
        </w:rPr>
        <w:t>0.06</w:t>
      </w:r>
      <w:r w:rsidRPr="008214A4">
        <w:rPr>
          <w:rFonts w:ascii="Arial" w:hAnsi="Arial" w:cs="Arial"/>
          <w:i w:val="0"/>
          <w:iCs w:val="0"/>
          <w:color w:val="auto"/>
          <w:sz w:val="22"/>
          <w:szCs w:val="22"/>
          <w:lang w:val="en-GB"/>
        </w:rPr>
        <w:t xml:space="preserve"> Measurements with an MI of 0.06, </w:t>
      </w:r>
      <w:r w:rsidRPr="008214A4">
        <w:rPr>
          <w:rFonts w:ascii="Arial" w:hAnsi="Arial" w:cs="Arial"/>
          <w:iCs w:val="0"/>
          <w:color w:val="auto"/>
          <w:sz w:val="22"/>
          <w:szCs w:val="22"/>
          <w:lang w:val="en-GB"/>
        </w:rPr>
        <w:t>0.12</w:t>
      </w:r>
      <w:r w:rsidRPr="008214A4">
        <w:rPr>
          <w:rFonts w:ascii="Arial" w:hAnsi="Arial" w:cs="Arial"/>
          <w:i w:val="0"/>
          <w:iCs w:val="0"/>
          <w:color w:val="auto"/>
          <w:sz w:val="22"/>
          <w:szCs w:val="22"/>
          <w:lang w:val="en-GB"/>
        </w:rPr>
        <w:t xml:space="preserve"> Measurements with an MI of 0.12  </w:t>
      </w:r>
    </w:p>
    <w:p w14:paraId="4019A22F" w14:textId="463B1937" w:rsidR="00922AE3" w:rsidRPr="00922AE3" w:rsidRDefault="00922AE3" w:rsidP="00922AE3">
      <w:pPr>
        <w:rPr>
          <w:lang w:val="en-GB"/>
        </w:rPr>
      </w:pPr>
      <w:r>
        <w:rPr>
          <w:noProof/>
        </w:rPr>
        <w:lastRenderedPageBreak/>
        <w:drawing>
          <wp:inline distT="0" distB="0" distL="0" distR="0" wp14:anchorId="121CF004" wp14:editId="32724CC7">
            <wp:extent cx="7933690" cy="5760720"/>
            <wp:effectExtent l="0" t="0" r="0" b="0"/>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3690" cy="5760720"/>
                    </a:xfrm>
                    <a:prstGeom prst="rect">
                      <a:avLst/>
                    </a:prstGeom>
                    <a:noFill/>
                    <a:ln>
                      <a:noFill/>
                    </a:ln>
                  </pic:spPr>
                </pic:pic>
              </a:graphicData>
            </a:graphic>
          </wp:inline>
        </w:drawing>
      </w:r>
    </w:p>
    <w:p w14:paraId="2D312609" w14:textId="5C57010C" w:rsidR="00922AE3" w:rsidRPr="00922AE3" w:rsidRDefault="00922AE3" w:rsidP="00922AE3">
      <w:pPr>
        <w:rPr>
          <w:rFonts w:ascii="Arial" w:hAnsi="Arial" w:cs="Arial"/>
          <w:b/>
          <w:bCs/>
          <w:lang w:val="en-GB"/>
        </w:rPr>
      </w:pPr>
      <w:r w:rsidRPr="00922AE3">
        <w:rPr>
          <w:rFonts w:ascii="Arial" w:hAnsi="Arial" w:cs="Arial"/>
          <w:b/>
          <w:bCs/>
          <w:lang w:val="en-GB"/>
        </w:rPr>
        <w:lastRenderedPageBreak/>
        <w:t>Supplementary video legends</w:t>
      </w:r>
    </w:p>
    <w:p w14:paraId="29B55DBE" w14:textId="77777777" w:rsidR="00922AE3" w:rsidRPr="00922AE3" w:rsidRDefault="00922AE3" w:rsidP="00922AE3">
      <w:pPr>
        <w:rPr>
          <w:lang w:val="en-GB"/>
        </w:rPr>
      </w:pPr>
    </w:p>
    <w:p w14:paraId="06A801BB" w14:textId="297B6022" w:rsidR="00922AE3" w:rsidRDefault="00922AE3" w:rsidP="00922AE3">
      <w:pPr>
        <w:pStyle w:val="Caption"/>
        <w:spacing w:after="0" w:line="480" w:lineRule="auto"/>
        <w:rPr>
          <w:rFonts w:ascii="Arial" w:hAnsi="Arial" w:cs="Arial"/>
          <w:i w:val="0"/>
          <w:iCs w:val="0"/>
          <w:color w:val="auto"/>
          <w:sz w:val="22"/>
          <w:szCs w:val="22"/>
          <w:lang w:val="en-GB"/>
        </w:rPr>
      </w:pPr>
      <w:r w:rsidRPr="008214A4">
        <w:rPr>
          <w:rFonts w:ascii="Arial" w:hAnsi="Arial" w:cs="Arial"/>
          <w:b/>
          <w:bCs/>
          <w:i w:val="0"/>
          <w:iCs w:val="0"/>
          <w:color w:val="auto"/>
          <w:sz w:val="22"/>
          <w:szCs w:val="22"/>
          <w:lang w:val="en-GB"/>
        </w:rPr>
        <w:t xml:space="preserve">Video 1. </w:t>
      </w:r>
      <w:r w:rsidRPr="008214A4">
        <w:rPr>
          <w:rFonts w:ascii="Arial" w:hAnsi="Arial" w:cs="Arial"/>
          <w:bCs/>
          <w:i w:val="0"/>
          <w:iCs w:val="0"/>
          <w:color w:val="auto"/>
          <w:sz w:val="22"/>
          <w:szCs w:val="22"/>
          <w:lang w:val="en-GB"/>
        </w:rPr>
        <w:t>EchoPIV recording (2.5 s, slowed down to 16 s) of the blood flow in the common femoral artery.</w:t>
      </w:r>
      <w:r w:rsidRPr="008214A4">
        <w:rPr>
          <w:rFonts w:ascii="Arial" w:hAnsi="Arial" w:cs="Arial"/>
          <w:i w:val="0"/>
          <w:iCs w:val="0"/>
          <w:color w:val="auto"/>
          <w:sz w:val="22"/>
          <w:szCs w:val="22"/>
          <w:lang w:val="en-GB"/>
        </w:rPr>
        <w:t xml:space="preserve"> Vector velocity data of about 3 heart cycles is presented, as indicated by the temporal velocity profile. Distal to the stenosis (azimuth = -2 mm) recirculating blood flow is visualized. The color and size of the vectors represent the flow velocities. Vectors based on a correlation &lt; 0.2 are given as red dots and considered to be erroneous. </w:t>
      </w:r>
    </w:p>
    <w:p w14:paraId="7D23C500" w14:textId="77777777" w:rsidR="00922AE3" w:rsidRPr="00922AE3" w:rsidRDefault="00922AE3" w:rsidP="00922AE3">
      <w:pPr>
        <w:rPr>
          <w:lang w:val="en-GB"/>
        </w:rPr>
      </w:pPr>
    </w:p>
    <w:p w14:paraId="765703F9" w14:textId="60498A3B" w:rsidR="00922AE3" w:rsidRDefault="00922AE3" w:rsidP="00922AE3">
      <w:pPr>
        <w:pStyle w:val="Caption"/>
        <w:spacing w:after="0" w:line="480" w:lineRule="auto"/>
        <w:rPr>
          <w:rFonts w:ascii="Arial" w:hAnsi="Arial" w:cs="Arial"/>
          <w:i w:val="0"/>
          <w:iCs w:val="0"/>
          <w:color w:val="auto"/>
          <w:sz w:val="22"/>
          <w:szCs w:val="22"/>
          <w:lang w:val="en-GB"/>
        </w:rPr>
      </w:pPr>
      <w:r w:rsidRPr="008214A4">
        <w:rPr>
          <w:rFonts w:ascii="Arial" w:hAnsi="Arial" w:cs="Arial"/>
          <w:b/>
          <w:bCs/>
          <w:i w:val="0"/>
          <w:iCs w:val="0"/>
          <w:color w:val="auto"/>
          <w:sz w:val="22"/>
          <w:szCs w:val="22"/>
          <w:lang w:val="en-GB"/>
        </w:rPr>
        <w:t xml:space="preserve">Video 2. </w:t>
      </w:r>
      <w:r w:rsidRPr="008214A4">
        <w:rPr>
          <w:rFonts w:ascii="Arial" w:hAnsi="Arial" w:cs="Arial"/>
          <w:bCs/>
          <w:i w:val="0"/>
          <w:iCs w:val="0"/>
          <w:color w:val="auto"/>
          <w:sz w:val="22"/>
          <w:szCs w:val="22"/>
          <w:lang w:val="en-GB"/>
        </w:rPr>
        <w:t>EchoPIV recording (2.5 s, slowed down to 16 s) of the blood flow in the common femoral artery.</w:t>
      </w:r>
      <w:r w:rsidRPr="008214A4">
        <w:rPr>
          <w:rFonts w:ascii="Arial" w:hAnsi="Arial" w:cs="Arial"/>
          <w:i w:val="0"/>
          <w:iCs w:val="0"/>
          <w:color w:val="auto"/>
          <w:sz w:val="22"/>
          <w:szCs w:val="22"/>
          <w:lang w:val="en-GB"/>
        </w:rPr>
        <w:t xml:space="preserve"> Vector velocity data of about 5 heart cycles is presented, as indicated by the temporal velocity profile. This patient presented with a cardiac arrhythmia. The color and size of the vectors represent the flow velocities. Vectors based on a correlation &lt; 0.2 are given as red dots and considered to be erroneous. </w:t>
      </w:r>
    </w:p>
    <w:p w14:paraId="0048F5BE" w14:textId="77777777" w:rsidR="00922AE3" w:rsidRPr="00922AE3" w:rsidRDefault="00922AE3" w:rsidP="00922AE3">
      <w:pPr>
        <w:rPr>
          <w:lang w:val="en-GB"/>
        </w:rPr>
      </w:pPr>
    </w:p>
    <w:p w14:paraId="03406BA2" w14:textId="0A083A9E" w:rsidR="00922AE3" w:rsidRDefault="00922AE3" w:rsidP="00922AE3">
      <w:pPr>
        <w:pStyle w:val="Caption"/>
        <w:spacing w:after="0" w:line="480" w:lineRule="auto"/>
        <w:rPr>
          <w:rFonts w:ascii="Arial" w:hAnsi="Arial" w:cs="Arial"/>
          <w:i w:val="0"/>
          <w:iCs w:val="0"/>
          <w:color w:val="auto"/>
          <w:sz w:val="22"/>
          <w:szCs w:val="22"/>
          <w:lang w:val="en-GB"/>
        </w:rPr>
      </w:pPr>
      <w:r w:rsidRPr="008214A4">
        <w:rPr>
          <w:rFonts w:ascii="Arial" w:hAnsi="Arial" w:cs="Arial"/>
          <w:b/>
          <w:bCs/>
          <w:i w:val="0"/>
          <w:iCs w:val="0"/>
          <w:color w:val="auto"/>
          <w:sz w:val="22"/>
          <w:szCs w:val="22"/>
          <w:lang w:val="en-GB"/>
        </w:rPr>
        <w:t xml:space="preserve">Video 3. </w:t>
      </w:r>
      <w:r w:rsidRPr="008214A4">
        <w:rPr>
          <w:rFonts w:ascii="Arial" w:hAnsi="Arial" w:cs="Arial"/>
          <w:bCs/>
          <w:i w:val="0"/>
          <w:iCs w:val="0"/>
          <w:color w:val="auto"/>
          <w:sz w:val="22"/>
          <w:szCs w:val="22"/>
          <w:lang w:val="en-GB"/>
        </w:rPr>
        <w:t>EchoPIV recording (2.5 s, slowed down to 16 s) of the blood flow in the common femoral artery.</w:t>
      </w:r>
      <w:r w:rsidRPr="008214A4">
        <w:rPr>
          <w:rFonts w:ascii="Arial" w:hAnsi="Arial" w:cs="Arial"/>
          <w:i w:val="0"/>
          <w:iCs w:val="0"/>
          <w:color w:val="auto"/>
          <w:sz w:val="22"/>
          <w:szCs w:val="22"/>
          <w:lang w:val="en-GB"/>
        </w:rPr>
        <w:t xml:space="preserve"> Vector velocity data of about 3 heart cycles is presented, as indicated by the temporal velocity profile. Velocities up to 120 cm/s are captured. The color and size of the vectors represent the flow velocities. Vectors based on a correlation &lt; 0.2 are given as red dots and considered to be erroneous. </w:t>
      </w:r>
    </w:p>
    <w:p w14:paraId="78BD628A" w14:textId="77777777" w:rsidR="00922AE3" w:rsidRPr="00922AE3" w:rsidRDefault="00922AE3" w:rsidP="00922AE3">
      <w:pPr>
        <w:rPr>
          <w:lang w:val="en-GB"/>
        </w:rPr>
      </w:pPr>
    </w:p>
    <w:p w14:paraId="596DE936" w14:textId="77777777" w:rsidR="00922AE3" w:rsidRPr="008214A4" w:rsidRDefault="00922AE3" w:rsidP="00922AE3">
      <w:pPr>
        <w:pStyle w:val="Caption"/>
        <w:spacing w:after="0" w:line="480" w:lineRule="auto"/>
        <w:rPr>
          <w:rFonts w:ascii="Arial" w:hAnsi="Arial" w:cs="Arial"/>
          <w:i w:val="0"/>
          <w:iCs w:val="0"/>
          <w:color w:val="auto"/>
          <w:sz w:val="22"/>
          <w:szCs w:val="22"/>
          <w:lang w:val="en-GB"/>
        </w:rPr>
      </w:pPr>
      <w:r w:rsidRPr="008214A4">
        <w:rPr>
          <w:rFonts w:ascii="Arial" w:hAnsi="Arial" w:cs="Arial"/>
          <w:b/>
          <w:bCs/>
          <w:i w:val="0"/>
          <w:iCs w:val="0"/>
          <w:color w:val="auto"/>
          <w:sz w:val="22"/>
          <w:szCs w:val="22"/>
          <w:lang w:val="en-GB"/>
        </w:rPr>
        <w:t xml:space="preserve">Video 4. </w:t>
      </w:r>
      <w:r w:rsidRPr="008214A4">
        <w:rPr>
          <w:rFonts w:ascii="Arial" w:hAnsi="Arial" w:cs="Arial"/>
          <w:bCs/>
          <w:i w:val="0"/>
          <w:iCs w:val="0"/>
          <w:color w:val="auto"/>
          <w:sz w:val="22"/>
          <w:szCs w:val="22"/>
          <w:lang w:val="en-GB"/>
        </w:rPr>
        <w:t>EchoPIV recording (2.5 s, slowed down to 16 s) of the blood flow in the common femoral artery.</w:t>
      </w:r>
      <w:r w:rsidRPr="008214A4">
        <w:rPr>
          <w:rFonts w:ascii="Arial" w:hAnsi="Arial" w:cs="Arial"/>
          <w:i w:val="0"/>
          <w:iCs w:val="0"/>
          <w:color w:val="auto"/>
          <w:sz w:val="22"/>
          <w:szCs w:val="22"/>
          <w:lang w:val="en-GB"/>
        </w:rPr>
        <w:t xml:space="preserve"> Vector velocity data of about 2 heart cycles is presented, as indicated by the temporal velocity profile. High and disturbed (out-of-plane) blood flow velocities, caused by a stenotic lesion (azimuth = -1), cannot be adequately captured (Fig. 4a). The color and size of the vectors represent the flow velocities. Vectors based on a correlation &lt; 0.2 are given as red dots and considered to be erroneous. </w:t>
      </w:r>
    </w:p>
    <w:p w14:paraId="6898A1C5" w14:textId="147A379F" w:rsidR="00922AE3" w:rsidRDefault="00922AE3" w:rsidP="00922AE3">
      <w:pPr>
        <w:pStyle w:val="Caption"/>
        <w:spacing w:after="0" w:line="480" w:lineRule="auto"/>
        <w:rPr>
          <w:rFonts w:ascii="Arial" w:hAnsi="Arial" w:cs="Arial"/>
          <w:i w:val="0"/>
          <w:iCs w:val="0"/>
          <w:color w:val="auto"/>
          <w:sz w:val="22"/>
          <w:szCs w:val="22"/>
          <w:lang w:val="en-GB"/>
        </w:rPr>
      </w:pPr>
      <w:r w:rsidRPr="008214A4">
        <w:rPr>
          <w:rFonts w:ascii="Arial" w:hAnsi="Arial" w:cs="Arial"/>
          <w:b/>
          <w:bCs/>
          <w:i w:val="0"/>
          <w:iCs w:val="0"/>
          <w:color w:val="auto"/>
          <w:sz w:val="22"/>
          <w:szCs w:val="22"/>
          <w:lang w:val="en-GB"/>
        </w:rPr>
        <w:lastRenderedPageBreak/>
        <w:t xml:space="preserve">Video 5. </w:t>
      </w:r>
      <w:r w:rsidRPr="008214A4">
        <w:rPr>
          <w:rFonts w:ascii="Arial" w:hAnsi="Arial" w:cs="Arial"/>
          <w:bCs/>
          <w:i w:val="0"/>
          <w:iCs w:val="0"/>
          <w:color w:val="auto"/>
          <w:sz w:val="22"/>
          <w:szCs w:val="22"/>
          <w:lang w:val="en-GB"/>
        </w:rPr>
        <w:t>EchoPIV recording (2.5 seconds, slowed down to 16 seconds) of the blood flow at the inflow of the stent in the superficial femoral artery.</w:t>
      </w:r>
      <w:r w:rsidRPr="008214A4">
        <w:rPr>
          <w:rFonts w:ascii="Arial" w:hAnsi="Arial" w:cs="Arial"/>
          <w:i w:val="0"/>
          <w:iCs w:val="0"/>
          <w:color w:val="auto"/>
          <w:sz w:val="22"/>
          <w:szCs w:val="22"/>
          <w:lang w:val="en-GB"/>
        </w:rPr>
        <w:t xml:space="preserve"> Vector velocity data of about 3 heart cycles is presented, as indicated by the temporal velocity profile. Only a short segment of the vessel (without the stent) is captured in the image plane (Fig. 4b). The color and size of the vectors represent the flow velocities. Vectors based on a correlation &lt; 0.2 are given as red dots and considered to be erroneous. </w:t>
      </w:r>
    </w:p>
    <w:p w14:paraId="2FB47DE5" w14:textId="77777777" w:rsidR="00922AE3" w:rsidRPr="00922AE3" w:rsidRDefault="00922AE3" w:rsidP="00922AE3">
      <w:pPr>
        <w:rPr>
          <w:lang w:val="en-GB"/>
        </w:rPr>
      </w:pPr>
    </w:p>
    <w:p w14:paraId="4282FBA7" w14:textId="3A4E7755" w:rsidR="00922AE3" w:rsidRDefault="00922AE3" w:rsidP="00922AE3">
      <w:pPr>
        <w:pStyle w:val="Caption"/>
        <w:spacing w:after="0" w:line="480" w:lineRule="auto"/>
        <w:rPr>
          <w:rFonts w:ascii="Arial" w:hAnsi="Arial" w:cs="Arial"/>
          <w:i w:val="0"/>
          <w:iCs w:val="0"/>
          <w:color w:val="auto"/>
          <w:sz w:val="22"/>
          <w:szCs w:val="22"/>
          <w:lang w:val="en-GB"/>
        </w:rPr>
      </w:pPr>
      <w:r w:rsidRPr="008214A4">
        <w:rPr>
          <w:rFonts w:ascii="Arial" w:hAnsi="Arial" w:cs="Arial"/>
          <w:b/>
          <w:bCs/>
          <w:i w:val="0"/>
          <w:iCs w:val="0"/>
          <w:color w:val="auto"/>
          <w:sz w:val="22"/>
          <w:szCs w:val="22"/>
          <w:lang w:val="en-GB"/>
        </w:rPr>
        <w:t xml:space="preserve">Video 6. </w:t>
      </w:r>
      <w:r w:rsidRPr="008214A4">
        <w:rPr>
          <w:rFonts w:ascii="Arial" w:hAnsi="Arial" w:cs="Arial"/>
          <w:bCs/>
          <w:i w:val="0"/>
          <w:iCs w:val="0"/>
          <w:color w:val="auto"/>
          <w:sz w:val="22"/>
          <w:szCs w:val="22"/>
          <w:lang w:val="en-GB"/>
        </w:rPr>
        <w:t>EchoPIV recording (2.5 s, slowed down to 16 s) of the blood flow at the inflow of the stent in the superficial femoral artery.</w:t>
      </w:r>
      <w:r w:rsidRPr="008214A4">
        <w:rPr>
          <w:rFonts w:ascii="Arial" w:hAnsi="Arial" w:cs="Arial"/>
          <w:i w:val="0"/>
          <w:iCs w:val="0"/>
          <w:color w:val="auto"/>
          <w:sz w:val="22"/>
          <w:szCs w:val="22"/>
          <w:lang w:val="en-GB"/>
        </w:rPr>
        <w:t xml:space="preserve"> Vector velocity data of about 3 heart cycles is presented, as indicated by the temporal velocity profile. A calcification (azimuth = from -5 to 0 mm) causes a shadow region at which the blood flow cannot be quantified throughout the entire cardiac cycle (Fig. 4c). The color and size of the vectors represent the flow velocities. Vectors based on a correlation &lt; 0.2 are given as red dots and considered to be erroneous. </w:t>
      </w:r>
    </w:p>
    <w:p w14:paraId="6F44DA1B" w14:textId="77777777" w:rsidR="00922AE3" w:rsidRPr="00922AE3" w:rsidRDefault="00922AE3" w:rsidP="00922AE3">
      <w:pPr>
        <w:rPr>
          <w:lang w:val="en-GB"/>
        </w:rPr>
      </w:pPr>
    </w:p>
    <w:p w14:paraId="35FCFD86" w14:textId="3F704308" w:rsidR="00922AE3" w:rsidRDefault="00922AE3" w:rsidP="00922AE3">
      <w:pPr>
        <w:pStyle w:val="Caption"/>
        <w:spacing w:after="0" w:line="480" w:lineRule="auto"/>
        <w:rPr>
          <w:rFonts w:ascii="Arial" w:hAnsi="Arial" w:cs="Arial"/>
          <w:i w:val="0"/>
          <w:iCs w:val="0"/>
          <w:color w:val="auto"/>
          <w:sz w:val="22"/>
          <w:szCs w:val="22"/>
          <w:lang w:val="en-GB"/>
        </w:rPr>
      </w:pPr>
      <w:r w:rsidRPr="008214A4">
        <w:rPr>
          <w:rFonts w:ascii="Arial" w:hAnsi="Arial" w:cs="Arial"/>
          <w:b/>
          <w:bCs/>
          <w:i w:val="0"/>
          <w:iCs w:val="0"/>
          <w:color w:val="auto"/>
          <w:sz w:val="22"/>
          <w:szCs w:val="22"/>
          <w:lang w:val="en-GB"/>
        </w:rPr>
        <w:t xml:space="preserve">Video 7. </w:t>
      </w:r>
      <w:r w:rsidRPr="008214A4">
        <w:rPr>
          <w:rFonts w:ascii="Arial" w:hAnsi="Arial" w:cs="Arial"/>
          <w:bCs/>
          <w:i w:val="0"/>
          <w:iCs w:val="0"/>
          <w:color w:val="auto"/>
          <w:sz w:val="22"/>
          <w:szCs w:val="22"/>
          <w:lang w:val="en-GB"/>
        </w:rPr>
        <w:t>EchoPIV recording (2.5 s, slowed down to 16 s) of the blood flow at the inflow of the stent in the superficial femoral artery.</w:t>
      </w:r>
      <w:r w:rsidRPr="008214A4">
        <w:rPr>
          <w:rFonts w:ascii="Arial" w:hAnsi="Arial" w:cs="Arial"/>
          <w:i w:val="0"/>
          <w:iCs w:val="0"/>
          <w:color w:val="auto"/>
          <w:sz w:val="22"/>
          <w:szCs w:val="22"/>
          <w:lang w:val="en-GB"/>
        </w:rPr>
        <w:t xml:space="preserve"> Vector velocity data of about 2 heart cycles is presented, as indicated by the temporal velocity profile. During diastole the microbubbles are destroyed due to the prolonged exposure time to ultrasound. Consequently, blood flow could not be visualized during this phase of the cardiac cycle (Fig. 4d). Vectors based on a correlation &lt; 0.2 are given as red dots and considered to be erroneous. </w:t>
      </w:r>
    </w:p>
    <w:p w14:paraId="50C8623F" w14:textId="77777777" w:rsidR="00922AE3" w:rsidRPr="00922AE3" w:rsidRDefault="00922AE3" w:rsidP="00922AE3">
      <w:pPr>
        <w:rPr>
          <w:lang w:val="en-GB"/>
        </w:rPr>
      </w:pPr>
    </w:p>
    <w:p w14:paraId="4596DEF0" w14:textId="77777777" w:rsidR="00922AE3" w:rsidRPr="008214A4" w:rsidRDefault="00922AE3" w:rsidP="00922AE3">
      <w:pPr>
        <w:pStyle w:val="Caption"/>
        <w:spacing w:after="0" w:line="480" w:lineRule="auto"/>
        <w:rPr>
          <w:rFonts w:ascii="Arial" w:hAnsi="Arial" w:cs="Arial"/>
          <w:i w:val="0"/>
          <w:iCs w:val="0"/>
          <w:color w:val="auto"/>
          <w:sz w:val="22"/>
          <w:szCs w:val="22"/>
          <w:lang w:val="en-GB"/>
        </w:rPr>
      </w:pPr>
      <w:r w:rsidRPr="008214A4">
        <w:rPr>
          <w:rFonts w:ascii="Arial" w:hAnsi="Arial" w:cs="Arial"/>
          <w:b/>
          <w:bCs/>
          <w:i w:val="0"/>
          <w:iCs w:val="0"/>
          <w:color w:val="auto"/>
          <w:sz w:val="22"/>
          <w:szCs w:val="22"/>
          <w:lang w:val="en-GB"/>
        </w:rPr>
        <w:t xml:space="preserve">Video 8. </w:t>
      </w:r>
      <w:r w:rsidRPr="008214A4">
        <w:rPr>
          <w:rFonts w:ascii="Arial" w:hAnsi="Arial" w:cs="Arial"/>
          <w:bCs/>
          <w:i w:val="0"/>
          <w:iCs w:val="0"/>
          <w:color w:val="auto"/>
          <w:sz w:val="22"/>
          <w:szCs w:val="22"/>
          <w:lang w:val="en-GB"/>
        </w:rPr>
        <w:t>B-mode contrast recording at the inflow region of the stent in the superficial femoral artery used to monitor contrast levels and as reference for the stent location.</w:t>
      </w:r>
      <w:r w:rsidRPr="008214A4">
        <w:rPr>
          <w:rFonts w:ascii="Arial" w:hAnsi="Arial" w:cs="Arial"/>
          <w:i w:val="0"/>
          <w:iCs w:val="0"/>
          <w:color w:val="auto"/>
          <w:sz w:val="22"/>
          <w:szCs w:val="22"/>
          <w:lang w:val="en-GB"/>
        </w:rPr>
        <w:t xml:space="preserve"> The proximal edge of the stent can be found around 5 mm azimuth. </w:t>
      </w:r>
    </w:p>
    <w:p w14:paraId="47F36E2F" w14:textId="326DEAA5" w:rsidR="00922AE3" w:rsidRDefault="00922AE3" w:rsidP="00922AE3">
      <w:pPr>
        <w:pStyle w:val="Caption"/>
        <w:spacing w:after="0" w:line="480" w:lineRule="auto"/>
        <w:rPr>
          <w:rFonts w:ascii="Arial" w:hAnsi="Arial" w:cs="Arial"/>
          <w:i w:val="0"/>
          <w:iCs w:val="0"/>
          <w:color w:val="auto"/>
          <w:sz w:val="22"/>
          <w:szCs w:val="22"/>
          <w:lang w:val="en-GB"/>
        </w:rPr>
      </w:pPr>
      <w:r w:rsidRPr="008214A4">
        <w:rPr>
          <w:rFonts w:ascii="Arial" w:hAnsi="Arial" w:cs="Arial"/>
          <w:b/>
          <w:bCs/>
          <w:i w:val="0"/>
          <w:iCs w:val="0"/>
          <w:color w:val="auto"/>
          <w:sz w:val="22"/>
          <w:szCs w:val="22"/>
          <w:lang w:val="en-GB"/>
        </w:rPr>
        <w:lastRenderedPageBreak/>
        <w:t xml:space="preserve">Video 9. </w:t>
      </w:r>
      <w:r w:rsidRPr="008214A4">
        <w:rPr>
          <w:rFonts w:ascii="Arial" w:hAnsi="Arial" w:cs="Arial"/>
          <w:bCs/>
          <w:i w:val="0"/>
          <w:iCs w:val="0"/>
          <w:color w:val="auto"/>
          <w:sz w:val="22"/>
          <w:szCs w:val="22"/>
          <w:lang w:val="en-GB"/>
        </w:rPr>
        <w:t>EchoPIV recording (2.5 s, slowed down to 16 s) of the blood flow at the inflow of the stent in the superficial femoral artery.</w:t>
      </w:r>
      <w:r w:rsidRPr="008214A4">
        <w:rPr>
          <w:rFonts w:ascii="Arial" w:hAnsi="Arial" w:cs="Arial"/>
          <w:i w:val="0"/>
          <w:iCs w:val="0"/>
          <w:color w:val="auto"/>
          <w:sz w:val="22"/>
          <w:szCs w:val="22"/>
          <w:lang w:val="en-GB"/>
        </w:rPr>
        <w:t xml:space="preserve"> Vector velocity data of about 2 heart cycles is presented, as indicated by the temporal velocity profile. The stent was placed in the proximal superficial femoral artery and thus the femoral bifurcation is imaged. The color and size of the vectors represent the flow velocities. Vectors based on a correlation &lt; 0.2 are given as red dots and considered to be erroneous.</w:t>
      </w:r>
    </w:p>
    <w:p w14:paraId="3DCF9B07" w14:textId="77777777" w:rsidR="00922AE3" w:rsidRPr="00922AE3" w:rsidRDefault="00922AE3" w:rsidP="00922AE3">
      <w:pPr>
        <w:rPr>
          <w:lang w:val="en-GB"/>
        </w:rPr>
      </w:pPr>
    </w:p>
    <w:p w14:paraId="60D6E879" w14:textId="607B2246" w:rsidR="00922AE3" w:rsidRDefault="00922AE3" w:rsidP="00922AE3">
      <w:pPr>
        <w:pStyle w:val="Caption"/>
        <w:spacing w:after="0" w:line="480" w:lineRule="auto"/>
        <w:rPr>
          <w:rFonts w:ascii="Arial" w:hAnsi="Arial" w:cs="Arial"/>
          <w:i w:val="0"/>
          <w:iCs w:val="0"/>
          <w:color w:val="auto"/>
          <w:sz w:val="22"/>
          <w:szCs w:val="22"/>
          <w:lang w:val="en-GB"/>
        </w:rPr>
      </w:pPr>
      <w:r w:rsidRPr="008214A4">
        <w:rPr>
          <w:rFonts w:ascii="Arial" w:hAnsi="Arial" w:cs="Arial"/>
          <w:b/>
          <w:bCs/>
          <w:i w:val="0"/>
          <w:iCs w:val="0"/>
          <w:color w:val="auto"/>
          <w:sz w:val="22"/>
          <w:szCs w:val="22"/>
          <w:lang w:val="en-GB"/>
        </w:rPr>
        <w:t xml:space="preserve">Video 10. </w:t>
      </w:r>
      <w:r w:rsidRPr="008214A4">
        <w:rPr>
          <w:rFonts w:ascii="Arial" w:hAnsi="Arial" w:cs="Arial"/>
          <w:bCs/>
          <w:i w:val="0"/>
          <w:iCs w:val="0"/>
          <w:color w:val="auto"/>
          <w:sz w:val="22"/>
          <w:szCs w:val="22"/>
          <w:lang w:val="en-GB"/>
        </w:rPr>
        <w:t>B-mode contrast recording at the outflow region of the stent in the superficial femoral artery used to monitor contrast levels and as reference for the stent location.</w:t>
      </w:r>
      <w:r w:rsidRPr="008214A4">
        <w:rPr>
          <w:rFonts w:ascii="Arial" w:hAnsi="Arial" w:cs="Arial"/>
          <w:i w:val="0"/>
          <w:iCs w:val="0"/>
          <w:color w:val="auto"/>
          <w:sz w:val="22"/>
          <w:szCs w:val="22"/>
          <w:lang w:val="en-GB"/>
        </w:rPr>
        <w:t xml:space="preserve"> The distal edge of the stent can be found around -5 mm azimuth. </w:t>
      </w:r>
    </w:p>
    <w:p w14:paraId="6EDEC340" w14:textId="77777777" w:rsidR="00922AE3" w:rsidRPr="00922AE3" w:rsidRDefault="00922AE3" w:rsidP="00922AE3">
      <w:pPr>
        <w:rPr>
          <w:lang w:val="en-GB"/>
        </w:rPr>
      </w:pPr>
    </w:p>
    <w:p w14:paraId="2FA15D46" w14:textId="77777777" w:rsidR="00922AE3" w:rsidRPr="008214A4" w:rsidRDefault="00922AE3" w:rsidP="00922AE3">
      <w:pPr>
        <w:pStyle w:val="Caption"/>
        <w:spacing w:after="0" w:line="480" w:lineRule="auto"/>
        <w:rPr>
          <w:rFonts w:ascii="Arial" w:hAnsi="Arial" w:cs="Arial"/>
          <w:i w:val="0"/>
          <w:iCs w:val="0"/>
          <w:color w:val="auto"/>
          <w:sz w:val="22"/>
          <w:szCs w:val="22"/>
          <w:lang w:val="en-GB"/>
        </w:rPr>
      </w:pPr>
      <w:r w:rsidRPr="008214A4">
        <w:rPr>
          <w:rFonts w:ascii="Arial" w:hAnsi="Arial" w:cs="Arial"/>
          <w:b/>
          <w:bCs/>
          <w:i w:val="0"/>
          <w:iCs w:val="0"/>
          <w:color w:val="auto"/>
          <w:sz w:val="22"/>
          <w:szCs w:val="22"/>
          <w:lang w:val="en-GB"/>
        </w:rPr>
        <w:t xml:space="preserve">Video 11. </w:t>
      </w:r>
      <w:r w:rsidRPr="008214A4">
        <w:rPr>
          <w:rFonts w:ascii="Arial" w:hAnsi="Arial" w:cs="Arial"/>
          <w:bCs/>
          <w:i w:val="0"/>
          <w:iCs w:val="0"/>
          <w:color w:val="auto"/>
          <w:sz w:val="22"/>
          <w:szCs w:val="22"/>
          <w:lang w:val="en-GB"/>
        </w:rPr>
        <w:t>EchoPIV recording (2.5 s, slowed down to 16 s) of the blood flow at the outflow of the stent in the superficial femoral artery.</w:t>
      </w:r>
      <w:r w:rsidRPr="008214A4">
        <w:rPr>
          <w:rFonts w:ascii="Arial" w:hAnsi="Arial" w:cs="Arial"/>
          <w:i w:val="0"/>
          <w:iCs w:val="0"/>
          <w:color w:val="auto"/>
          <w:sz w:val="22"/>
          <w:szCs w:val="22"/>
          <w:lang w:val="en-GB"/>
        </w:rPr>
        <w:t xml:space="preserve"> Vector velocity data of about 3 heart cycles is presented, as indicated by the temporal velocity profile. Venous blood flow can be appreciated posterior to the superficial femoral artery. The color and size of the vectors represent the flow velocities. Vectors based on a correlation &lt; 0.2 are given as red dots and considered to be erroneous.</w:t>
      </w:r>
    </w:p>
    <w:p w14:paraId="06F3EEE6" w14:textId="77777777" w:rsidR="00922AE3" w:rsidRPr="00922AE3" w:rsidRDefault="00922AE3" w:rsidP="00195F85">
      <w:pPr>
        <w:pStyle w:val="NoSpacing"/>
        <w:rPr>
          <w:rFonts w:ascii="Arial" w:hAnsi="Arial" w:cs="Arial"/>
          <w:lang w:val="en-GB"/>
        </w:rPr>
      </w:pPr>
    </w:p>
    <w:sectPr w:rsidR="00922AE3" w:rsidRPr="00922AE3" w:rsidSect="00922AE3">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25995" w14:textId="77777777" w:rsidR="00A06E02" w:rsidRDefault="00A06E02" w:rsidP="00197668">
      <w:pPr>
        <w:spacing w:after="0" w:line="240" w:lineRule="auto"/>
      </w:pPr>
      <w:r>
        <w:separator/>
      </w:r>
    </w:p>
  </w:endnote>
  <w:endnote w:type="continuationSeparator" w:id="0">
    <w:p w14:paraId="634F74EE" w14:textId="77777777" w:rsidR="00A06E02" w:rsidRDefault="00A06E02" w:rsidP="0019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97B8F" w14:textId="1BC7F6A1" w:rsidR="00197668" w:rsidRPr="00197668" w:rsidRDefault="00197668">
    <w:pPr>
      <w:pStyle w:val="Footer"/>
      <w:rPr>
        <w:rFonts w:ascii="Arial" w:hAnsi="Arial" w:cs="Arial"/>
        <w:sz w:val="20"/>
        <w:szCs w:val="20"/>
        <w:lang w:val="en-GB"/>
      </w:rPr>
    </w:pPr>
    <w:r w:rsidRPr="00197668">
      <w:rPr>
        <w:rFonts w:ascii="Arial" w:hAnsi="Arial" w:cs="Arial"/>
        <w:sz w:val="20"/>
        <w:szCs w:val="20"/>
        <w:lang w:val="en-GB"/>
      </w:rPr>
      <w:t xml:space="preserve">Eur Radiol Exp (2022) van Helvert M, Engelhard S, Voorneveld J et al. </w:t>
    </w:r>
  </w:p>
  <w:p w14:paraId="6D1F5D90" w14:textId="77777777" w:rsidR="00197668" w:rsidRPr="00197668" w:rsidRDefault="0019766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89597" w14:textId="77777777" w:rsidR="00A06E02" w:rsidRDefault="00A06E02" w:rsidP="00197668">
      <w:pPr>
        <w:spacing w:after="0" w:line="240" w:lineRule="auto"/>
      </w:pPr>
      <w:r>
        <w:separator/>
      </w:r>
    </w:p>
  </w:footnote>
  <w:footnote w:type="continuationSeparator" w:id="0">
    <w:p w14:paraId="2D1D17D5" w14:textId="77777777" w:rsidR="00A06E02" w:rsidRDefault="00A06E02" w:rsidP="00197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85"/>
    <w:rsid w:val="00120C0D"/>
    <w:rsid w:val="00195F85"/>
    <w:rsid w:val="00197668"/>
    <w:rsid w:val="001C5EB7"/>
    <w:rsid w:val="00264866"/>
    <w:rsid w:val="002E77E0"/>
    <w:rsid w:val="0037733E"/>
    <w:rsid w:val="00420DCE"/>
    <w:rsid w:val="004B2777"/>
    <w:rsid w:val="00517D70"/>
    <w:rsid w:val="006B15A2"/>
    <w:rsid w:val="006C570E"/>
    <w:rsid w:val="007150C7"/>
    <w:rsid w:val="00733F71"/>
    <w:rsid w:val="00767A96"/>
    <w:rsid w:val="007A5D33"/>
    <w:rsid w:val="00812D3F"/>
    <w:rsid w:val="00857A8E"/>
    <w:rsid w:val="00922AE3"/>
    <w:rsid w:val="0099699E"/>
    <w:rsid w:val="00A06E02"/>
    <w:rsid w:val="00A32EF2"/>
    <w:rsid w:val="00B57695"/>
    <w:rsid w:val="00C21B2F"/>
    <w:rsid w:val="00D67104"/>
    <w:rsid w:val="00E2797E"/>
    <w:rsid w:val="00EE2729"/>
    <w:rsid w:val="00F31763"/>
    <w:rsid w:val="00FD6A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F85"/>
    <w:pPr>
      <w:spacing w:after="0" w:line="240" w:lineRule="auto"/>
    </w:pPr>
  </w:style>
  <w:style w:type="paragraph" w:styleId="Caption">
    <w:name w:val="caption"/>
    <w:basedOn w:val="Normal"/>
    <w:next w:val="Normal"/>
    <w:uiPriority w:val="35"/>
    <w:unhideWhenUsed/>
    <w:qFormat/>
    <w:rsid w:val="00922AE3"/>
    <w:pPr>
      <w:spacing w:after="200" w:line="240" w:lineRule="auto"/>
    </w:pPr>
    <w:rPr>
      <w:i/>
      <w:iCs/>
      <w:color w:val="44546A" w:themeColor="text2"/>
      <w:sz w:val="18"/>
      <w:szCs w:val="18"/>
    </w:rPr>
  </w:style>
  <w:style w:type="table" w:styleId="TableGrid">
    <w:name w:val="Table Grid"/>
    <w:basedOn w:val="TableNormal"/>
    <w:uiPriority w:val="39"/>
    <w:rsid w:val="00922AE3"/>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76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668"/>
  </w:style>
  <w:style w:type="paragraph" w:styleId="Footer">
    <w:name w:val="footer"/>
    <w:basedOn w:val="Normal"/>
    <w:link w:val="FooterChar"/>
    <w:uiPriority w:val="99"/>
    <w:unhideWhenUsed/>
    <w:rsid w:val="001976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F85"/>
    <w:pPr>
      <w:spacing w:after="0" w:line="240" w:lineRule="auto"/>
    </w:pPr>
  </w:style>
  <w:style w:type="paragraph" w:styleId="Caption">
    <w:name w:val="caption"/>
    <w:basedOn w:val="Normal"/>
    <w:next w:val="Normal"/>
    <w:uiPriority w:val="35"/>
    <w:unhideWhenUsed/>
    <w:qFormat/>
    <w:rsid w:val="00922AE3"/>
    <w:pPr>
      <w:spacing w:after="200" w:line="240" w:lineRule="auto"/>
    </w:pPr>
    <w:rPr>
      <w:i/>
      <w:iCs/>
      <w:color w:val="44546A" w:themeColor="text2"/>
      <w:sz w:val="18"/>
      <w:szCs w:val="18"/>
    </w:rPr>
  </w:style>
  <w:style w:type="table" w:styleId="TableGrid">
    <w:name w:val="Table Grid"/>
    <w:basedOn w:val="TableNormal"/>
    <w:uiPriority w:val="39"/>
    <w:rsid w:val="00922AE3"/>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76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668"/>
  </w:style>
  <w:style w:type="paragraph" w:styleId="Footer">
    <w:name w:val="footer"/>
    <w:basedOn w:val="Normal"/>
    <w:link w:val="FooterChar"/>
    <w:uiPriority w:val="99"/>
    <w:unhideWhenUsed/>
    <w:rsid w:val="001976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Helvert, Majorie van (UT-TNW)</dc:creator>
  <cp:keywords/>
  <dc:description/>
  <cp:lastModifiedBy>Orillana, Shelou</cp:lastModifiedBy>
  <cp:revision>9</cp:revision>
  <dcterms:created xsi:type="dcterms:W3CDTF">2022-04-01T06:23:00Z</dcterms:created>
  <dcterms:modified xsi:type="dcterms:W3CDTF">2022-06-21T10:34:00Z</dcterms:modified>
</cp:coreProperties>
</file>