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4A" w:rsidRDefault="0087034A" w:rsidP="0087034A">
      <w:pPr>
        <w:jc w:val="center"/>
        <w:rPr>
          <w:b/>
          <w:sz w:val="28"/>
        </w:rPr>
      </w:pPr>
    </w:p>
    <w:p w:rsidR="0087034A" w:rsidRDefault="0087034A" w:rsidP="0087034A">
      <w:pPr>
        <w:jc w:val="center"/>
        <w:rPr>
          <w:b/>
          <w:sz w:val="28"/>
        </w:rPr>
      </w:pPr>
      <w:r>
        <w:rPr>
          <w:b/>
          <w:sz w:val="28"/>
        </w:rPr>
        <w:t xml:space="preserve">Appendix: Supplementary </w:t>
      </w:r>
      <w:r w:rsidR="002A182A">
        <w:rPr>
          <w:b/>
          <w:sz w:val="28"/>
        </w:rPr>
        <w:t>A</w:t>
      </w:r>
      <w:r>
        <w:rPr>
          <w:b/>
          <w:sz w:val="28"/>
        </w:rPr>
        <w:t>nalyses</w:t>
      </w:r>
    </w:p>
    <w:p w:rsidR="002A182A" w:rsidRDefault="002A182A" w:rsidP="0087034A">
      <w:pPr>
        <w:jc w:val="center"/>
        <w:rPr>
          <w:b/>
          <w:sz w:val="28"/>
        </w:rPr>
      </w:pPr>
    </w:p>
    <w:p w:rsidR="0087034A" w:rsidRPr="0087034A" w:rsidRDefault="0087034A" w:rsidP="0087034A">
      <w:pPr>
        <w:rPr>
          <w:sz w:val="22"/>
          <w:szCs w:val="22"/>
        </w:rPr>
      </w:pPr>
      <w:r w:rsidRPr="0087034A">
        <w:rPr>
          <w:b/>
          <w:sz w:val="22"/>
          <w:szCs w:val="22"/>
        </w:rPr>
        <w:t>Article:</w:t>
      </w:r>
      <w:r w:rsidRPr="0087034A">
        <w:rPr>
          <w:sz w:val="22"/>
          <w:szCs w:val="22"/>
        </w:rPr>
        <w:t xml:space="preserve"> Relating Individual Differences in White Matter Pathways to Children’s Arithmetic Fluency: A Spherical Deconvolution Study</w:t>
      </w:r>
    </w:p>
    <w:p w:rsidR="0087034A" w:rsidRPr="0087034A" w:rsidRDefault="0087034A" w:rsidP="0087034A">
      <w:pPr>
        <w:rPr>
          <w:sz w:val="22"/>
          <w:szCs w:val="22"/>
          <w:lang w:val="nl-BE"/>
        </w:rPr>
      </w:pPr>
      <w:r w:rsidRPr="0087034A">
        <w:rPr>
          <w:b/>
          <w:sz w:val="22"/>
          <w:szCs w:val="22"/>
          <w:lang w:val="nl-BE"/>
        </w:rPr>
        <w:t xml:space="preserve">Authors: </w:t>
      </w:r>
      <w:r w:rsidRPr="0087034A">
        <w:rPr>
          <w:sz w:val="22"/>
          <w:szCs w:val="22"/>
          <w:lang w:val="nl-BE"/>
        </w:rPr>
        <w:t>Brecht Polspoel*, Maaike Vandermosten, &amp; Bert De Smedt</w:t>
      </w:r>
    </w:p>
    <w:p w:rsidR="0087034A" w:rsidRPr="0087034A" w:rsidRDefault="0087034A" w:rsidP="0087034A">
      <w:pPr>
        <w:rPr>
          <w:sz w:val="22"/>
          <w:szCs w:val="22"/>
        </w:rPr>
      </w:pPr>
      <w:r w:rsidRPr="0087034A">
        <w:rPr>
          <w:b/>
          <w:sz w:val="22"/>
          <w:szCs w:val="22"/>
        </w:rPr>
        <w:t>Journal:</w:t>
      </w:r>
      <w:r w:rsidR="00984EBB">
        <w:rPr>
          <w:sz w:val="22"/>
          <w:szCs w:val="22"/>
        </w:rPr>
        <w:t xml:space="preserve"> Brain Structure and</w:t>
      </w:r>
      <w:r w:rsidRPr="0087034A">
        <w:rPr>
          <w:sz w:val="22"/>
          <w:szCs w:val="22"/>
        </w:rPr>
        <w:t xml:space="preserve"> Function</w:t>
      </w:r>
    </w:p>
    <w:p w:rsidR="0087034A" w:rsidRDefault="0087034A" w:rsidP="0087034A">
      <w:pPr>
        <w:spacing w:after="0"/>
        <w:rPr>
          <w:sz w:val="22"/>
          <w:vertAlign w:val="superscript"/>
        </w:rPr>
      </w:pPr>
    </w:p>
    <w:p w:rsidR="0087034A" w:rsidRPr="00076606" w:rsidRDefault="0087034A" w:rsidP="0087034A">
      <w:pPr>
        <w:spacing w:after="0"/>
        <w:rPr>
          <w:sz w:val="22"/>
        </w:rPr>
      </w:pPr>
      <w:r w:rsidRPr="00076606">
        <w:rPr>
          <w:sz w:val="22"/>
          <w:vertAlign w:val="superscript"/>
        </w:rPr>
        <w:t>*</w:t>
      </w:r>
      <w:r w:rsidRPr="00076606">
        <w:rPr>
          <w:sz w:val="22"/>
        </w:rPr>
        <w:t xml:space="preserve"> Corresponding author’s current address:</w:t>
      </w:r>
    </w:p>
    <w:p w:rsidR="0087034A" w:rsidRPr="00076606" w:rsidRDefault="0087034A" w:rsidP="0087034A">
      <w:pPr>
        <w:spacing w:after="0"/>
        <w:rPr>
          <w:sz w:val="22"/>
        </w:rPr>
      </w:pPr>
      <w:r w:rsidRPr="00076606">
        <w:rPr>
          <w:sz w:val="22"/>
        </w:rPr>
        <w:t xml:space="preserve">Brecht </w:t>
      </w:r>
      <w:proofErr w:type="spellStart"/>
      <w:r w:rsidRPr="00076606">
        <w:rPr>
          <w:sz w:val="22"/>
        </w:rPr>
        <w:t>Polspoel</w:t>
      </w:r>
      <w:proofErr w:type="spellEnd"/>
    </w:p>
    <w:p w:rsidR="0087034A" w:rsidRPr="00076606" w:rsidRDefault="0087034A" w:rsidP="0087034A">
      <w:pPr>
        <w:spacing w:after="0"/>
        <w:rPr>
          <w:sz w:val="22"/>
        </w:rPr>
      </w:pPr>
      <w:r w:rsidRPr="00076606">
        <w:rPr>
          <w:sz w:val="22"/>
        </w:rPr>
        <w:t>Parenting and Special Education Research Unit</w:t>
      </w:r>
    </w:p>
    <w:p w:rsidR="0087034A" w:rsidRPr="00076606" w:rsidRDefault="0087034A" w:rsidP="0087034A">
      <w:pPr>
        <w:spacing w:after="0"/>
        <w:rPr>
          <w:sz w:val="22"/>
          <w:lang w:val="nl-BE"/>
        </w:rPr>
      </w:pPr>
      <w:r w:rsidRPr="00076606">
        <w:rPr>
          <w:sz w:val="22"/>
          <w:lang w:val="nl-BE"/>
        </w:rPr>
        <w:t>Leopold Vanderkelenstraat 32, box 3765, 3000 Leuven, Belgium</w:t>
      </w:r>
    </w:p>
    <w:p w:rsidR="0087034A" w:rsidRPr="00076606" w:rsidRDefault="0087034A" w:rsidP="0087034A">
      <w:pPr>
        <w:spacing w:after="0"/>
        <w:rPr>
          <w:sz w:val="22"/>
          <w:lang w:val="nl-BE"/>
        </w:rPr>
      </w:pPr>
      <w:r w:rsidRPr="00076606">
        <w:rPr>
          <w:sz w:val="22"/>
          <w:lang w:val="nl-BE"/>
        </w:rPr>
        <w:t>0032 16 32 19 69</w:t>
      </w:r>
    </w:p>
    <w:p w:rsidR="0087034A" w:rsidRDefault="005D2636" w:rsidP="0087034A">
      <w:pPr>
        <w:spacing w:after="0"/>
        <w:rPr>
          <w:color w:val="0563C1" w:themeColor="hyperlink"/>
          <w:sz w:val="22"/>
          <w:u w:val="single"/>
        </w:rPr>
      </w:pPr>
      <w:hyperlink r:id="rId6" w:history="1">
        <w:r w:rsidR="0087034A" w:rsidRPr="00076606">
          <w:rPr>
            <w:color w:val="0563C1" w:themeColor="hyperlink"/>
            <w:sz w:val="22"/>
            <w:u w:val="single"/>
          </w:rPr>
          <w:t>brecht.polspoel@kuleuven.be</w:t>
        </w:r>
      </w:hyperlink>
    </w:p>
    <w:p w:rsidR="0087034A" w:rsidRDefault="0087034A">
      <w:pPr>
        <w:spacing w:after="160" w:line="259" w:lineRule="auto"/>
        <w:jc w:val="left"/>
        <w:rPr>
          <w:color w:val="0563C1" w:themeColor="hyperlink"/>
          <w:sz w:val="22"/>
          <w:u w:val="single"/>
        </w:rPr>
      </w:pPr>
      <w:r>
        <w:rPr>
          <w:color w:val="0563C1" w:themeColor="hyperlink"/>
          <w:sz w:val="22"/>
          <w:u w:val="single"/>
        </w:rPr>
        <w:br w:type="page"/>
      </w:r>
    </w:p>
    <w:p w:rsidR="009B6B00" w:rsidRDefault="005D2636" w:rsidP="00F60FA2">
      <w:pPr>
        <w:rPr>
          <w:b/>
          <w:sz w:val="22"/>
        </w:rPr>
      </w:pPr>
      <w:r w:rsidRPr="005D263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05pt;margin-top:0;width:493.2pt;height:205.6pt;z-index:251659264">
            <v:imagedata r:id="rId7" o:title="Comparison"/>
            <w10:wrap type="topAndBottom"/>
          </v:shape>
        </w:pict>
      </w:r>
    </w:p>
    <w:p w:rsidR="00F60FA2" w:rsidRPr="00F60FA2" w:rsidRDefault="00A17C3F" w:rsidP="00F60FA2">
      <w:pPr>
        <w:rPr>
          <w:sz w:val="22"/>
        </w:rPr>
      </w:pPr>
      <w:r w:rsidRPr="00A17C3F">
        <w:rPr>
          <w:b/>
          <w:sz w:val="22"/>
        </w:rPr>
        <w:t xml:space="preserve">Fig. </w:t>
      </w:r>
      <w:r w:rsidR="0015205E">
        <w:rPr>
          <w:b/>
          <w:sz w:val="22"/>
        </w:rPr>
        <w:t>1</w:t>
      </w:r>
      <w:r w:rsidR="00F60FA2" w:rsidRPr="00F60FA2">
        <w:rPr>
          <w:sz w:val="22"/>
        </w:rPr>
        <w:t xml:space="preserve"> Overview of the white matter pathways under study, delineated with spherical deconvolution (left) and classic DTI (right): in red the </w:t>
      </w:r>
      <w:proofErr w:type="spellStart"/>
      <w:r w:rsidR="00F60FA2" w:rsidRPr="00F60FA2">
        <w:rPr>
          <w:sz w:val="22"/>
        </w:rPr>
        <w:t>SLF</w:t>
      </w:r>
      <w:proofErr w:type="spellEnd"/>
      <w:r w:rsidR="00F60FA2" w:rsidRPr="00F60FA2">
        <w:rPr>
          <w:sz w:val="22"/>
        </w:rPr>
        <w:t xml:space="preserve"> I, </w:t>
      </w:r>
      <w:proofErr w:type="spellStart"/>
      <w:r w:rsidR="00F60FA2" w:rsidRPr="00F60FA2">
        <w:rPr>
          <w:sz w:val="22"/>
        </w:rPr>
        <w:t>SLF</w:t>
      </w:r>
      <w:proofErr w:type="spellEnd"/>
      <w:r w:rsidR="00F60FA2" w:rsidRPr="00F60FA2">
        <w:rPr>
          <w:sz w:val="22"/>
        </w:rPr>
        <w:t xml:space="preserve"> II, and </w:t>
      </w:r>
      <w:proofErr w:type="spellStart"/>
      <w:r w:rsidR="00F60FA2" w:rsidRPr="00F60FA2">
        <w:rPr>
          <w:sz w:val="22"/>
        </w:rPr>
        <w:t>SLF</w:t>
      </w:r>
      <w:proofErr w:type="spellEnd"/>
      <w:r w:rsidR="00F60FA2" w:rsidRPr="00F60FA2">
        <w:rPr>
          <w:sz w:val="22"/>
        </w:rPr>
        <w:t xml:space="preserve"> III; in fuchsia the AF; in yellow the </w:t>
      </w:r>
      <w:proofErr w:type="spellStart"/>
      <w:r w:rsidR="00F60FA2" w:rsidRPr="00F60FA2">
        <w:rPr>
          <w:sz w:val="22"/>
        </w:rPr>
        <w:t>IFOF</w:t>
      </w:r>
      <w:proofErr w:type="spellEnd"/>
      <w:r w:rsidR="00F60FA2" w:rsidRPr="00F60FA2">
        <w:rPr>
          <w:sz w:val="22"/>
        </w:rPr>
        <w:t xml:space="preserve">; in cyan the </w:t>
      </w:r>
      <w:proofErr w:type="spellStart"/>
      <w:r w:rsidR="00F60FA2" w:rsidRPr="00F60FA2">
        <w:rPr>
          <w:sz w:val="22"/>
        </w:rPr>
        <w:t>ILF</w:t>
      </w:r>
      <w:proofErr w:type="spellEnd"/>
      <w:r w:rsidR="00F60FA2" w:rsidRPr="00F60FA2">
        <w:rPr>
          <w:sz w:val="22"/>
        </w:rPr>
        <w:t xml:space="preserve">; </w:t>
      </w:r>
      <w:r>
        <w:rPr>
          <w:sz w:val="22"/>
        </w:rPr>
        <w:t xml:space="preserve">in green the </w:t>
      </w:r>
      <w:proofErr w:type="spellStart"/>
      <w:r>
        <w:rPr>
          <w:sz w:val="22"/>
        </w:rPr>
        <w:t>UF</w:t>
      </w:r>
      <w:proofErr w:type="spellEnd"/>
      <w:r>
        <w:rPr>
          <w:sz w:val="22"/>
        </w:rPr>
        <w:t>; in blue the CR</w:t>
      </w:r>
    </w:p>
    <w:p w:rsidR="00F60FA2" w:rsidRPr="00FB0902" w:rsidRDefault="00F60FA2" w:rsidP="00F60FA2">
      <w:pPr>
        <w:ind w:right="-2"/>
        <w:rPr>
          <w:sz w:val="18"/>
        </w:rPr>
      </w:pPr>
      <w:r w:rsidRPr="00FB0902">
        <w:rPr>
          <w:i/>
          <w:sz w:val="18"/>
        </w:rPr>
        <w:t xml:space="preserve">Note: </w:t>
      </w:r>
      <w:r w:rsidRPr="00FB0902">
        <w:rPr>
          <w:sz w:val="18"/>
        </w:rPr>
        <w:t xml:space="preserve">The tracts for both images were delineated on the same participant. Using classic DTI, the </w:t>
      </w:r>
      <w:proofErr w:type="spellStart"/>
      <w:r w:rsidRPr="00FB0902">
        <w:rPr>
          <w:sz w:val="18"/>
        </w:rPr>
        <w:t>SLF</w:t>
      </w:r>
      <w:proofErr w:type="spellEnd"/>
      <w:r w:rsidRPr="00FB0902">
        <w:rPr>
          <w:sz w:val="18"/>
        </w:rPr>
        <w:t xml:space="preserve"> </w:t>
      </w:r>
      <w:r w:rsidR="006A69BB" w:rsidRPr="00FB0902">
        <w:rPr>
          <w:sz w:val="18"/>
        </w:rPr>
        <w:t>is often not traceable, as was the case for this participant</w:t>
      </w:r>
      <w:r w:rsidRPr="00FB0902">
        <w:rPr>
          <w:sz w:val="18"/>
        </w:rPr>
        <w:t>. For purpose of clarity, the corpus callosum is not depicted in this image, yet it was also under study.</w:t>
      </w:r>
    </w:p>
    <w:p w:rsidR="00180D23" w:rsidRDefault="00180D23">
      <w:pPr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180D23" w:rsidRPr="00095CD4" w:rsidRDefault="00180D23" w:rsidP="00180D23">
      <w:pPr>
        <w:ind w:right="-2"/>
      </w:pPr>
      <w:r>
        <w:lastRenderedPageBreak/>
        <w:t xml:space="preserve">Table </w:t>
      </w:r>
      <w:r w:rsidR="0015205E">
        <w:t>1</w:t>
      </w:r>
    </w:p>
    <w:p w:rsidR="00180D23" w:rsidRDefault="00180D23" w:rsidP="00180D23">
      <w:pPr>
        <w:ind w:right="-2"/>
      </w:pPr>
      <w:r w:rsidRPr="00095CD4">
        <w:t xml:space="preserve">Results of correlations between the </w:t>
      </w:r>
      <w:proofErr w:type="spellStart"/>
      <w:r w:rsidRPr="00095CD4">
        <w:t>HMOA</w:t>
      </w:r>
      <w:proofErr w:type="spellEnd"/>
      <w:r w:rsidRPr="00095CD4">
        <w:t xml:space="preserve"> values</w:t>
      </w:r>
      <w:r w:rsidR="0029117C">
        <w:t xml:space="preserve"> (spherical deconvolution) and FA values (DTI) of the </w:t>
      </w:r>
      <w:r w:rsidR="006D349E">
        <w:t xml:space="preserve">AF, </w:t>
      </w:r>
      <w:proofErr w:type="spellStart"/>
      <w:r w:rsidR="006D349E">
        <w:t>SLF</w:t>
      </w:r>
      <w:proofErr w:type="spellEnd"/>
      <w:r w:rsidR="006D349E">
        <w:t xml:space="preserve">, </w:t>
      </w:r>
      <w:proofErr w:type="spellStart"/>
      <w:r w:rsidR="006D349E">
        <w:t>IFOF</w:t>
      </w:r>
      <w:proofErr w:type="spellEnd"/>
      <w:r w:rsidR="006D349E">
        <w:t xml:space="preserve">, CST, CR, and CC, </w:t>
      </w:r>
      <w:r w:rsidR="0029117C">
        <w:t>and</w:t>
      </w:r>
      <w:r w:rsidRPr="00095CD4">
        <w:t xml:space="preserve"> participants’ scores on the </w:t>
      </w:r>
      <w:proofErr w:type="spellStart"/>
      <w:r w:rsidRPr="00095CD4">
        <w:t>TTA</w:t>
      </w:r>
      <w:proofErr w:type="spellEnd"/>
      <w:r w:rsidRPr="00095CD4">
        <w:t xml:space="preserve"> for each </w:t>
      </w:r>
      <w:r>
        <w:t>column</w:t>
      </w:r>
      <w:r w:rsidRPr="00095CD4">
        <w:t xml:space="preserve"> and in total</w:t>
      </w:r>
    </w:p>
    <w:tbl>
      <w:tblPr>
        <w:tblStyle w:val="TableGrid"/>
        <w:tblpPr w:leftFromText="141" w:rightFromText="141" w:vertAnchor="page" w:horzAnchor="margin" w:tblpY="4068"/>
        <w:tblW w:w="9356" w:type="dxa"/>
        <w:tblLayout w:type="fixed"/>
        <w:tblLook w:val="04A0"/>
      </w:tblPr>
      <w:tblGrid>
        <w:gridCol w:w="709"/>
        <w:gridCol w:w="992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9117C" w:rsidRPr="001C04D2" w:rsidTr="0029117C">
        <w:trPr>
          <w:trHeight w:val="566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29117C">
            <w:pPr>
              <w:spacing w:after="0"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29117C">
            <w:pPr>
              <w:spacing w:after="0"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1C04D2">
              <w:rPr>
                <w:b/>
                <w:sz w:val="16"/>
                <w:szCs w:val="16"/>
              </w:rPr>
              <w:t>TTA</w:t>
            </w:r>
            <w:proofErr w:type="spellEnd"/>
          </w:p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1C04D2">
              <w:rPr>
                <w:b/>
                <w:sz w:val="16"/>
                <w:szCs w:val="16"/>
              </w:rPr>
              <w:t>addition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1C04D2">
              <w:rPr>
                <w:b/>
                <w:sz w:val="16"/>
                <w:szCs w:val="16"/>
              </w:rPr>
              <w:t>TTA</w:t>
            </w:r>
            <w:proofErr w:type="spellEnd"/>
          </w:p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1C04D2">
              <w:rPr>
                <w:b/>
                <w:sz w:val="16"/>
                <w:szCs w:val="16"/>
              </w:rPr>
              <w:t>subtraction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1C04D2">
              <w:rPr>
                <w:b/>
                <w:sz w:val="16"/>
                <w:szCs w:val="16"/>
              </w:rPr>
              <w:t>TTA</w:t>
            </w:r>
            <w:proofErr w:type="spellEnd"/>
          </w:p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1C04D2">
              <w:rPr>
                <w:b/>
                <w:sz w:val="16"/>
                <w:szCs w:val="16"/>
              </w:rPr>
              <w:t>multiplication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1C04D2">
              <w:rPr>
                <w:b/>
                <w:sz w:val="16"/>
                <w:szCs w:val="16"/>
              </w:rPr>
              <w:t>TTA</w:t>
            </w:r>
            <w:proofErr w:type="spellEnd"/>
          </w:p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1C04D2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1C04D2">
              <w:rPr>
                <w:b/>
                <w:sz w:val="16"/>
                <w:szCs w:val="16"/>
              </w:rPr>
              <w:t>TTA</w:t>
            </w:r>
            <w:proofErr w:type="spellEnd"/>
          </w:p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1C04D2">
              <w:rPr>
                <w:b/>
                <w:sz w:val="16"/>
                <w:szCs w:val="16"/>
              </w:rPr>
              <w:t>mix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1C04D2">
              <w:rPr>
                <w:b/>
                <w:sz w:val="16"/>
                <w:szCs w:val="16"/>
              </w:rPr>
              <w:t>TTA</w:t>
            </w:r>
            <w:proofErr w:type="spellEnd"/>
          </w:p>
          <w:p w:rsidR="0029117C" w:rsidRPr="001C04D2" w:rsidRDefault="0029117C" w:rsidP="00E123F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1C04D2">
              <w:rPr>
                <w:b/>
                <w:sz w:val="16"/>
                <w:szCs w:val="16"/>
              </w:rPr>
              <w:t>total</w:t>
            </w:r>
          </w:p>
        </w:tc>
      </w:tr>
      <w:tr w:rsidR="0029117C" w:rsidRPr="001C04D2" w:rsidTr="0029117C">
        <w:trPr>
          <w:trHeight w:val="265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29117C">
            <w:pPr>
              <w:spacing w:after="0" w:line="360" w:lineRule="auto"/>
              <w:jc w:val="right"/>
              <w:rPr>
                <w:sz w:val="12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29117C">
            <w:pPr>
              <w:spacing w:after="0" w:line="360" w:lineRule="auto"/>
              <w:jc w:val="right"/>
              <w:rPr>
                <w:sz w:val="12"/>
                <w:szCs w:val="16"/>
              </w:rPr>
            </w:pP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proofErr w:type="spellStart"/>
            <w:r w:rsidRPr="0029117C">
              <w:rPr>
                <w:b/>
                <w:sz w:val="13"/>
                <w:szCs w:val="13"/>
              </w:rPr>
              <w:t>HMOA</w:t>
            </w:r>
            <w:proofErr w:type="spellEnd"/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r w:rsidRPr="0029117C">
              <w:rPr>
                <w:b/>
                <w:sz w:val="13"/>
                <w:szCs w:val="13"/>
              </w:rPr>
              <w:t>FA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proofErr w:type="spellStart"/>
            <w:r w:rsidRPr="0029117C">
              <w:rPr>
                <w:b/>
                <w:sz w:val="13"/>
                <w:szCs w:val="13"/>
              </w:rPr>
              <w:t>HMOA</w:t>
            </w:r>
            <w:proofErr w:type="spellEnd"/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r w:rsidRPr="0029117C">
              <w:rPr>
                <w:b/>
                <w:sz w:val="13"/>
                <w:szCs w:val="13"/>
              </w:rPr>
              <w:t>FA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proofErr w:type="spellStart"/>
            <w:r w:rsidRPr="0029117C">
              <w:rPr>
                <w:b/>
                <w:sz w:val="13"/>
                <w:szCs w:val="13"/>
              </w:rPr>
              <w:t>HMOA</w:t>
            </w:r>
            <w:proofErr w:type="spellEnd"/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r w:rsidRPr="0029117C">
              <w:rPr>
                <w:b/>
                <w:sz w:val="13"/>
                <w:szCs w:val="13"/>
              </w:rPr>
              <w:t>FA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proofErr w:type="spellStart"/>
            <w:r w:rsidRPr="0029117C">
              <w:rPr>
                <w:b/>
                <w:sz w:val="13"/>
                <w:szCs w:val="13"/>
              </w:rPr>
              <w:t>HMOA</w:t>
            </w:r>
            <w:proofErr w:type="spellEnd"/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r w:rsidRPr="0029117C">
              <w:rPr>
                <w:b/>
                <w:sz w:val="13"/>
                <w:szCs w:val="13"/>
              </w:rPr>
              <w:t>FA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proofErr w:type="spellStart"/>
            <w:r w:rsidRPr="0029117C">
              <w:rPr>
                <w:b/>
                <w:sz w:val="13"/>
                <w:szCs w:val="13"/>
              </w:rPr>
              <w:t>HMOA</w:t>
            </w:r>
            <w:proofErr w:type="spellEnd"/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r w:rsidRPr="0029117C">
              <w:rPr>
                <w:b/>
                <w:sz w:val="13"/>
                <w:szCs w:val="13"/>
              </w:rPr>
              <w:t>FA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proofErr w:type="spellStart"/>
            <w:r w:rsidRPr="0029117C">
              <w:rPr>
                <w:b/>
                <w:sz w:val="13"/>
                <w:szCs w:val="13"/>
              </w:rPr>
              <w:t>HMOA</w:t>
            </w:r>
            <w:proofErr w:type="spellEnd"/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29117C" w:rsidRPr="0029117C" w:rsidRDefault="0029117C" w:rsidP="00E123FF">
            <w:pPr>
              <w:spacing w:after="0" w:line="240" w:lineRule="auto"/>
              <w:jc w:val="right"/>
              <w:rPr>
                <w:b/>
                <w:sz w:val="13"/>
                <w:szCs w:val="13"/>
              </w:rPr>
            </w:pPr>
            <w:r w:rsidRPr="0029117C">
              <w:rPr>
                <w:b/>
                <w:sz w:val="13"/>
                <w:szCs w:val="13"/>
              </w:rPr>
              <w:t>FA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Left </w:t>
            </w:r>
            <w:proofErr w:type="spellStart"/>
            <w:r w:rsidRPr="001C04D2">
              <w:rPr>
                <w:sz w:val="16"/>
                <w:szCs w:val="16"/>
              </w:rPr>
              <w:t>AFant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E123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-.048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29117C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-0.152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.138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-.059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.043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-.030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.110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.078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.015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.013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.061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-.023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0.450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0.361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0.168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.880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Right </w:t>
            </w:r>
            <w:proofErr w:type="spellStart"/>
            <w:r w:rsidRPr="001C04D2">
              <w:rPr>
                <w:sz w:val="16"/>
                <w:szCs w:val="16"/>
              </w:rPr>
              <w:t>AFant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.065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1.670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0.415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0.394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0.499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0.586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0.266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.662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Left </w:t>
            </w:r>
            <w:proofErr w:type="spellStart"/>
            <w:r w:rsidRPr="001C04D2">
              <w:rPr>
                <w:sz w:val="16"/>
                <w:szCs w:val="16"/>
              </w:rPr>
              <w:t>AFdir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.116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0.307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0.378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.438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Right </w:t>
            </w:r>
            <w:proofErr w:type="spellStart"/>
            <w:r w:rsidRPr="001C04D2">
              <w:rPr>
                <w:sz w:val="16"/>
                <w:szCs w:val="16"/>
              </w:rPr>
              <w:t>AFdir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.136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0.837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0.833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0.569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0.482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0.438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.408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Left </w:t>
            </w:r>
            <w:proofErr w:type="spellStart"/>
            <w:r w:rsidRPr="001C04D2">
              <w:rPr>
                <w:sz w:val="16"/>
                <w:szCs w:val="16"/>
              </w:rPr>
              <w:t>AFpost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.123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0.423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0.399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.720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.411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Right </w:t>
            </w:r>
            <w:proofErr w:type="spellStart"/>
            <w:r w:rsidRPr="001C04D2">
              <w:rPr>
                <w:sz w:val="16"/>
                <w:szCs w:val="16"/>
              </w:rPr>
              <w:t>AFpost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117C" w:rsidRPr="001C04D2">
              <w:rPr>
                <w:sz w:val="16"/>
                <w:szCs w:val="16"/>
              </w:rPr>
              <w:t>.032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.234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1.153</w:t>
            </w:r>
          </w:p>
        </w:tc>
      </w:tr>
      <w:tr w:rsidR="0029117C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117C" w:rsidRPr="001C04D2" w:rsidRDefault="0029117C" w:rsidP="0029117C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29117C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7C" w:rsidRPr="001C04D2" w:rsidRDefault="0029117C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7C" w:rsidRPr="001C04D2" w:rsidRDefault="005F048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.113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Left </w:t>
            </w:r>
            <w:proofErr w:type="spellStart"/>
            <w:r w:rsidRPr="001C04D2">
              <w:rPr>
                <w:sz w:val="16"/>
                <w:szCs w:val="16"/>
              </w:rPr>
              <w:t>SLF1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0.505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1.174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0.551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1.628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0.810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.296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Right </w:t>
            </w:r>
            <w:proofErr w:type="spellStart"/>
            <w:r w:rsidRPr="001C04D2">
              <w:rPr>
                <w:sz w:val="16"/>
                <w:szCs w:val="16"/>
              </w:rPr>
              <w:t>SLF1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.710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Left </w:t>
            </w:r>
            <w:proofErr w:type="spellStart"/>
            <w:r w:rsidRPr="001C04D2">
              <w:rPr>
                <w:sz w:val="16"/>
                <w:szCs w:val="16"/>
              </w:rPr>
              <w:t>SLF2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Right </w:t>
            </w:r>
            <w:proofErr w:type="spellStart"/>
            <w:r w:rsidRPr="001C04D2">
              <w:rPr>
                <w:sz w:val="16"/>
                <w:szCs w:val="16"/>
              </w:rPr>
              <w:t>SLF2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.196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.133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.169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.114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.119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0.083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0.091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.906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.814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.871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.777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.787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Left </w:t>
            </w:r>
            <w:proofErr w:type="spellStart"/>
            <w:r w:rsidRPr="001C04D2">
              <w:rPr>
                <w:sz w:val="16"/>
                <w:szCs w:val="16"/>
              </w:rPr>
              <w:t>SLF3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0.706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.669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35" w:rsidRPr="001C04D2" w:rsidRDefault="005D6E35" w:rsidP="005D6E35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Right </w:t>
            </w:r>
            <w:proofErr w:type="spellStart"/>
            <w:r w:rsidRPr="001C04D2">
              <w:rPr>
                <w:sz w:val="16"/>
                <w:szCs w:val="16"/>
              </w:rPr>
              <w:t>SLF3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E123FF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E35" w:rsidRPr="001C04D2">
              <w:rPr>
                <w:sz w:val="16"/>
                <w:szCs w:val="16"/>
              </w:rPr>
              <w:t>.027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.039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5D6E35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0.689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0.159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0.226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5D6E35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left"/>
              <w:rPr>
                <w:sz w:val="16"/>
                <w:szCs w:val="16"/>
                <w:vertAlign w:val="subscript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.707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.106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.456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.572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>.397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E35" w:rsidRPr="001C04D2" w:rsidRDefault="005D6E35" w:rsidP="005D6E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Left </w:t>
            </w:r>
            <w:proofErr w:type="spellStart"/>
            <w:r>
              <w:rPr>
                <w:sz w:val="16"/>
                <w:szCs w:val="16"/>
              </w:rPr>
              <w:lastRenderedPageBreak/>
              <w:t>IFOF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lastRenderedPageBreak/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.077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.0126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0.286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.609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Right </w:t>
            </w:r>
            <w:proofErr w:type="spellStart"/>
            <w:r>
              <w:rPr>
                <w:sz w:val="16"/>
                <w:szCs w:val="16"/>
              </w:rPr>
              <w:t>IFOF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.095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0.324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.525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CST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.049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0.241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.748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CST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.113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0.370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.455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-.211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-.386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-.286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-.247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.131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.387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.011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0.194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.944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 </w:t>
            </w:r>
            <w:proofErr w:type="spellStart"/>
            <w:r>
              <w:rPr>
                <w:sz w:val="16"/>
                <w:szCs w:val="16"/>
              </w:rPr>
              <w:t>Forc</w:t>
            </w:r>
            <w:proofErr w:type="spellEnd"/>
            <w:r>
              <w:rPr>
                <w:sz w:val="16"/>
                <w:szCs w:val="16"/>
              </w:rPr>
              <w:t>. Minor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.106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0.352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.476</w:t>
            </w:r>
          </w:p>
        </w:tc>
      </w:tr>
      <w:tr w:rsidR="006267E2" w:rsidRPr="001C04D2" w:rsidTr="006D349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67E2" w:rsidRPr="001C04D2" w:rsidRDefault="006267E2" w:rsidP="006267E2">
            <w:pPr>
              <w:spacing w:before="4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 </w:t>
            </w:r>
            <w:proofErr w:type="spellStart"/>
            <w:r>
              <w:rPr>
                <w:sz w:val="16"/>
                <w:szCs w:val="16"/>
              </w:rPr>
              <w:t>Forc</w:t>
            </w:r>
            <w:proofErr w:type="spellEnd"/>
            <w:r>
              <w:rPr>
                <w:sz w:val="16"/>
                <w:szCs w:val="16"/>
              </w:rPr>
              <w:t>. Major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sz w:val="16"/>
                <w:szCs w:val="16"/>
              </w:rPr>
              <w:t xml:space="preserve">Pearson’s </w:t>
            </w:r>
            <w:r w:rsidRPr="001C04D2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-.207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-.146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-.047</w:t>
            </w:r>
          </w:p>
        </w:tc>
      </w:tr>
      <w:tr w:rsidR="006267E2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 w:rsidRPr="001C04D2">
              <w:rPr>
                <w:sz w:val="16"/>
                <w:szCs w:val="16"/>
              </w:rPr>
              <w:t>BF</w:t>
            </w:r>
            <w:r w:rsidRPr="001C04D2">
              <w:rPr>
                <w:sz w:val="16"/>
                <w:szCs w:val="16"/>
                <w:vertAlign w:val="subscript"/>
              </w:rPr>
              <w:t>10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E2" w:rsidRPr="001C04D2" w:rsidRDefault="006D349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E2" w:rsidRPr="001C04D2" w:rsidRDefault="0063670E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0.145</w:t>
            </w:r>
          </w:p>
        </w:tc>
      </w:tr>
      <w:tr w:rsidR="006267E2" w:rsidRPr="001C04D2" w:rsidTr="005D6E35">
        <w:trPr>
          <w:trHeight w:val="282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6267E2" w:rsidP="006267E2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C04D2">
              <w:rPr>
                <w:i/>
                <w:sz w:val="16"/>
                <w:szCs w:val="16"/>
              </w:rPr>
              <w:t>p</w:t>
            </w:r>
            <w:r w:rsidRPr="001C04D2">
              <w:rPr>
                <w:sz w:val="16"/>
                <w:szCs w:val="16"/>
              </w:rPr>
              <w:t>-value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B6127A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.954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E2" w:rsidRPr="001C04D2" w:rsidRDefault="00F25583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E2" w:rsidRPr="001C04D2" w:rsidRDefault="006267E2" w:rsidP="006267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.754</w:t>
            </w:r>
          </w:p>
        </w:tc>
      </w:tr>
    </w:tbl>
    <w:p w:rsidR="006D349E" w:rsidRPr="00FB0902" w:rsidRDefault="006D349E" w:rsidP="006D349E">
      <w:pPr>
        <w:spacing w:before="120"/>
        <w:ind w:right="-2"/>
        <w:rPr>
          <w:sz w:val="18"/>
        </w:rPr>
      </w:pPr>
      <w:bookmarkStart w:id="0" w:name="_GoBack"/>
      <w:bookmarkEnd w:id="0"/>
      <w:r w:rsidRPr="00B74186">
        <w:rPr>
          <w:i/>
          <w:sz w:val="18"/>
          <w:highlight w:val="darkGray"/>
        </w:rPr>
        <w:t xml:space="preserve">Note: </w:t>
      </w:r>
      <w:r w:rsidR="00FA78B7" w:rsidRPr="00B74186">
        <w:rPr>
          <w:sz w:val="18"/>
          <w:highlight w:val="darkGray"/>
        </w:rPr>
        <w:t>Parts of t</w:t>
      </w:r>
      <w:r w:rsidRPr="00B74186">
        <w:rPr>
          <w:sz w:val="18"/>
          <w:highlight w:val="darkGray"/>
        </w:rPr>
        <w:t xml:space="preserve">he </w:t>
      </w:r>
      <w:proofErr w:type="spellStart"/>
      <w:r w:rsidRPr="00B74186">
        <w:rPr>
          <w:sz w:val="18"/>
          <w:highlight w:val="darkGray"/>
        </w:rPr>
        <w:t>SLF</w:t>
      </w:r>
      <w:proofErr w:type="spellEnd"/>
      <w:r w:rsidRPr="00B74186">
        <w:rPr>
          <w:sz w:val="18"/>
          <w:highlight w:val="darkGray"/>
        </w:rPr>
        <w:t xml:space="preserve"> </w:t>
      </w:r>
      <w:r w:rsidR="00FA78B7" w:rsidRPr="00B74186">
        <w:rPr>
          <w:sz w:val="18"/>
          <w:highlight w:val="darkGray"/>
        </w:rPr>
        <w:t>were only</w:t>
      </w:r>
      <w:r w:rsidRPr="00B74186">
        <w:rPr>
          <w:sz w:val="18"/>
          <w:highlight w:val="darkGray"/>
        </w:rPr>
        <w:t xml:space="preserve"> traceable </w:t>
      </w:r>
      <w:r w:rsidR="00FA78B7" w:rsidRPr="00B74186">
        <w:rPr>
          <w:sz w:val="18"/>
          <w:highlight w:val="darkGray"/>
        </w:rPr>
        <w:t xml:space="preserve">in 5 out of 47 participants </w:t>
      </w:r>
      <w:r w:rsidRPr="00B74186">
        <w:rPr>
          <w:sz w:val="18"/>
          <w:highlight w:val="darkGray"/>
        </w:rPr>
        <w:t>with DTI, making the correlation analyses with the FA index impossible.</w:t>
      </w:r>
    </w:p>
    <w:p w:rsidR="005D6E35" w:rsidRDefault="005D6E35">
      <w:pPr>
        <w:spacing w:after="160" w:line="259" w:lineRule="auto"/>
        <w:jc w:val="left"/>
        <w:rPr>
          <w:sz w:val="22"/>
        </w:rPr>
      </w:pPr>
    </w:p>
    <w:p w:rsidR="006241AA" w:rsidRPr="006D349E" w:rsidRDefault="006241AA">
      <w:pPr>
        <w:spacing w:after="160" w:line="259" w:lineRule="auto"/>
        <w:jc w:val="left"/>
        <w:rPr>
          <w:sz w:val="22"/>
        </w:rPr>
      </w:pPr>
    </w:p>
    <w:sectPr w:rsidR="006241AA" w:rsidRPr="006D349E" w:rsidSect="002911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80" w:rsidRDefault="00242680" w:rsidP="00180D23">
      <w:pPr>
        <w:spacing w:after="0" w:line="240" w:lineRule="auto"/>
      </w:pPr>
      <w:r>
        <w:separator/>
      </w:r>
    </w:p>
  </w:endnote>
  <w:endnote w:type="continuationSeparator" w:id="0">
    <w:p w:rsidR="00242680" w:rsidRDefault="00242680" w:rsidP="0018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80" w:rsidRDefault="00242680" w:rsidP="00180D23">
      <w:pPr>
        <w:spacing w:after="0" w:line="240" w:lineRule="auto"/>
      </w:pPr>
      <w:r>
        <w:separator/>
      </w:r>
    </w:p>
  </w:footnote>
  <w:footnote w:type="continuationSeparator" w:id="0">
    <w:p w:rsidR="00242680" w:rsidRDefault="00242680" w:rsidP="0018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FA2"/>
    <w:rsid w:val="0015205E"/>
    <w:rsid w:val="00180D23"/>
    <w:rsid w:val="00193DA9"/>
    <w:rsid w:val="001C04D2"/>
    <w:rsid w:val="002071D8"/>
    <w:rsid w:val="00242680"/>
    <w:rsid w:val="0029117C"/>
    <w:rsid w:val="002A182A"/>
    <w:rsid w:val="00396251"/>
    <w:rsid w:val="0058286B"/>
    <w:rsid w:val="005D2636"/>
    <w:rsid w:val="005D6E35"/>
    <w:rsid w:val="005F0485"/>
    <w:rsid w:val="006241AA"/>
    <w:rsid w:val="006267E2"/>
    <w:rsid w:val="0063670E"/>
    <w:rsid w:val="006735F7"/>
    <w:rsid w:val="0068190C"/>
    <w:rsid w:val="006A69BB"/>
    <w:rsid w:val="006D349E"/>
    <w:rsid w:val="0074249B"/>
    <w:rsid w:val="007808B6"/>
    <w:rsid w:val="007C797C"/>
    <w:rsid w:val="007F3851"/>
    <w:rsid w:val="008164F5"/>
    <w:rsid w:val="0087034A"/>
    <w:rsid w:val="008A26C8"/>
    <w:rsid w:val="00984EBB"/>
    <w:rsid w:val="009B6B00"/>
    <w:rsid w:val="00A17C3F"/>
    <w:rsid w:val="00B6127A"/>
    <w:rsid w:val="00B74186"/>
    <w:rsid w:val="00BA4109"/>
    <w:rsid w:val="00CF6642"/>
    <w:rsid w:val="00D21B1D"/>
    <w:rsid w:val="00E123FF"/>
    <w:rsid w:val="00F25583"/>
    <w:rsid w:val="00F60FA2"/>
    <w:rsid w:val="00FA78B7"/>
    <w:rsid w:val="00FB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A2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FA2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FA2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2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23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E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846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66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38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05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cht.polspoel@kuleuv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Polspoel</dc:creator>
  <cp:keywords/>
  <dc:description/>
  <cp:lastModifiedBy>0009118</cp:lastModifiedBy>
  <cp:revision>29</cp:revision>
  <dcterms:created xsi:type="dcterms:W3CDTF">2018-03-01T09:44:00Z</dcterms:created>
  <dcterms:modified xsi:type="dcterms:W3CDTF">2018-10-10T10:04:00Z</dcterms:modified>
</cp:coreProperties>
</file>