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28" w:rsidRDefault="009B6D28" w:rsidP="009B6D28">
      <w:pPr>
        <w:autoSpaceDE w:val="0"/>
        <w:autoSpaceDN w:val="0"/>
        <w:adjustRightInd w:val="0"/>
        <w:spacing w:after="0"/>
        <w:rPr>
          <w:rFonts w:ascii="Arial" w:hAnsi="Arial" w:cs="Arial"/>
          <w:b/>
          <w:bCs/>
          <w:sz w:val="24"/>
          <w:szCs w:val="24"/>
          <w:lang w:val="en" w:bidi="ar-EG"/>
        </w:rPr>
      </w:pPr>
      <w:r>
        <w:rPr>
          <w:rFonts w:ascii="Arial" w:hAnsi="Arial" w:cs="Arial"/>
          <w:b/>
          <w:bCs/>
          <w:sz w:val="24"/>
          <w:szCs w:val="24"/>
          <w:lang w:val="en"/>
        </w:rPr>
        <w:t xml:space="preserve">Supplementary </w:t>
      </w:r>
      <w:r w:rsidRPr="007519CE">
        <w:rPr>
          <w:rFonts w:ascii="Arial" w:hAnsi="Arial" w:cs="Arial"/>
          <w:b/>
          <w:bCs/>
          <w:sz w:val="24"/>
          <w:szCs w:val="24"/>
          <w:lang w:val="en"/>
        </w:rPr>
        <w:t>Table 1:</w:t>
      </w:r>
      <w:r w:rsidRPr="007519CE">
        <w:rPr>
          <w:rFonts w:ascii="Arial" w:hAnsi="Arial" w:cs="Arial"/>
          <w:b/>
          <w:bCs/>
          <w:sz w:val="24"/>
          <w:szCs w:val="24"/>
          <w:lang w:val="en"/>
        </w:rPr>
        <w:tab/>
        <w:t>PALICC definition of PARDS</w:t>
      </w:r>
      <w:r>
        <w:rPr>
          <w:rFonts w:ascii="Arial" w:hAnsi="Arial" w:cs="Arial"/>
          <w:b/>
          <w:bCs/>
          <w:sz w:val="24"/>
          <w:szCs w:val="24"/>
          <w:lang w:val="en"/>
        </w:rPr>
        <w:t xml:space="preserve">. </w:t>
      </w:r>
      <w:r w:rsidRPr="007519CE">
        <w:rPr>
          <w:rFonts w:ascii="Arial" w:hAnsi="Arial" w:cs="Arial"/>
          <w:b/>
          <w:bCs/>
          <w:sz w:val="24"/>
          <w:szCs w:val="24"/>
          <w:lang w:val="en"/>
        </w:rPr>
        <w:fldChar w:fldCharType="begin" w:fldLock="1"/>
      </w:r>
      <w:r>
        <w:rPr>
          <w:rFonts w:ascii="Arial" w:hAnsi="Arial" w:cs="Arial"/>
          <w:b/>
          <w:bCs/>
          <w:sz w:val="24"/>
          <w:szCs w:val="24"/>
          <w:lang w:val="en"/>
        </w:rPr>
        <w:instrText>ADDIN CSL_CITATION {"citationItems":[{"id":"ITEM-1","itemData":{"DOI":"10.1097/PCC.0000000000000350","ISSN":"1529-7535","PMID":"25647235","abstract":"OBJECTIVE To describe the final recommendations of the Pediatric Acute Lung Injury Consensus Conference. DESIGN Consensus conference of experts in pediatric acute lung injury. SETTING Not applicable. SUBJECTS PICU patients with evidence of acute lung injury or acute respiratory distress syndrome. INTERVENTIONS None. METHODS A panel of 27 experts met over the course of 2 years to develop a taxonomy to define pediatric acute respiratory distress syndrome and to make recommendations regarding treatment and research priorities. When published, data were lacking a modified Delphi approach emphasizing strong professional agreement was used. MEASUREMENTS AND MAIN RESULTS A panel of 27 experts met over the course of 2 years to develop a taxonomy to define pediatric acute respiratory distress syndrome and to make recommendations regarding treatment and research priorities. When published data were lacking a modified Delphi approach emphasizing strong professional agreement was used. The Pediatric Acute Lung Injury Consensus Conference experts developed and voted on a total of 151 recommendations addressing the following topics related to pediatric acute respiratory distress syndrome: 1) Definition, prevalence, and epidemiology; 2) Pathophysiology, comorbidities, and severity; 3) Ventilatory support; 4) Pulmonary-specific ancillary treatment; 5) Nonpulmonary treatment; 6) Monitoring; 7) Noninvasive support and ventilation; 8) Extracorporeal support; and 9) Morbidity and long-term outcomes. There were 132 recommendations with strong agreement and 19 recommendations with weak agreement. Once restated, the final iteration of the recommendations had none with equipoise or disagreement. CONCLUSIONS The Consensus Conference developed pediatric-specific definitions for acute respiratory distress syndrome and recommendations regarding treatment and future research priorities. These are intended to promote optimization and consistency of care for children with pediatric acute respiratory distress syndrome and identify areas of uncertainty requiring further investigation.","author":[{"dropping-particle":"","family":"Khemani","given":"Robinder G.","non-dropping-particle":"","parse-names":false,"suffix":""},{"dropping-particle":"","family":"Smith","given":"Lincoln S.","non-dropping-particle":"","parse-names":false,"suffix":""},{"dropping-particle":"","family":"Zimmerman","given":"Jerry J.","non-dropping-particle":"","parse-names":false,"suffix":""},{"dropping-particle":"","family":"Erickson","given":"Simon","non-dropping-particle":"","parse-names":false,"suffix":""},{"dropping-particle":"","family":"Pediatric Acute Lung Injury Consensus Conference Group","given":"","non-dropping-particle":"","parse-names":false,"suffix":""}],"container-title":"Pediatric Critical Care Medicine","id":"ITEM-1","issue":"5","issued":{"date-parts":[["2015","6"]]},"page":"23-40","title":"Pediatric Acute Respiratory Distress Syndrome","type":"article-journal","volume":"16"},"uris":["http://www.mendeley.com/documents/?uuid=dcb77d12-70dc-4236-8647-d030d9aa0467"]}],"mendeley":{"formattedCitation":"(22)","plainTextFormattedCitation":"(22)","previouslyFormattedCitation":"(22)"},"properties":{"noteIndex":0},"schema":"https://github.com/citation-style-language/schema/raw/master/csl-citation.json"}</w:instrText>
      </w:r>
      <w:r w:rsidRPr="007519CE">
        <w:rPr>
          <w:rFonts w:ascii="Arial" w:hAnsi="Arial" w:cs="Arial"/>
          <w:b/>
          <w:bCs/>
          <w:sz w:val="24"/>
          <w:szCs w:val="24"/>
          <w:lang w:val="en"/>
        </w:rPr>
        <w:fldChar w:fldCharType="separate"/>
      </w:r>
      <w:r w:rsidRPr="006239F8">
        <w:rPr>
          <w:rFonts w:ascii="Arial" w:hAnsi="Arial" w:cs="Arial"/>
          <w:bCs/>
          <w:noProof/>
          <w:sz w:val="24"/>
          <w:szCs w:val="24"/>
          <w:lang w:val="en"/>
        </w:rPr>
        <w:t>(22)</w:t>
      </w:r>
      <w:r w:rsidRPr="007519CE">
        <w:rPr>
          <w:rFonts w:ascii="Arial" w:hAnsi="Arial" w:cs="Arial"/>
          <w:b/>
          <w:bCs/>
          <w:sz w:val="24"/>
          <w:szCs w:val="24"/>
          <w:lang w:val="en"/>
        </w:rPr>
        <w:fldChar w:fldCharType="end"/>
      </w:r>
    </w:p>
    <w:tbl>
      <w:tblPr>
        <w:tblStyle w:val="TableGrid"/>
        <w:tblW w:w="9420" w:type="dxa"/>
        <w:tblInd w:w="0" w:type="dxa"/>
        <w:tblLook w:val="04A0" w:firstRow="1" w:lastRow="0" w:firstColumn="1" w:lastColumn="0" w:noHBand="0" w:noVBand="1"/>
      </w:tblPr>
      <w:tblGrid>
        <w:gridCol w:w="1880"/>
        <w:gridCol w:w="1880"/>
        <w:gridCol w:w="1880"/>
        <w:gridCol w:w="2010"/>
        <w:gridCol w:w="1770"/>
      </w:tblGrid>
      <w:tr w:rsidR="009B6D28" w:rsidRPr="005837F6" w:rsidTr="00DD09C2">
        <w:trPr>
          <w:trHeight w:val="223"/>
        </w:trPr>
        <w:tc>
          <w:tcPr>
            <w:tcW w:w="1880" w:type="dxa"/>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Age</w:t>
            </w:r>
          </w:p>
        </w:tc>
        <w:tc>
          <w:tcPr>
            <w:tcW w:w="7540" w:type="dxa"/>
            <w:gridSpan w:val="4"/>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 xml:space="preserve">Exclude patients with </w:t>
            </w:r>
            <w:proofErr w:type="spellStart"/>
            <w:r w:rsidRPr="00480139">
              <w:rPr>
                <w:rFonts w:ascii="Arial" w:hAnsi="Arial" w:cs="Arial"/>
                <w:lang w:val="en"/>
              </w:rPr>
              <w:t>peri</w:t>
            </w:r>
            <w:proofErr w:type="spellEnd"/>
            <w:r w:rsidRPr="00480139">
              <w:rPr>
                <w:rFonts w:ascii="Arial" w:hAnsi="Arial" w:cs="Arial"/>
                <w:lang w:val="en"/>
              </w:rPr>
              <w:t>-natal related lung disease</w:t>
            </w:r>
          </w:p>
        </w:tc>
      </w:tr>
      <w:tr w:rsidR="009B6D28" w:rsidRPr="005837F6" w:rsidTr="00DD09C2">
        <w:trPr>
          <w:trHeight w:val="223"/>
        </w:trPr>
        <w:tc>
          <w:tcPr>
            <w:tcW w:w="1880" w:type="dxa"/>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Timing</w:t>
            </w:r>
          </w:p>
        </w:tc>
        <w:tc>
          <w:tcPr>
            <w:tcW w:w="7540" w:type="dxa"/>
            <w:gridSpan w:val="4"/>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Within 7 days of known clinical insult</w:t>
            </w:r>
          </w:p>
        </w:tc>
      </w:tr>
      <w:tr w:rsidR="009B6D28" w:rsidRPr="005837F6" w:rsidTr="00DD09C2">
        <w:trPr>
          <w:trHeight w:val="460"/>
        </w:trPr>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Origin of Edema</w:t>
            </w:r>
          </w:p>
        </w:tc>
        <w:tc>
          <w:tcPr>
            <w:tcW w:w="7540" w:type="dxa"/>
            <w:gridSpan w:val="4"/>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Respiratory failure not fully explained by cardiac failure or fluid overload</w:t>
            </w:r>
          </w:p>
        </w:tc>
      </w:tr>
      <w:tr w:rsidR="009B6D28" w:rsidRPr="005837F6" w:rsidTr="00DD09C2">
        <w:trPr>
          <w:trHeight w:val="460"/>
        </w:trPr>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Chest Imaging</w:t>
            </w:r>
          </w:p>
        </w:tc>
        <w:tc>
          <w:tcPr>
            <w:tcW w:w="7540" w:type="dxa"/>
            <w:gridSpan w:val="4"/>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Chest imaging findings of new infiltrate(s) consistent with acute pulmonary parenchymal disease</w:t>
            </w:r>
          </w:p>
        </w:tc>
      </w:tr>
      <w:tr w:rsidR="009B6D28" w:rsidRPr="005837F6" w:rsidTr="00DD09C2">
        <w:trPr>
          <w:trHeight w:val="697"/>
        </w:trPr>
        <w:tc>
          <w:tcPr>
            <w:tcW w:w="1880" w:type="dxa"/>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Oxygenation</w:t>
            </w:r>
          </w:p>
        </w:tc>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Non -invasive mechanical ventilation</w:t>
            </w:r>
          </w:p>
        </w:tc>
        <w:tc>
          <w:tcPr>
            <w:tcW w:w="5660" w:type="dxa"/>
            <w:gridSpan w:val="3"/>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Invasive mechanical ventilation</w:t>
            </w:r>
          </w:p>
        </w:tc>
      </w:tr>
      <w:tr w:rsidR="009B6D28" w:rsidRPr="005837F6" w:rsidTr="00DD09C2">
        <w:trPr>
          <w:trHeight w:val="697"/>
        </w:trPr>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p>
        </w:tc>
        <w:tc>
          <w:tcPr>
            <w:tcW w:w="1880" w:type="dxa"/>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PARDS (No severity stratification)</w:t>
            </w:r>
          </w:p>
        </w:tc>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Mild</w:t>
            </w:r>
          </w:p>
        </w:tc>
        <w:tc>
          <w:tcPr>
            <w:tcW w:w="201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Moderate</w:t>
            </w:r>
          </w:p>
        </w:tc>
        <w:tc>
          <w:tcPr>
            <w:tcW w:w="177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severe</w:t>
            </w:r>
          </w:p>
        </w:tc>
      </w:tr>
      <w:tr w:rsidR="009B6D28" w:rsidRPr="005837F6" w:rsidTr="00DD09C2">
        <w:trPr>
          <w:trHeight w:val="1507"/>
        </w:trPr>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p>
        </w:tc>
        <w:tc>
          <w:tcPr>
            <w:tcW w:w="1880" w:type="dxa"/>
            <w:hideMark/>
          </w:tcPr>
          <w:p w:rsidR="009B6D28" w:rsidRPr="00480139" w:rsidRDefault="009B6D28" w:rsidP="00DD09C2">
            <w:pPr>
              <w:autoSpaceDE w:val="0"/>
              <w:autoSpaceDN w:val="0"/>
              <w:adjustRightInd w:val="0"/>
              <w:spacing w:line="360" w:lineRule="auto"/>
              <w:rPr>
                <w:rFonts w:ascii="Arial" w:hAnsi="Arial" w:cs="Arial"/>
                <w:lang w:val="en"/>
              </w:rPr>
            </w:pPr>
            <w:r w:rsidRPr="00480139">
              <w:rPr>
                <w:rFonts w:ascii="Arial" w:hAnsi="Arial" w:cs="Arial"/>
                <w:lang w:val="en"/>
              </w:rPr>
              <w:t>Full face-mask bi-level ventilation or CPAP</w:t>
            </w:r>
            <w:r>
              <w:rPr>
                <w:rFonts w:ascii="Arial" w:hAnsi="Arial" w:cs="Arial"/>
                <w:lang w:val="en"/>
              </w:rPr>
              <w:t xml:space="preserve"> </w:t>
            </w:r>
            <w:r w:rsidRPr="00480139">
              <w:rPr>
                <w:rFonts w:ascii="Arial" w:hAnsi="Arial" w:cs="Arial"/>
                <w:lang w:val="en"/>
              </w:rPr>
              <w:t>≥5cm H</w:t>
            </w:r>
            <w:r w:rsidRPr="007D6BA1">
              <w:rPr>
                <w:rFonts w:ascii="Arial" w:hAnsi="Arial" w:cs="Arial"/>
                <w:vertAlign w:val="subscript"/>
                <w:lang w:val="en"/>
              </w:rPr>
              <w:t>2</w:t>
            </w:r>
            <w:r w:rsidRPr="00480139">
              <w:rPr>
                <w:rFonts w:ascii="Arial" w:hAnsi="Arial" w:cs="Arial"/>
                <w:lang w:val="en"/>
              </w:rPr>
              <w:t>O</w:t>
            </w:r>
            <w:r w:rsidRPr="007D6BA1">
              <w:rPr>
                <w:rFonts w:ascii="Arial" w:hAnsi="Arial" w:cs="Arial"/>
                <w:vertAlign w:val="superscript"/>
              </w:rPr>
              <w:t>2</w:t>
            </w:r>
            <w:r w:rsidRPr="00480139">
              <w:rPr>
                <w:rFonts w:ascii="Arial" w:hAnsi="Arial" w:cs="Arial"/>
                <w:lang w:val="en"/>
              </w:rPr>
              <w:br/>
              <w:t>PF ratio</w:t>
            </w:r>
            <w:r>
              <w:rPr>
                <w:rFonts w:ascii="Arial" w:hAnsi="Arial" w:cs="Arial"/>
                <w:lang w:val="en"/>
              </w:rPr>
              <w:t xml:space="preserve"> </w:t>
            </w:r>
            <w:r w:rsidRPr="00480139">
              <w:rPr>
                <w:rFonts w:ascii="Arial" w:hAnsi="Arial" w:cs="Arial"/>
                <w:lang w:val="en"/>
              </w:rPr>
              <w:t>≤300</w:t>
            </w:r>
            <w:r w:rsidRPr="00480139">
              <w:rPr>
                <w:rFonts w:ascii="Arial" w:hAnsi="Arial" w:cs="Arial"/>
                <w:lang w:val="en"/>
              </w:rPr>
              <w:br/>
              <w:t>SF ratio</w:t>
            </w:r>
            <w:r>
              <w:rPr>
                <w:rFonts w:ascii="Arial" w:hAnsi="Arial" w:cs="Arial"/>
                <w:lang w:val="en"/>
              </w:rPr>
              <w:t xml:space="preserve"> </w:t>
            </w:r>
            <w:r w:rsidRPr="00480139">
              <w:rPr>
                <w:rFonts w:ascii="Arial" w:hAnsi="Arial" w:cs="Arial"/>
                <w:lang w:val="en"/>
              </w:rPr>
              <w:t>≤264</w:t>
            </w:r>
            <w:r w:rsidRPr="007D6BA1">
              <w:rPr>
                <w:rFonts w:cs="Arial (Body CS)"/>
                <w:vertAlign w:val="superscript"/>
              </w:rPr>
              <w:t>1</w:t>
            </w:r>
          </w:p>
        </w:tc>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4≤</w:t>
            </w:r>
            <w:r>
              <w:rPr>
                <w:rFonts w:ascii="Arial" w:hAnsi="Arial" w:cs="Arial"/>
                <w:lang w:val="en"/>
              </w:rPr>
              <w:t xml:space="preserve"> </w:t>
            </w:r>
            <w:r w:rsidRPr="00480139">
              <w:rPr>
                <w:rFonts w:ascii="Arial" w:hAnsi="Arial" w:cs="Arial"/>
                <w:lang w:val="en"/>
              </w:rPr>
              <w:t>OI</w:t>
            </w:r>
            <w:r>
              <w:rPr>
                <w:rFonts w:ascii="Arial" w:hAnsi="Arial" w:cs="Arial"/>
                <w:lang w:val="en"/>
              </w:rPr>
              <w:t xml:space="preserve"> </w:t>
            </w:r>
            <w:r w:rsidRPr="00480139">
              <w:rPr>
                <w:rFonts w:ascii="Arial" w:hAnsi="Arial" w:cs="Arial"/>
                <w:lang w:val="en"/>
              </w:rPr>
              <w:t>&lt;8</w:t>
            </w:r>
            <w:r w:rsidRPr="00480139">
              <w:rPr>
                <w:rFonts w:ascii="Arial" w:hAnsi="Arial" w:cs="Arial"/>
                <w:lang w:val="en"/>
              </w:rPr>
              <w:br/>
              <w:t>5≤</w:t>
            </w:r>
            <w:r>
              <w:rPr>
                <w:rFonts w:ascii="Arial" w:hAnsi="Arial" w:cs="Arial"/>
                <w:lang w:val="en"/>
              </w:rPr>
              <w:t xml:space="preserve"> </w:t>
            </w:r>
            <w:r w:rsidRPr="00480139">
              <w:rPr>
                <w:rFonts w:ascii="Arial" w:hAnsi="Arial" w:cs="Arial"/>
                <w:lang w:val="en"/>
              </w:rPr>
              <w:t>OSI</w:t>
            </w:r>
            <w:r>
              <w:rPr>
                <w:rFonts w:ascii="Arial" w:hAnsi="Arial" w:cs="Arial"/>
                <w:lang w:val="en"/>
              </w:rPr>
              <w:t xml:space="preserve"> </w:t>
            </w:r>
            <w:r w:rsidRPr="00480139">
              <w:rPr>
                <w:rFonts w:ascii="Arial" w:hAnsi="Arial" w:cs="Arial"/>
                <w:lang w:val="en"/>
              </w:rPr>
              <w:t>&lt;7.5</w:t>
            </w:r>
            <w:r w:rsidRPr="007D6BA1">
              <w:rPr>
                <w:rFonts w:cs="Arial (Body CS)"/>
                <w:vertAlign w:val="superscript"/>
              </w:rPr>
              <w:t>1</w:t>
            </w:r>
          </w:p>
        </w:tc>
        <w:tc>
          <w:tcPr>
            <w:tcW w:w="201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8≤</w:t>
            </w:r>
            <w:r>
              <w:rPr>
                <w:rFonts w:ascii="Arial" w:hAnsi="Arial" w:cs="Arial"/>
                <w:lang w:val="en"/>
              </w:rPr>
              <w:t xml:space="preserve"> </w:t>
            </w:r>
            <w:r w:rsidRPr="00480139">
              <w:rPr>
                <w:rFonts w:ascii="Arial" w:hAnsi="Arial" w:cs="Arial"/>
                <w:lang w:val="en"/>
              </w:rPr>
              <w:t>OI</w:t>
            </w:r>
            <w:r>
              <w:rPr>
                <w:rFonts w:ascii="Arial" w:hAnsi="Arial" w:cs="Arial"/>
                <w:lang w:val="en"/>
              </w:rPr>
              <w:t xml:space="preserve"> </w:t>
            </w:r>
            <w:r w:rsidRPr="00480139">
              <w:rPr>
                <w:rFonts w:ascii="Arial" w:hAnsi="Arial" w:cs="Arial"/>
                <w:lang w:val="en"/>
              </w:rPr>
              <w:t>&lt;16</w:t>
            </w:r>
            <w:r w:rsidRPr="00480139">
              <w:rPr>
                <w:rFonts w:ascii="Arial" w:hAnsi="Arial" w:cs="Arial"/>
                <w:lang w:val="en"/>
              </w:rPr>
              <w:br/>
              <w:t>7.5</w:t>
            </w:r>
            <w:r>
              <w:rPr>
                <w:rFonts w:ascii="Arial" w:hAnsi="Arial" w:cs="Arial"/>
                <w:lang w:val="en"/>
              </w:rPr>
              <w:t xml:space="preserve"> </w:t>
            </w:r>
            <w:r w:rsidRPr="00480139">
              <w:rPr>
                <w:rFonts w:ascii="Arial" w:hAnsi="Arial" w:cs="Arial"/>
                <w:lang w:val="en"/>
              </w:rPr>
              <w:t>≤OSI</w:t>
            </w:r>
            <w:r>
              <w:rPr>
                <w:rFonts w:ascii="Arial" w:hAnsi="Arial" w:cs="Arial"/>
                <w:lang w:val="en"/>
              </w:rPr>
              <w:t xml:space="preserve"> </w:t>
            </w:r>
            <w:r w:rsidRPr="00480139">
              <w:rPr>
                <w:rFonts w:ascii="Arial" w:hAnsi="Arial" w:cs="Arial"/>
                <w:lang w:val="en"/>
              </w:rPr>
              <w:t>&lt;12.3</w:t>
            </w:r>
            <w:r w:rsidRPr="007D6BA1">
              <w:rPr>
                <w:rFonts w:cs="Arial (Body CS)"/>
                <w:vertAlign w:val="superscript"/>
              </w:rPr>
              <w:t>1</w:t>
            </w:r>
          </w:p>
        </w:tc>
        <w:tc>
          <w:tcPr>
            <w:tcW w:w="177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OI</w:t>
            </w:r>
            <w:r>
              <w:rPr>
                <w:rFonts w:ascii="Arial" w:hAnsi="Arial" w:cs="Arial"/>
                <w:lang w:val="en"/>
              </w:rPr>
              <w:t xml:space="preserve"> </w:t>
            </w:r>
            <w:r w:rsidRPr="00480139">
              <w:rPr>
                <w:rFonts w:ascii="Arial" w:hAnsi="Arial" w:cs="Arial"/>
                <w:lang w:val="en"/>
              </w:rPr>
              <w:t>&gt;16</w:t>
            </w:r>
            <w:r w:rsidRPr="00480139">
              <w:rPr>
                <w:rFonts w:ascii="Arial" w:hAnsi="Arial" w:cs="Arial"/>
                <w:lang w:val="en"/>
              </w:rPr>
              <w:br/>
              <w:t>OSI&gt;12.3</w:t>
            </w:r>
            <w:r w:rsidRPr="007D6BA1">
              <w:rPr>
                <w:rFonts w:cs="Arial (Body CS)"/>
                <w:vertAlign w:val="superscript"/>
              </w:rPr>
              <w:t>1</w:t>
            </w:r>
          </w:p>
        </w:tc>
      </w:tr>
      <w:tr w:rsidR="009B6D28" w:rsidRPr="005837F6" w:rsidTr="00DD09C2">
        <w:trPr>
          <w:trHeight w:val="1290"/>
        </w:trPr>
        <w:tc>
          <w:tcPr>
            <w:tcW w:w="1880" w:type="dxa"/>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 </w:t>
            </w:r>
          </w:p>
        </w:tc>
        <w:tc>
          <w:tcPr>
            <w:tcW w:w="7540" w:type="dxa"/>
            <w:gridSpan w:val="4"/>
            <w:hideMark/>
          </w:tcPr>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1-Use Pa</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-based metric when available. If Pa</w:t>
            </w:r>
            <w:r>
              <w:rPr>
                <w:rFonts w:ascii="Arial" w:hAnsi="Arial" w:cs="Arial"/>
                <w:lang w:val="en"/>
              </w:rPr>
              <w:t>O</w:t>
            </w:r>
            <w:r w:rsidRPr="007D6BA1">
              <w:rPr>
                <w:rFonts w:ascii="Arial" w:hAnsi="Arial" w:cs="Arial"/>
                <w:vertAlign w:val="subscript"/>
                <w:lang w:val="en"/>
              </w:rPr>
              <w:t>2</w:t>
            </w:r>
            <w:r>
              <w:rPr>
                <w:rFonts w:ascii="Arial" w:hAnsi="Arial" w:cs="Arial"/>
                <w:vertAlign w:val="subscript"/>
                <w:lang w:val="en"/>
              </w:rPr>
              <w:t xml:space="preserve"> </w:t>
            </w:r>
            <w:r w:rsidRPr="00480139">
              <w:rPr>
                <w:rFonts w:ascii="Arial" w:hAnsi="Arial" w:cs="Arial"/>
                <w:lang w:val="en"/>
              </w:rPr>
              <w:t>is not available, wean Fi</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 xml:space="preserve"> to maintain Sp</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 xml:space="preserve"> ≤97% to calculate oxygen saturation index (OSI</w:t>
            </w:r>
            <w:r>
              <w:rPr>
                <w:rFonts w:ascii="Arial" w:hAnsi="Arial" w:cs="Arial"/>
                <w:lang w:val="en"/>
              </w:rPr>
              <w:t>:</w:t>
            </w:r>
            <w:r w:rsidRPr="00480139">
              <w:rPr>
                <w:rFonts w:ascii="Arial" w:hAnsi="Arial" w:cs="Arial"/>
                <w:lang w:val="en"/>
              </w:rPr>
              <w:t xml:space="preserve"> [Fi</w:t>
            </w:r>
            <w:r>
              <w:rPr>
                <w:rFonts w:ascii="Arial" w:hAnsi="Arial" w:cs="Arial"/>
                <w:lang w:val="en"/>
              </w:rPr>
              <w:t>O</w:t>
            </w:r>
            <w:r w:rsidRPr="007D6BA1">
              <w:rPr>
                <w:rFonts w:ascii="Arial" w:hAnsi="Arial" w:cs="Arial"/>
                <w:vertAlign w:val="subscript"/>
                <w:lang w:val="en"/>
              </w:rPr>
              <w:t>2</w:t>
            </w:r>
            <w:r>
              <w:rPr>
                <w:rFonts w:ascii="Arial" w:hAnsi="Arial" w:cs="Arial"/>
                <w:vertAlign w:val="subscript"/>
                <w:lang w:val="en"/>
              </w:rPr>
              <w:t xml:space="preserve"> </w:t>
            </w:r>
            <w:r w:rsidRPr="00480139">
              <w:rPr>
                <w:rFonts w:ascii="Arial" w:hAnsi="Arial" w:cs="Arial"/>
                <w:lang w:val="en"/>
              </w:rPr>
              <w:t>× mean airway pressure × 100]/Sp</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 or Sp</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 Fi</w:t>
            </w:r>
            <w:r>
              <w:rPr>
                <w:rFonts w:ascii="Arial" w:hAnsi="Arial" w:cs="Arial"/>
                <w:lang w:val="en"/>
              </w:rPr>
              <w:t>O</w:t>
            </w:r>
            <w:r w:rsidRPr="007D6BA1">
              <w:rPr>
                <w:rFonts w:ascii="Arial" w:hAnsi="Arial" w:cs="Arial"/>
                <w:vertAlign w:val="subscript"/>
                <w:lang w:val="en"/>
              </w:rPr>
              <w:t>2</w:t>
            </w:r>
            <w:r w:rsidRPr="00480139">
              <w:rPr>
                <w:rFonts w:ascii="Arial" w:hAnsi="Arial" w:cs="Arial"/>
                <w:lang w:val="en"/>
              </w:rPr>
              <w:t xml:space="preserve"> (SF) ratio.</w:t>
            </w:r>
          </w:p>
          <w:p w:rsidR="009B6D28" w:rsidRPr="00480139" w:rsidRDefault="009B6D28" w:rsidP="00DD09C2">
            <w:pPr>
              <w:autoSpaceDE w:val="0"/>
              <w:autoSpaceDN w:val="0"/>
              <w:adjustRightInd w:val="0"/>
              <w:spacing w:line="360" w:lineRule="auto"/>
              <w:rPr>
                <w:rFonts w:ascii="Arial" w:hAnsi="Arial" w:cs="Arial"/>
                <w:rtl/>
                <w:lang w:val="en"/>
              </w:rPr>
            </w:pPr>
            <w:r w:rsidRPr="00480139">
              <w:rPr>
                <w:rFonts w:ascii="Arial" w:hAnsi="Arial" w:cs="Arial"/>
                <w:lang w:val="en"/>
              </w:rPr>
              <w:t>2-For non-intubated patients treated with supplemental oxygen or nasal modes of noninvasive ventilation</w:t>
            </w:r>
          </w:p>
        </w:tc>
      </w:tr>
    </w:tbl>
    <w:p w:rsidR="001551E6" w:rsidRDefault="009B6D28">
      <w:pPr>
        <w:rPr>
          <w:rFonts w:ascii="Arial" w:hAnsi="Arial" w:cs="Arial"/>
          <w:sz w:val="20"/>
          <w:szCs w:val="20"/>
          <w:lang w:val="en" w:bidi="ar-EG"/>
        </w:rPr>
      </w:pPr>
      <w:r>
        <w:rPr>
          <w:rFonts w:ascii="Arial" w:hAnsi="Arial" w:cs="Arial"/>
          <w:b/>
          <w:bCs/>
          <w:sz w:val="20"/>
          <w:szCs w:val="20"/>
          <w:lang w:val="en" w:bidi="ar-EG"/>
        </w:rPr>
        <w:t xml:space="preserve">Supplementary </w:t>
      </w:r>
      <w:r w:rsidRPr="00084016">
        <w:rPr>
          <w:rFonts w:ascii="Arial" w:hAnsi="Arial" w:cs="Arial"/>
          <w:b/>
          <w:bCs/>
          <w:sz w:val="20"/>
          <w:szCs w:val="20"/>
          <w:lang w:val="en" w:bidi="ar-EG"/>
        </w:rPr>
        <w:t>Table 1: Pediatric acute respiratory distress syndrome (PARDS) definition</w:t>
      </w:r>
      <w:r w:rsidRPr="00084016">
        <w:rPr>
          <w:rFonts w:ascii="Arial" w:hAnsi="Arial" w:cs="Arial"/>
          <w:sz w:val="20"/>
          <w:szCs w:val="20"/>
          <w:lang w:val="en" w:bidi="ar-EG"/>
        </w:rPr>
        <w:t xml:space="preserve"> (CPAP: continuous positive airway pressure, PF ratio:</w:t>
      </w:r>
      <w:r w:rsidRPr="00084016">
        <w:rPr>
          <w:rFonts w:ascii="Arial" w:hAnsi="Arial" w:cs="Arial"/>
          <w:sz w:val="20"/>
          <w:szCs w:val="20"/>
          <w:lang w:val="en"/>
        </w:rPr>
        <w:t xml:space="preserve"> partial pressure of arterial oxygen ratio to Fractional Index of Inspired Oxygen</w:t>
      </w:r>
      <w:r w:rsidRPr="00084016">
        <w:rPr>
          <w:rFonts w:ascii="Arial" w:hAnsi="Arial" w:cs="Arial"/>
          <w:sz w:val="20"/>
          <w:szCs w:val="20"/>
          <w:lang w:val="en" w:bidi="ar-EG"/>
        </w:rPr>
        <w:t xml:space="preserve">, SF ratio </w:t>
      </w:r>
      <w:r w:rsidRPr="00084016">
        <w:rPr>
          <w:rFonts w:ascii="Arial" w:hAnsi="Arial" w:cs="Arial"/>
          <w:sz w:val="20"/>
          <w:szCs w:val="20"/>
          <w:lang w:val="en"/>
        </w:rPr>
        <w:t>SpO</w:t>
      </w:r>
      <w:r w:rsidRPr="00084016">
        <w:rPr>
          <w:rFonts w:ascii="Arial" w:hAnsi="Arial" w:cs="Arial"/>
          <w:sz w:val="20"/>
          <w:szCs w:val="20"/>
          <w:vertAlign w:val="subscript"/>
          <w:lang w:val="en"/>
        </w:rPr>
        <w:t>2</w:t>
      </w:r>
      <w:r w:rsidRPr="00084016">
        <w:rPr>
          <w:rFonts w:ascii="Arial" w:hAnsi="Arial" w:cs="Arial"/>
          <w:sz w:val="20"/>
          <w:szCs w:val="20"/>
          <w:lang w:val="en" w:bidi="ar-EG"/>
        </w:rPr>
        <w:t>:</w:t>
      </w:r>
      <w:r w:rsidRPr="00084016">
        <w:rPr>
          <w:rFonts w:ascii="Arial" w:hAnsi="Arial" w:cs="Arial"/>
          <w:sz w:val="20"/>
          <w:szCs w:val="20"/>
          <w:lang w:val="en"/>
        </w:rPr>
        <w:t>FiO</w:t>
      </w:r>
      <w:r w:rsidRPr="00084016">
        <w:rPr>
          <w:rFonts w:ascii="Arial" w:hAnsi="Arial" w:cs="Arial"/>
          <w:sz w:val="20"/>
          <w:szCs w:val="20"/>
          <w:vertAlign w:val="subscript"/>
          <w:lang w:val="en"/>
        </w:rPr>
        <w:t>2</w:t>
      </w:r>
      <w:r w:rsidRPr="00084016">
        <w:rPr>
          <w:rFonts w:ascii="Arial" w:hAnsi="Arial" w:cs="Arial"/>
          <w:sz w:val="20"/>
          <w:szCs w:val="20"/>
          <w:lang w:val="en" w:bidi="ar-EG"/>
        </w:rPr>
        <w:t>, OI: oxygenation index, OSI: oxygen saturation index)</w:t>
      </w:r>
    </w:p>
    <w:p w:rsidR="001551E6" w:rsidRDefault="001551E6">
      <w:pPr>
        <w:rPr>
          <w:rFonts w:ascii="Arial" w:hAnsi="Arial" w:cs="Arial"/>
          <w:b/>
          <w:sz w:val="20"/>
          <w:szCs w:val="20"/>
          <w:lang w:val="en" w:bidi="ar-EG"/>
        </w:rPr>
      </w:pPr>
    </w:p>
    <w:p w:rsidR="001551E6" w:rsidRDefault="001551E6">
      <w:pPr>
        <w:rPr>
          <w:rFonts w:ascii="Arial" w:hAnsi="Arial" w:cs="Arial"/>
          <w:b/>
          <w:sz w:val="20"/>
          <w:szCs w:val="20"/>
          <w:lang w:val="en" w:bidi="ar-EG"/>
        </w:rPr>
      </w:pPr>
    </w:p>
    <w:p w:rsidR="001551E6" w:rsidRDefault="001551E6">
      <w:pPr>
        <w:rPr>
          <w:rFonts w:ascii="Arial" w:hAnsi="Arial" w:cs="Arial"/>
          <w:b/>
          <w:sz w:val="20"/>
          <w:szCs w:val="20"/>
          <w:lang w:val="en" w:bidi="ar-EG"/>
        </w:rPr>
      </w:pPr>
    </w:p>
    <w:p w:rsidR="001551E6" w:rsidRDefault="001551E6">
      <w:pPr>
        <w:rPr>
          <w:rFonts w:ascii="Arial" w:hAnsi="Arial" w:cs="Arial"/>
          <w:b/>
          <w:sz w:val="20"/>
          <w:szCs w:val="20"/>
          <w:lang w:val="en" w:bidi="ar-EG"/>
        </w:rPr>
      </w:pPr>
      <w:r w:rsidRPr="001551E6">
        <w:rPr>
          <w:rFonts w:ascii="Arial" w:hAnsi="Arial" w:cs="Arial"/>
          <w:b/>
          <w:sz w:val="20"/>
          <w:szCs w:val="20"/>
          <w:lang w:val="en" w:bidi="ar-EG"/>
        </w:rPr>
        <w:lastRenderedPageBreak/>
        <w:t>Reference</w:t>
      </w:r>
    </w:p>
    <w:p w:rsidR="001551E6" w:rsidRPr="001551E6" w:rsidRDefault="001551E6" w:rsidP="001551E6">
      <w:r>
        <w:rPr>
          <w:rFonts w:ascii="Arial" w:hAnsi="Arial" w:cs="Arial"/>
          <w:sz w:val="20"/>
          <w:szCs w:val="20"/>
          <w:lang w:val="en" w:bidi="ar-EG"/>
        </w:rPr>
        <w:t xml:space="preserve">22. </w:t>
      </w:r>
      <w:proofErr w:type="spellStart"/>
      <w:r w:rsidRPr="001551E6">
        <w:rPr>
          <w:rFonts w:ascii="Arial" w:hAnsi="Arial" w:cs="Arial"/>
          <w:sz w:val="20"/>
          <w:szCs w:val="20"/>
          <w:lang w:val="en" w:bidi="ar-EG"/>
        </w:rPr>
        <w:t>Khemani</w:t>
      </w:r>
      <w:proofErr w:type="spellEnd"/>
      <w:r w:rsidRPr="001551E6">
        <w:rPr>
          <w:rFonts w:ascii="Arial" w:hAnsi="Arial" w:cs="Arial"/>
          <w:sz w:val="20"/>
          <w:szCs w:val="20"/>
          <w:lang w:val="en" w:bidi="ar-EG"/>
        </w:rPr>
        <w:t xml:space="preserve"> RG, Smith LS, Zimmerman JJ, Erickson S (2015) Pediatric Acute Lung Injury Consensus C</w:t>
      </w:r>
      <w:bookmarkStart w:id="0" w:name="_GoBack"/>
      <w:bookmarkEnd w:id="0"/>
      <w:r w:rsidRPr="001551E6">
        <w:rPr>
          <w:rFonts w:ascii="Arial" w:hAnsi="Arial" w:cs="Arial"/>
          <w:sz w:val="20"/>
          <w:szCs w:val="20"/>
          <w:lang w:val="en" w:bidi="ar-EG"/>
        </w:rPr>
        <w:t xml:space="preserve">onference Group. </w:t>
      </w:r>
      <w:proofErr w:type="gramStart"/>
      <w:r w:rsidRPr="001551E6">
        <w:rPr>
          <w:rFonts w:ascii="Arial" w:hAnsi="Arial" w:cs="Arial"/>
          <w:sz w:val="20"/>
          <w:szCs w:val="20"/>
          <w:lang w:val="en" w:bidi="ar-EG"/>
        </w:rPr>
        <w:t>Pediatric acute respiratory distress syndrome.</w:t>
      </w:r>
      <w:proofErr w:type="gramEnd"/>
      <w:r w:rsidRPr="001551E6">
        <w:rPr>
          <w:rFonts w:ascii="Arial" w:hAnsi="Arial" w:cs="Arial"/>
          <w:sz w:val="20"/>
          <w:szCs w:val="20"/>
          <w:lang w:val="en" w:bidi="ar-EG"/>
        </w:rPr>
        <w:t xml:space="preserve"> </w:t>
      </w:r>
      <w:proofErr w:type="spellStart"/>
      <w:r w:rsidRPr="001551E6">
        <w:rPr>
          <w:rFonts w:ascii="Arial" w:hAnsi="Arial" w:cs="Arial"/>
          <w:sz w:val="20"/>
          <w:szCs w:val="20"/>
          <w:lang w:val="en" w:bidi="ar-EG"/>
        </w:rPr>
        <w:t>Pediatr</w:t>
      </w:r>
      <w:proofErr w:type="spellEnd"/>
      <w:r w:rsidRPr="001551E6">
        <w:rPr>
          <w:rFonts w:ascii="Arial" w:hAnsi="Arial" w:cs="Arial"/>
          <w:sz w:val="20"/>
          <w:szCs w:val="20"/>
          <w:lang w:val="en" w:bidi="ar-EG"/>
        </w:rPr>
        <w:t xml:space="preserve"> </w:t>
      </w:r>
      <w:proofErr w:type="spellStart"/>
      <w:r w:rsidRPr="001551E6">
        <w:rPr>
          <w:rFonts w:ascii="Arial" w:hAnsi="Arial" w:cs="Arial"/>
          <w:sz w:val="20"/>
          <w:szCs w:val="20"/>
          <w:lang w:val="en" w:bidi="ar-EG"/>
        </w:rPr>
        <w:t>Crit</w:t>
      </w:r>
      <w:proofErr w:type="spellEnd"/>
      <w:r w:rsidRPr="001551E6">
        <w:rPr>
          <w:rFonts w:ascii="Arial" w:hAnsi="Arial" w:cs="Arial"/>
          <w:sz w:val="20"/>
          <w:szCs w:val="20"/>
          <w:lang w:val="en" w:bidi="ar-EG"/>
        </w:rPr>
        <w:t xml:space="preserve"> Care Med 16(5):23–40</w:t>
      </w:r>
    </w:p>
    <w:sectPr w:rsidR="001551E6" w:rsidRPr="0015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28"/>
    <w:rsid w:val="00006584"/>
    <w:rsid w:val="00086CE6"/>
    <w:rsid w:val="000C3046"/>
    <w:rsid w:val="00142AB5"/>
    <w:rsid w:val="001551E6"/>
    <w:rsid w:val="001D4401"/>
    <w:rsid w:val="001F2257"/>
    <w:rsid w:val="00220F36"/>
    <w:rsid w:val="002729E7"/>
    <w:rsid w:val="00421080"/>
    <w:rsid w:val="005104ED"/>
    <w:rsid w:val="00511083"/>
    <w:rsid w:val="00527E00"/>
    <w:rsid w:val="005E499C"/>
    <w:rsid w:val="00675FCC"/>
    <w:rsid w:val="007524DB"/>
    <w:rsid w:val="007614DE"/>
    <w:rsid w:val="0080477B"/>
    <w:rsid w:val="00824448"/>
    <w:rsid w:val="00881EA5"/>
    <w:rsid w:val="00882AEE"/>
    <w:rsid w:val="008D77B1"/>
    <w:rsid w:val="00910919"/>
    <w:rsid w:val="009B0B7C"/>
    <w:rsid w:val="009B4E23"/>
    <w:rsid w:val="009B6D28"/>
    <w:rsid w:val="00A507DE"/>
    <w:rsid w:val="00AB547B"/>
    <w:rsid w:val="00B026A8"/>
    <w:rsid w:val="00B70CED"/>
    <w:rsid w:val="00B71BDD"/>
    <w:rsid w:val="00B94A8C"/>
    <w:rsid w:val="00C617A4"/>
    <w:rsid w:val="00D13A4E"/>
    <w:rsid w:val="00DC146C"/>
    <w:rsid w:val="00DC27EB"/>
    <w:rsid w:val="00DD4B10"/>
    <w:rsid w:val="00DF0307"/>
    <w:rsid w:val="00EA4130"/>
    <w:rsid w:val="00EF5B28"/>
    <w:rsid w:val="00EF6DE3"/>
    <w:rsid w:val="00F31E5A"/>
    <w:rsid w:val="00F90492"/>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D28"/>
    <w:pPr>
      <w:spacing w:after="0" w:line="240" w:lineRule="auto"/>
      <w:jc w:val="right"/>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D28"/>
    <w:pPr>
      <w:spacing w:after="0" w:line="240" w:lineRule="auto"/>
      <w:jc w:val="right"/>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3BF1-40C7-481D-B379-A1D855F0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749630</dc:creator>
  <cp:lastModifiedBy>Flores, Roy</cp:lastModifiedBy>
  <cp:revision>3</cp:revision>
  <dcterms:created xsi:type="dcterms:W3CDTF">2020-10-24T02:37:00Z</dcterms:created>
  <dcterms:modified xsi:type="dcterms:W3CDTF">2020-11-06T16:02:00Z</dcterms:modified>
</cp:coreProperties>
</file>