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E5A" w:rsidRPr="001A7E5A" w:rsidRDefault="001A7E5A">
      <w:pPr>
        <w:rPr>
          <w:rFonts w:ascii="Times New Roman" w:hAnsi="Times New Roman" w:cs="Times New Roman"/>
          <w:sz w:val="20"/>
          <w:szCs w:val="20"/>
        </w:rPr>
      </w:pPr>
      <w:r w:rsidRPr="001A7E5A">
        <w:rPr>
          <w:rFonts w:ascii="Times New Roman" w:hAnsi="Times New Roman" w:cs="Times New Roman"/>
          <w:b/>
          <w:sz w:val="20"/>
          <w:szCs w:val="20"/>
        </w:rPr>
        <w:t xml:space="preserve">Supplemental Figure 1 </w:t>
      </w:r>
      <w:r w:rsidRPr="001A7E5A">
        <w:rPr>
          <w:rFonts w:ascii="Times New Roman" w:hAnsi="Times New Roman" w:cs="Times New Roman"/>
          <w:sz w:val="20"/>
          <w:szCs w:val="20"/>
        </w:rPr>
        <w:t>Example of a physician-patient communication regarding skin toxicities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B76766">
        <w:rPr>
          <w:rFonts w:ascii="Times New Roman" w:hAnsi="Times New Roman" w:cs="Times New Roman"/>
          <w:sz w:val="20"/>
          <w:szCs w:val="20"/>
        </w:rPr>
        <w:t>patient brochure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B76766" w:rsidRDefault="001A7E5A">
      <w:r>
        <w:rPr>
          <w:noProof/>
        </w:rPr>
        <w:drawing>
          <wp:inline distT="0" distB="0" distL="0" distR="0" wp14:anchorId="3C7F9771" wp14:editId="05E3BFA6">
            <wp:extent cx="5943600" cy="4585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E5A" w:rsidRDefault="001A7E5A">
      <w:r>
        <w:rPr>
          <w:noProof/>
        </w:rPr>
        <w:lastRenderedPageBreak/>
        <w:drawing>
          <wp:inline distT="0" distB="0" distL="0" distR="0" wp14:anchorId="245EA4F5" wp14:editId="38C40B31">
            <wp:extent cx="5943600" cy="43948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31A" w:rsidRPr="00CC431A" w:rsidRDefault="00CC431A">
      <w:r w:rsidRPr="00CC431A">
        <w:t xml:space="preserve">Lynch TJ Jr, Kim ES, </w:t>
      </w:r>
      <w:proofErr w:type="spellStart"/>
      <w:r w:rsidRPr="00CC431A">
        <w:t>Eaby</w:t>
      </w:r>
      <w:proofErr w:type="spellEnd"/>
      <w:r w:rsidRPr="00CC431A">
        <w:t xml:space="preserve"> B, </w:t>
      </w:r>
      <w:proofErr w:type="spellStart"/>
      <w:r w:rsidRPr="00CC431A">
        <w:t>Garey</w:t>
      </w:r>
      <w:proofErr w:type="spellEnd"/>
      <w:r w:rsidRPr="00CC431A">
        <w:t xml:space="preserve"> J, West DP, Lacouture ME. Epidermal growth factor receptor inhibitor-associated cutaneous toxicities: an evolving paradigm in clinical management. </w:t>
      </w:r>
      <w:r w:rsidRPr="00CC431A">
        <w:rPr>
          <w:i/>
          <w:iCs/>
        </w:rPr>
        <w:t>Oncologist</w:t>
      </w:r>
      <w:r w:rsidRPr="00CC431A">
        <w:t>. 2007</w:t>
      </w:r>
      <w:proofErr w:type="gramStart"/>
      <w:r w:rsidRPr="00CC431A">
        <w:t>;12</w:t>
      </w:r>
      <w:proofErr w:type="gramEnd"/>
      <w:r w:rsidRPr="00CC431A">
        <w:t>(5):610-621, patient brochure. http://theoncologist.alphamedpress.org/content/suppl /2007/08/27/12.5.610.DC1/Patien</w:t>
      </w:r>
      <w:bookmarkStart w:id="0" w:name="_GoBack"/>
      <w:bookmarkEnd w:id="0"/>
      <w:r w:rsidRPr="00CC431A">
        <w:t>t_Brochure.pdf. Accessed July 21, 2016.</w:t>
      </w:r>
    </w:p>
    <w:sectPr w:rsidR="00CC431A" w:rsidRPr="00CC4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71FCE"/>
    <w:multiLevelType w:val="hybridMultilevel"/>
    <w:tmpl w:val="AB8C8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E5A"/>
    <w:rsid w:val="001A7E5A"/>
    <w:rsid w:val="0030013B"/>
    <w:rsid w:val="00B76766"/>
    <w:rsid w:val="00CC431A"/>
    <w:rsid w:val="00F6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C01C6C-FD90-418B-BBA8-33999E39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676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B76766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18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402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Gino Randazzo (CT)</dc:creator>
  <cp:keywords/>
  <dc:description/>
  <cp:lastModifiedBy>Gino Randazzo (CT)</cp:lastModifiedBy>
  <cp:revision>2</cp:revision>
  <dcterms:created xsi:type="dcterms:W3CDTF">2016-07-28T19:39:00Z</dcterms:created>
  <dcterms:modified xsi:type="dcterms:W3CDTF">2016-07-28T19:39:00Z</dcterms:modified>
</cp:coreProperties>
</file>