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4114" w14:textId="70B22566" w:rsidR="00752376" w:rsidRDefault="00752376" w:rsidP="0075237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</w:p>
    <w:tbl>
      <w:tblPr>
        <w:tblStyle w:val="PlainTable21"/>
        <w:tblW w:w="0" w:type="auto"/>
        <w:tblInd w:w="0" w:type="dxa"/>
        <w:tblLook w:val="0620" w:firstRow="1" w:lastRow="0" w:firstColumn="0" w:lastColumn="0" w:noHBand="1" w:noVBand="1"/>
      </w:tblPr>
      <w:tblGrid>
        <w:gridCol w:w="3641"/>
        <w:gridCol w:w="1481"/>
        <w:gridCol w:w="1417"/>
        <w:gridCol w:w="1417"/>
        <w:gridCol w:w="1070"/>
      </w:tblGrid>
      <w:tr w:rsidR="00752376" w:rsidRPr="00BF1470" w14:paraId="055BBD62" w14:textId="77777777" w:rsidTr="001C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BCC3D63" w14:textId="51673929" w:rsidR="00752376" w:rsidRPr="007B04BA" w:rsidRDefault="00BF1470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BF1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Table 6.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Demographics, clinical characteristics and outcomes in beta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>-blocker non-users (BB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 w:eastAsia="sv-SE"/>
              </w:rPr>
              <w:t>-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) and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beta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>-blocker users (BB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 w:eastAsia="sv-SE"/>
              </w:rPr>
              <w:t>+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) </w:t>
            </w:r>
            <w:r w:rsidR="00752376" w:rsidRPr="007B04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sv-SE"/>
              </w:rPr>
              <w:t xml:space="preserve">over 65 years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undergoing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hip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fracture surgery</w:t>
            </w:r>
            <w:r w:rsidR="00752376"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</w:tc>
      </w:tr>
      <w:tr w:rsidR="00752376" w:rsidRPr="007B04BA" w14:paraId="58E031F8" w14:textId="77777777" w:rsidTr="001C54CC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D17D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Variable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878A1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Total</w:t>
            </w:r>
          </w:p>
          <w:p w14:paraId="5508BD6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N = 126,934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5747F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BB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-</w:t>
            </w:r>
          </w:p>
          <w:p w14:paraId="6E710BB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N = 76,251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AAF9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BB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  <w:p w14:paraId="3D8FEEE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N = 50,683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CDF29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</w:tr>
      <w:tr w:rsidR="00752376" w:rsidRPr="007B04BA" w14:paraId="562D14CD" w14:textId="77777777" w:rsidTr="001C54C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E9C9E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Age in years, mean [SD]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2FEA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83.6 (±7.7)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2029CD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83.5 (±7.9)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0953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83.7 (±7.3)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98F64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039D207B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3E4D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Sex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F33A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7FFE3183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3B28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3AB9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87,933 (69.3)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AD0EB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52,050 (68.3)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D940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35,883 (70.8)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7D0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549ABAF7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E6DF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94D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38,987 (30.7)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3DC7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24,194 (31.7)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D8B5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14,793 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2E5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0CEDF934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03885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      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37AE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14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EDA5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A2C9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 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3C9A09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7EEF7A79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7E00A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Type of Beta-blocker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B036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N/A</w:t>
            </w:r>
          </w:p>
        </w:tc>
      </w:tr>
      <w:tr w:rsidR="00752376" w:rsidRPr="007B04BA" w14:paraId="44587782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A5E8B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Metoprolol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CFFE" w14:textId="77777777" w:rsidR="00752376" w:rsidRPr="007B04BA" w:rsidRDefault="00752376" w:rsidP="001C54CC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29,106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D006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5C4BE" w14:textId="77777777" w:rsidR="00752376" w:rsidRPr="007B04BA" w:rsidRDefault="00752376" w:rsidP="001C54CC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29,106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658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78E6D9C0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D880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      Bisoprolol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891BB1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9,551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7F4E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7BCE3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9,551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A3BF1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45887E40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C996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      Atenolol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4F72D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6,866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B6A7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1220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6,866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3B16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36BF133A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036F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     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87F4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5,160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7F52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4A6A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5,160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9DAE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458FB508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16CF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ASA* classification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CE11D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1D6DC14E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CFC5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8691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4,926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A45E4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4,148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7EDC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778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AD79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03CE2087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941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63C00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44,884 (35.4)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88E1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29,512 (38.7)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FC3C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15,372 (30.3)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5E5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47D2A3D2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2844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887B4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64,527 (50.8)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AF94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35,616 (46.7)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A006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28,911 (57.0)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EEAC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1B3BE409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E397F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9AF0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10,159 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D7B2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5,473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9B96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4,686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4A1CB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2B496CF1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7DB0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B5AE3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132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962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87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F07E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45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FB39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3FA665F4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E51F4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EF7A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2,306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FDFB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1,415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5663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891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F1F7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353894AC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A2201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lastRenderedPageBreak/>
              <w:t>CCI</w:t>
            </w: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sv-SE"/>
              </w:rPr>
              <w:t>#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7475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49D6BF27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49A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≤4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243D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52,581 (41.4)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257F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34,549 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810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18,032 (35.6)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A41C1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3B2FF724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0D5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8C9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49,681 (39.1)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7549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29,382 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3FF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20,299 (40.1)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373D7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33F4DC03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8F99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≥7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CFE8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24,672 (19.4)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E9DD3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12,320 (16.2)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97460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12,352 (24.4)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B2871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2376" w:rsidRPr="007B04BA" w14:paraId="0E39F23B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93F7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Fracture type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3E8E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37D07A84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89E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Non-displaced cervical (Garden 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CBC1B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16,224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92E33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10,259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44E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5,965 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70F3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3F4964F0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8EE3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Displaced cervical (Garden 3-4)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8CDF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47,344 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33A5B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28,330 (37.2)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2678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19,014 (37.5)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BC31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18CC7F93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21B8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       </w:t>
            </w:r>
            <w:proofErr w:type="spellStart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Basicervical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63FA4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4,153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4425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2,537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182D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1,616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5EC7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621097F3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6D9A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       </w:t>
            </w:r>
            <w:proofErr w:type="spellStart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Peritrochanteric</w:t>
            </w:r>
            <w:proofErr w:type="spellEnd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(two fragments)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9D9A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25,512 (20.1)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FB5C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15,167 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8D6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10,345 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B18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1A04570F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A2294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       </w:t>
            </w:r>
            <w:proofErr w:type="spellStart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Peritrochanteric</w:t>
            </w:r>
            <w:proofErr w:type="spellEnd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(multiple fragments)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81F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23,495 (18.5)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2628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14,039 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BE2C3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9,456 (18.7)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7326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7ED7DFD5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8C872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Subtrochanteric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ADA6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10,153 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9BAC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5,892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F6FC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4,261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2D0F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728A9225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B2E67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4129D7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53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F148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27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3E0A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26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E3D8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6D4BB003" w14:textId="77777777" w:rsidTr="001C54CC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5813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Type of surgery</w:t>
            </w: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9F011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 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3DED3B9A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AC5C4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Pins or screws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BD22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20,231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9DFE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12,729 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FBAE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7,502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1C77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2E8D0B60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145EF5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       Screws or pins with </w:t>
            </w:r>
            <w:proofErr w:type="spellStart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sideplate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BB8F2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32,960 (26.0)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2CA85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19,947 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02969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13,013 (25.7)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21538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16AA5DCF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FA2C5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Intramedullary nail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467A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30,333 (23.9)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9BF0B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17,714 (23.2)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047A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12,619 (24.9)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7FA359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554B7220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D84D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Hemiarthroplasty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D5616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34,321 (27.0)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C761D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20,380 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C1493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13,941 (27.5)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FD4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0D6A9876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18E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Total hip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6499B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9,016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2AA8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5,433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4FA78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3,583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9D059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2376" w:rsidRPr="007B04BA" w14:paraId="4D49BAAE" w14:textId="77777777" w:rsidTr="001C54C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67AE3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      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92B15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73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AB50FF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48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4F050E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25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481A95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08B83C6" w14:textId="77777777" w:rsidR="00752376" w:rsidRPr="007B04BA" w:rsidRDefault="00752376" w:rsidP="00752376">
      <w:pPr>
        <w:rPr>
          <w:rFonts w:ascii="Times New Roman" w:hAnsi="Times New Roman" w:cs="Times New Roman"/>
          <w:lang w:val="en-US"/>
        </w:rPr>
      </w:pPr>
      <w:r w:rsidRPr="007B04BA">
        <w:rPr>
          <w:rFonts w:ascii="Times New Roman" w:hAnsi="Times New Roman" w:cs="Times New Roman"/>
          <w:lang w:val="en-US"/>
        </w:rPr>
        <w:t>* American Society of Anesthesiologists, # Charlson Comorbidity Score</w:t>
      </w:r>
    </w:p>
    <w:p w14:paraId="234AFF40" w14:textId="390AB225" w:rsidR="00BF1470" w:rsidRDefault="00BF14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  <w:br w:type="page"/>
      </w:r>
    </w:p>
    <w:p w14:paraId="6A610E27" w14:textId="77777777" w:rsidR="00752376" w:rsidRDefault="00752376" w:rsidP="0075237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349"/>
        <w:gridCol w:w="3795"/>
        <w:gridCol w:w="1937"/>
        <w:gridCol w:w="1680"/>
        <w:gridCol w:w="1265"/>
      </w:tblGrid>
      <w:tr w:rsidR="00752376" w:rsidRPr="00BF1470" w14:paraId="17A79BA2" w14:textId="77777777" w:rsidTr="001C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noWrap/>
            <w:hideMark/>
          </w:tcPr>
          <w:p w14:paraId="0F2EF632" w14:textId="7139AFDC" w:rsidR="00752376" w:rsidRPr="007B04BA" w:rsidRDefault="00BF1470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BF14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Table 7.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Outcomes in beta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>-blocker non-users (BB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 w:eastAsia="sv-SE"/>
              </w:rPr>
              <w:t>-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) and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beta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>-blocker users (BB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 w:eastAsia="sv-SE"/>
              </w:rPr>
              <w:t>+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) </w:t>
            </w:r>
            <w:r w:rsidR="00752376" w:rsidRPr="007B04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sv-SE"/>
              </w:rPr>
              <w:t xml:space="preserve">over 65 years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>after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hip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fracture surgery</w:t>
            </w:r>
          </w:p>
        </w:tc>
      </w:tr>
      <w:tr w:rsidR="00752376" w:rsidRPr="007B04BA" w14:paraId="5D1167F9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noWrap/>
            <w:hideMark/>
          </w:tcPr>
          <w:p w14:paraId="140A4390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68CE9725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8894A3F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BB</w:t>
            </w: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sv-SE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25F22AA1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BB</w:t>
            </w: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sv-SE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noWrap/>
            <w:hideMark/>
          </w:tcPr>
          <w:p w14:paraId="565A30DD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0CE3034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auto"/>
            </w:tcBorders>
            <w:noWrap/>
            <w:hideMark/>
          </w:tcPr>
          <w:p w14:paraId="7FCEA58D" w14:textId="77777777" w:rsidR="00752376" w:rsidRPr="007B04BA" w:rsidRDefault="00752376" w:rsidP="001C54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noWrap/>
            <w:hideMark/>
          </w:tcPr>
          <w:p w14:paraId="35B21A38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noWrap/>
            <w:hideMark/>
          </w:tcPr>
          <w:p w14:paraId="0CA4A3E6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N = 76,251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noWrap/>
            <w:hideMark/>
          </w:tcPr>
          <w:p w14:paraId="233061F5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>N = 50,683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noWrap/>
            <w:hideMark/>
          </w:tcPr>
          <w:p w14:paraId="122ABEB6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</w:tr>
      <w:tr w:rsidR="00752376" w:rsidRPr="00BF1470" w14:paraId="3E4C1A9D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2" w:space="0" w:color="auto"/>
            </w:tcBorders>
            <w:noWrap/>
            <w:hideMark/>
          </w:tcPr>
          <w:p w14:paraId="7C01158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Hospital length of stay, days</w:t>
            </w:r>
          </w:p>
        </w:tc>
        <w:tc>
          <w:tcPr>
            <w:tcW w:w="0" w:type="auto"/>
            <w:tcBorders>
              <w:top w:val="single" w:sz="2" w:space="0" w:color="auto"/>
            </w:tcBorders>
            <w:noWrap/>
            <w:hideMark/>
          </w:tcPr>
          <w:p w14:paraId="50A4B7DC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noWrap/>
            <w:hideMark/>
          </w:tcPr>
          <w:p w14:paraId="5A2E53A7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1F8ECB54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5D6E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5D32E61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Median [Q</w:t>
            </w:r>
            <w:proofErr w:type="gramStart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2,Q</w:t>
            </w:r>
            <w:proofErr w:type="gramEnd"/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3]</w:t>
            </w:r>
          </w:p>
        </w:tc>
        <w:tc>
          <w:tcPr>
            <w:tcW w:w="0" w:type="auto"/>
            <w:noWrap/>
            <w:hideMark/>
          </w:tcPr>
          <w:p w14:paraId="04B0D4D9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 [5,11]</w:t>
            </w:r>
          </w:p>
        </w:tc>
        <w:tc>
          <w:tcPr>
            <w:tcW w:w="0" w:type="auto"/>
            <w:noWrap/>
            <w:hideMark/>
          </w:tcPr>
          <w:p w14:paraId="0EE244EE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 [5,12]</w:t>
            </w:r>
          </w:p>
        </w:tc>
        <w:tc>
          <w:tcPr>
            <w:tcW w:w="0" w:type="auto"/>
            <w:noWrap/>
            <w:hideMark/>
          </w:tcPr>
          <w:p w14:paraId="197B0580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69A62F0A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441B287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30-day all-cause mortality, n (%)</w:t>
            </w:r>
          </w:p>
        </w:tc>
        <w:tc>
          <w:tcPr>
            <w:tcW w:w="0" w:type="auto"/>
            <w:noWrap/>
            <w:vAlign w:val="bottom"/>
            <w:hideMark/>
          </w:tcPr>
          <w:p w14:paraId="60EC13A0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8,179 (10.7)</w:t>
            </w:r>
          </w:p>
        </w:tc>
        <w:tc>
          <w:tcPr>
            <w:tcW w:w="0" w:type="auto"/>
            <w:noWrap/>
            <w:vAlign w:val="bottom"/>
            <w:hideMark/>
          </w:tcPr>
          <w:p w14:paraId="5BB9DC61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1,922 (3.8)</w:t>
            </w:r>
          </w:p>
        </w:tc>
        <w:tc>
          <w:tcPr>
            <w:tcW w:w="0" w:type="auto"/>
            <w:noWrap/>
            <w:hideMark/>
          </w:tcPr>
          <w:p w14:paraId="04486DBA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00AE006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276794DC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90-day all-cause mortality, n (%)</w:t>
            </w:r>
          </w:p>
        </w:tc>
        <w:tc>
          <w:tcPr>
            <w:tcW w:w="0" w:type="auto"/>
            <w:noWrap/>
            <w:vAlign w:val="bottom"/>
            <w:hideMark/>
          </w:tcPr>
          <w:p w14:paraId="4BC689EC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13,321 (17.5)</w:t>
            </w:r>
          </w:p>
        </w:tc>
        <w:tc>
          <w:tcPr>
            <w:tcW w:w="0" w:type="auto"/>
            <w:noWrap/>
            <w:vAlign w:val="bottom"/>
            <w:hideMark/>
          </w:tcPr>
          <w:p w14:paraId="1AA5FFF3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4,325 (8.5)</w:t>
            </w:r>
          </w:p>
        </w:tc>
        <w:tc>
          <w:tcPr>
            <w:tcW w:w="0" w:type="auto"/>
            <w:noWrap/>
            <w:hideMark/>
          </w:tcPr>
          <w:p w14:paraId="6D58BF41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001</w:t>
            </w:r>
          </w:p>
        </w:tc>
      </w:tr>
      <w:tr w:rsidR="00752376" w:rsidRPr="007B04BA" w14:paraId="2A96C638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14:paraId="2E511BB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30-day cause-specific mortality*</w:t>
            </w:r>
          </w:p>
        </w:tc>
        <w:tc>
          <w:tcPr>
            <w:tcW w:w="0" w:type="auto"/>
            <w:noWrap/>
            <w:hideMark/>
          </w:tcPr>
          <w:p w14:paraId="78A2430E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03F35F2C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47FCD0FB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F24C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272458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Cardiovascular event, n (%)</w:t>
            </w:r>
          </w:p>
        </w:tc>
        <w:tc>
          <w:tcPr>
            <w:tcW w:w="0" w:type="auto"/>
            <w:noWrap/>
            <w:vAlign w:val="bottom"/>
            <w:hideMark/>
          </w:tcPr>
          <w:p w14:paraId="44E2FDAD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3,281 (40.1)</w:t>
            </w:r>
          </w:p>
        </w:tc>
        <w:tc>
          <w:tcPr>
            <w:tcW w:w="0" w:type="auto"/>
            <w:noWrap/>
            <w:vAlign w:val="bottom"/>
            <w:hideMark/>
          </w:tcPr>
          <w:p w14:paraId="532AAC50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 (45.3)</w:t>
            </w:r>
          </w:p>
        </w:tc>
        <w:tc>
          <w:tcPr>
            <w:tcW w:w="0" w:type="auto"/>
            <w:noWrap/>
            <w:hideMark/>
          </w:tcPr>
          <w:p w14:paraId="27216A6E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5BFB5D3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EA10E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697B1C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Respiratory failure, n (%)</w:t>
            </w:r>
          </w:p>
        </w:tc>
        <w:tc>
          <w:tcPr>
            <w:tcW w:w="0" w:type="auto"/>
            <w:noWrap/>
            <w:vAlign w:val="bottom"/>
            <w:hideMark/>
          </w:tcPr>
          <w:p w14:paraId="148C1828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1,418 (17.3)</w:t>
            </w:r>
          </w:p>
        </w:tc>
        <w:tc>
          <w:tcPr>
            <w:tcW w:w="0" w:type="auto"/>
            <w:noWrap/>
            <w:vAlign w:val="bottom"/>
            <w:hideMark/>
          </w:tcPr>
          <w:p w14:paraId="5D87697B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 (13.9)</w:t>
            </w:r>
          </w:p>
        </w:tc>
        <w:tc>
          <w:tcPr>
            <w:tcW w:w="0" w:type="auto"/>
            <w:noWrap/>
            <w:hideMark/>
          </w:tcPr>
          <w:p w14:paraId="2EE6814E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6FD396D6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3AC3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A62C4C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Cerebrovascular event, n (%)</w:t>
            </w:r>
          </w:p>
        </w:tc>
        <w:tc>
          <w:tcPr>
            <w:tcW w:w="0" w:type="auto"/>
            <w:noWrap/>
            <w:vAlign w:val="bottom"/>
            <w:hideMark/>
          </w:tcPr>
          <w:p w14:paraId="7A22BC82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(1.6)</w:t>
            </w:r>
          </w:p>
        </w:tc>
        <w:tc>
          <w:tcPr>
            <w:tcW w:w="0" w:type="auto"/>
            <w:noWrap/>
            <w:vAlign w:val="bottom"/>
            <w:hideMark/>
          </w:tcPr>
          <w:p w14:paraId="21A6C15D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(1.6)</w:t>
            </w:r>
          </w:p>
        </w:tc>
        <w:tc>
          <w:tcPr>
            <w:tcW w:w="0" w:type="auto"/>
            <w:noWrap/>
            <w:hideMark/>
          </w:tcPr>
          <w:p w14:paraId="1554C343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1.000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5ECC7C32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E841C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62EDD1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Sepsis, n (%)</w:t>
            </w:r>
          </w:p>
        </w:tc>
        <w:tc>
          <w:tcPr>
            <w:tcW w:w="0" w:type="auto"/>
            <w:noWrap/>
            <w:vAlign w:val="bottom"/>
            <w:hideMark/>
          </w:tcPr>
          <w:p w14:paraId="1EE4C108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 (1.9)</w:t>
            </w:r>
          </w:p>
        </w:tc>
        <w:tc>
          <w:tcPr>
            <w:tcW w:w="0" w:type="auto"/>
            <w:noWrap/>
            <w:vAlign w:val="bottom"/>
            <w:hideMark/>
          </w:tcPr>
          <w:p w14:paraId="48CE052E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(1.8)</w:t>
            </w:r>
          </w:p>
        </w:tc>
        <w:tc>
          <w:tcPr>
            <w:tcW w:w="0" w:type="auto"/>
            <w:noWrap/>
            <w:hideMark/>
          </w:tcPr>
          <w:p w14:paraId="22A9952C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0.760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5E3D2034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5616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035B08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Multiorgan failure, n (%)</w:t>
            </w:r>
          </w:p>
        </w:tc>
        <w:tc>
          <w:tcPr>
            <w:tcW w:w="0" w:type="auto"/>
            <w:noWrap/>
            <w:vAlign w:val="bottom"/>
            <w:hideMark/>
          </w:tcPr>
          <w:p w14:paraId="06C3547D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2,897 (35.4)</w:t>
            </w:r>
          </w:p>
        </w:tc>
        <w:tc>
          <w:tcPr>
            <w:tcW w:w="0" w:type="auto"/>
            <w:noWrap/>
            <w:vAlign w:val="bottom"/>
            <w:hideMark/>
          </w:tcPr>
          <w:p w14:paraId="0E8D0087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 (33.4)</w:t>
            </w:r>
          </w:p>
        </w:tc>
        <w:tc>
          <w:tcPr>
            <w:tcW w:w="0" w:type="auto"/>
            <w:noWrap/>
            <w:hideMark/>
          </w:tcPr>
          <w:p w14:paraId="5259E899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0.010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1C6C140B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956E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3590C2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Unknown, n (%)</w:t>
            </w:r>
          </w:p>
          <w:p w14:paraId="0A35162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9ECC87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 (2.8)</w:t>
            </w:r>
          </w:p>
        </w:tc>
        <w:tc>
          <w:tcPr>
            <w:tcW w:w="0" w:type="auto"/>
            <w:noWrap/>
            <w:vAlign w:val="bottom"/>
            <w:hideMark/>
          </w:tcPr>
          <w:p w14:paraId="34191708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(3.4)</w:t>
            </w:r>
          </w:p>
        </w:tc>
        <w:tc>
          <w:tcPr>
            <w:tcW w:w="0" w:type="auto"/>
            <w:noWrap/>
            <w:hideMark/>
          </w:tcPr>
          <w:p w14:paraId="41956C64" w14:textId="77777777" w:rsidR="00752376" w:rsidRPr="007B04BA" w:rsidRDefault="00752376" w:rsidP="001C54C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0.240</w:t>
            </w:r>
            <w:r w:rsidRPr="007B04B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val="en-US"/>
              </w:rPr>
              <w:t>#</w:t>
            </w:r>
          </w:p>
        </w:tc>
      </w:tr>
      <w:tr w:rsidR="00752376" w:rsidRPr="007B04BA" w14:paraId="226003A9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noWrap/>
          </w:tcPr>
          <w:p w14:paraId="7949AA0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* Percentages calculated as fractions of the total number of 30-day deaths for the relevant subgroup</w:t>
            </w:r>
          </w:p>
          <w:p w14:paraId="1A0DE6E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7B04B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#</w:t>
            </w:r>
            <w:r w:rsidRPr="007B04BA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Adjusted for multiple comparisons.</w:t>
            </w:r>
            <w:r w:rsidRPr="007B04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87938C5" w14:textId="1DB07756" w:rsidR="00BF1470" w:rsidRDefault="00BF1470" w:rsidP="0075237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</w:p>
    <w:p w14:paraId="15DEE3DA" w14:textId="77777777" w:rsidR="00BF1470" w:rsidRDefault="00BF14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  <w:br w:type="page"/>
      </w:r>
    </w:p>
    <w:p w14:paraId="41CAD740" w14:textId="77777777" w:rsidR="00752376" w:rsidRDefault="00752376" w:rsidP="0075237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en-US" w:eastAsia="en-GB"/>
        </w:rPr>
      </w:pPr>
    </w:p>
    <w:tbl>
      <w:tblPr>
        <w:tblStyle w:val="Oformateradtabell21"/>
        <w:tblW w:w="0" w:type="auto"/>
        <w:tblLook w:val="06A0" w:firstRow="1" w:lastRow="0" w:firstColumn="1" w:lastColumn="0" w:noHBand="1" w:noVBand="1"/>
      </w:tblPr>
      <w:tblGrid>
        <w:gridCol w:w="1729"/>
        <w:gridCol w:w="4439"/>
        <w:gridCol w:w="1678"/>
        <w:gridCol w:w="860"/>
        <w:gridCol w:w="320"/>
      </w:tblGrid>
      <w:tr w:rsidR="00752376" w:rsidRPr="00BF1470" w14:paraId="011A22B7" w14:textId="77777777" w:rsidTr="001C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bottom w:val="single" w:sz="2" w:space="0" w:color="auto"/>
            </w:tcBorders>
            <w:noWrap/>
            <w:hideMark/>
          </w:tcPr>
          <w:p w14:paraId="3D83B742" w14:textId="2ECB8983" w:rsidR="00752376" w:rsidRPr="007B04BA" w:rsidRDefault="00BF1470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BF1470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Table 8.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 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sv-SE"/>
              </w:rPr>
              <w:t xml:space="preserve">Incidence rate ratio (IRR) for 30-day mortality after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>hip</w:t>
            </w:r>
            <w:r w:rsidR="00752376" w:rsidRPr="007B04B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sv-SE"/>
              </w:rPr>
              <w:t xml:space="preserve"> fracture surgery in patients </w:t>
            </w:r>
            <w:r w:rsidR="00752376" w:rsidRPr="007B04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sv-SE"/>
              </w:rPr>
              <w:t>over 65 years</w:t>
            </w:r>
          </w:p>
        </w:tc>
      </w:tr>
      <w:tr w:rsidR="00752376" w:rsidRPr="007B04BA" w14:paraId="2660B9E6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tcBorders>
              <w:top w:val="single" w:sz="2" w:space="0" w:color="auto"/>
              <w:bottom w:val="nil"/>
            </w:tcBorders>
            <w:noWrap/>
            <w:hideMark/>
          </w:tcPr>
          <w:p w14:paraId="62B281B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Variable</w:t>
            </w:r>
          </w:p>
        </w:tc>
        <w:tc>
          <w:tcPr>
            <w:tcW w:w="4599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528703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2B663F5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sz w:val="20"/>
                <w:szCs w:val="20"/>
                <w:lang w:val="en-US" w:eastAsia="sv-SE"/>
              </w:rPr>
              <w:t>IRR (95% CI)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0C9866D7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/>
                <w:sz w:val="20"/>
                <w:szCs w:val="20"/>
                <w:lang w:val="en-US" w:eastAsia="sv-SE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4DADFA1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093B8E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il"/>
            </w:tcBorders>
            <w:noWrap/>
            <w:hideMark/>
          </w:tcPr>
          <w:p w14:paraId="67C8691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Beta-blocker therapy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0E74B4E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2E4DE7E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DC7444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4FF57DC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</w:tcPr>
          <w:p w14:paraId="1E285C18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0D61BBB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796B41C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22C686F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35359E1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D21FCCC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</w:tcPr>
          <w:p w14:paraId="32DA7BE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02CFEC6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7DAC76E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·31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·29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·32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C59FC5E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0333968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427BD139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4BEC1CD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Age</w:t>
            </w:r>
          </w:p>
        </w:tc>
        <w:tc>
          <w:tcPr>
            <w:tcW w:w="4599" w:type="dxa"/>
            <w:noWrap/>
            <w:hideMark/>
          </w:tcPr>
          <w:p w14:paraId="3C1A4E5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583B9C2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06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05-1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06)</w:t>
            </w:r>
          </w:p>
        </w:tc>
        <w:tc>
          <w:tcPr>
            <w:tcW w:w="0" w:type="auto"/>
            <w:noWrap/>
            <w:hideMark/>
          </w:tcPr>
          <w:p w14:paraId="01E30B8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7E3E98E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447CC3BB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23164E4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Sex</w:t>
            </w:r>
          </w:p>
        </w:tc>
        <w:tc>
          <w:tcPr>
            <w:tcW w:w="4599" w:type="dxa"/>
            <w:noWrap/>
            <w:hideMark/>
          </w:tcPr>
          <w:p w14:paraId="29C4BF3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7BE8BC9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2A986A6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343731C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42046FC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016DB82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693D594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7196AE5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3CAC2C9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34372147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59558B69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3F409D47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2CDE75E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D5EC35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1·68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61-1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·75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7799E7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3FC08FB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2BC8793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  <w:hideMark/>
          </w:tcPr>
          <w:p w14:paraId="41D21CA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Charlson Comorbidity Index</w:t>
            </w:r>
          </w:p>
        </w:tc>
        <w:tc>
          <w:tcPr>
            <w:tcW w:w="0" w:type="auto"/>
            <w:noWrap/>
            <w:hideMark/>
          </w:tcPr>
          <w:p w14:paraId="34A10C07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2157439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178FAC38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44DEA41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2C491AC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≤4</w:t>
            </w:r>
          </w:p>
        </w:tc>
        <w:tc>
          <w:tcPr>
            <w:tcW w:w="0" w:type="auto"/>
            <w:noWrap/>
            <w:hideMark/>
          </w:tcPr>
          <w:p w14:paraId="0B94649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56E4903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197E264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79C99C74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7DCE90D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7896B62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5-6</w:t>
            </w:r>
          </w:p>
        </w:tc>
        <w:tc>
          <w:tcPr>
            <w:tcW w:w="0" w:type="auto"/>
            <w:noWrap/>
            <w:hideMark/>
          </w:tcPr>
          <w:p w14:paraId="48D61B4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·72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·63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·83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8E1666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5A22880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B8B70C2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4684108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537A73E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≥7</w:t>
            </w:r>
          </w:p>
        </w:tc>
        <w:tc>
          <w:tcPr>
            <w:tcW w:w="0" w:type="auto"/>
            <w:noWrap/>
            <w:hideMark/>
          </w:tcPr>
          <w:p w14:paraId="1BBCC6C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2·55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(2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·40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-2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·72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423593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4B21D23E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06146A8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5F71B35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ASA Classification</w:t>
            </w:r>
          </w:p>
        </w:tc>
        <w:tc>
          <w:tcPr>
            <w:tcW w:w="0" w:type="auto"/>
            <w:noWrap/>
            <w:hideMark/>
          </w:tcPr>
          <w:p w14:paraId="27F9198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1A55D1A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6958933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5B00A0E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847130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39B1116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8F4DEC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4512592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6BF2C1C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2B41BF7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4229549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46A0330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AD2502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·04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-1.55)</w:t>
            </w:r>
          </w:p>
        </w:tc>
        <w:tc>
          <w:tcPr>
            <w:tcW w:w="0" w:type="auto"/>
            <w:noWrap/>
            <w:hideMark/>
          </w:tcPr>
          <w:p w14:paraId="415A0CB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019</w:t>
            </w:r>
          </w:p>
        </w:tc>
        <w:tc>
          <w:tcPr>
            <w:tcW w:w="0" w:type="auto"/>
            <w:noWrap/>
            <w:hideMark/>
          </w:tcPr>
          <w:p w14:paraId="36A6777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55AC6C1E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1459EFCD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5951433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D8C9A9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2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·3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3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·92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-2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·84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612F46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103829E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D6D96DA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2BC95A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27C566C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B04D4F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4·31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(3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-5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36A8DB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09CBE06E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44E830D8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2041208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7D8ACF0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1366CB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7·58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(5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·43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FF62C8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12182FA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0269DD6E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1AA6A3E4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Fracture type</w:t>
            </w:r>
          </w:p>
        </w:tc>
        <w:tc>
          <w:tcPr>
            <w:tcW w:w="0" w:type="auto"/>
            <w:noWrap/>
            <w:hideMark/>
          </w:tcPr>
          <w:p w14:paraId="05EA180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00A79E5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3972C12E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1575F7D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32606A20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37D42B1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Non-displaced cervical (Garden 1-2)</w:t>
            </w:r>
          </w:p>
        </w:tc>
        <w:tc>
          <w:tcPr>
            <w:tcW w:w="0" w:type="auto"/>
            <w:noWrap/>
            <w:hideMark/>
          </w:tcPr>
          <w:p w14:paraId="6184E2B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41F9B75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23FBFF1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7DFC55E3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69B0B3F6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3AF4D68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Displaced cervical (Garden 3-4)</w:t>
            </w:r>
          </w:p>
        </w:tc>
        <w:tc>
          <w:tcPr>
            <w:tcW w:w="0" w:type="auto"/>
            <w:noWrap/>
            <w:hideMark/>
          </w:tcPr>
          <w:p w14:paraId="5DD7FEE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·34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·22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·48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25A73F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231F2C8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78DA73F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5477E8A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17259DB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proofErr w:type="spellStart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Basicervical</w:t>
            </w:r>
            <w:proofErr w:type="spellEnd"/>
          </w:p>
        </w:tc>
        <w:tc>
          <w:tcPr>
            <w:tcW w:w="0" w:type="auto"/>
            <w:noWrap/>
            <w:hideMark/>
          </w:tcPr>
          <w:p w14:paraId="191F8AA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·07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A1641F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72EC934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6B8B7E50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6F9EAF1A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35B06E7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proofErr w:type="spellStart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Peritrochanteric</w:t>
            </w:r>
            <w:proofErr w:type="spellEnd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(two fragments)</w:t>
            </w:r>
          </w:p>
        </w:tc>
        <w:tc>
          <w:tcPr>
            <w:tcW w:w="0" w:type="auto"/>
            <w:noWrap/>
            <w:hideMark/>
          </w:tcPr>
          <w:p w14:paraId="4C8A5BA4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·27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·09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·49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2EA73F3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276F152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7CC39CB7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6179BAA5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15FA4840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proofErr w:type="spellStart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Peritrochanteric</w:t>
            </w:r>
            <w:proofErr w:type="spellEnd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(multiple fragments)</w:t>
            </w:r>
          </w:p>
        </w:tc>
        <w:tc>
          <w:tcPr>
            <w:tcW w:w="0" w:type="auto"/>
            <w:noWrap/>
            <w:hideMark/>
          </w:tcPr>
          <w:p w14:paraId="3DB27FD7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·38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·17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·61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3DF249D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228C55C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39AB8FA2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7760081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3A247FFA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Subtrochanteric</w:t>
            </w:r>
          </w:p>
        </w:tc>
        <w:tc>
          <w:tcPr>
            <w:tcW w:w="0" w:type="auto"/>
            <w:noWrap/>
            <w:hideMark/>
          </w:tcPr>
          <w:p w14:paraId="254E774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·40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·18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·66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E41E5D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511BFC5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54243001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05B21C63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Type of surgery</w:t>
            </w:r>
          </w:p>
        </w:tc>
        <w:tc>
          <w:tcPr>
            <w:tcW w:w="0" w:type="auto"/>
            <w:noWrap/>
            <w:hideMark/>
          </w:tcPr>
          <w:p w14:paraId="1CF7AFF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6526AB29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17813D9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36BD9605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0B527D05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7692D67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Screw or pin</w:t>
            </w:r>
          </w:p>
        </w:tc>
        <w:tc>
          <w:tcPr>
            <w:tcW w:w="0" w:type="auto"/>
            <w:noWrap/>
            <w:hideMark/>
          </w:tcPr>
          <w:p w14:paraId="7A39C50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ref.</w:t>
            </w:r>
          </w:p>
        </w:tc>
        <w:tc>
          <w:tcPr>
            <w:tcW w:w="0" w:type="auto"/>
            <w:noWrap/>
            <w:hideMark/>
          </w:tcPr>
          <w:p w14:paraId="15479F4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  <w:noWrap/>
            <w:hideMark/>
          </w:tcPr>
          <w:p w14:paraId="77B6B15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39B9EAEE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223101C7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4D1DFF77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Screws or pins with </w:t>
            </w:r>
            <w:proofErr w:type="spellStart"/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sideplate</w:t>
            </w:r>
            <w:proofErr w:type="spellEnd"/>
          </w:p>
        </w:tc>
        <w:tc>
          <w:tcPr>
            <w:tcW w:w="0" w:type="auto"/>
            <w:noWrap/>
            <w:hideMark/>
          </w:tcPr>
          <w:p w14:paraId="12DE5FB6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95 (0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82-1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·10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80A76A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·501</w:t>
            </w:r>
          </w:p>
        </w:tc>
        <w:tc>
          <w:tcPr>
            <w:tcW w:w="0" w:type="auto"/>
            <w:noWrap/>
            <w:hideMark/>
          </w:tcPr>
          <w:p w14:paraId="44778F1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75053624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2C768A6C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5AA9228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Intramedullary rod</w:t>
            </w:r>
          </w:p>
        </w:tc>
        <w:tc>
          <w:tcPr>
            <w:tcW w:w="0" w:type="auto"/>
            <w:noWrap/>
            <w:hideMark/>
          </w:tcPr>
          <w:p w14:paraId="259E9852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·90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·77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·05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0463E4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·184</w:t>
            </w:r>
          </w:p>
        </w:tc>
        <w:tc>
          <w:tcPr>
            <w:tcW w:w="0" w:type="auto"/>
            <w:noWrap/>
            <w:hideMark/>
          </w:tcPr>
          <w:p w14:paraId="31CF33D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53535BEE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63FAFE42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2EF91B7F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Hemiarthroplasty</w:t>
            </w:r>
          </w:p>
        </w:tc>
        <w:tc>
          <w:tcPr>
            <w:tcW w:w="0" w:type="auto"/>
            <w:noWrap/>
            <w:hideMark/>
          </w:tcPr>
          <w:p w14:paraId="25A091B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0·96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89-1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04)</w:t>
            </w:r>
          </w:p>
        </w:tc>
        <w:tc>
          <w:tcPr>
            <w:tcW w:w="0" w:type="auto"/>
            <w:noWrap/>
            <w:hideMark/>
          </w:tcPr>
          <w:p w14:paraId="1C038E6C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366</w:t>
            </w:r>
          </w:p>
        </w:tc>
        <w:tc>
          <w:tcPr>
            <w:tcW w:w="0" w:type="auto"/>
            <w:noWrap/>
            <w:hideMark/>
          </w:tcPr>
          <w:p w14:paraId="4F7B96C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7B04BA" w14:paraId="0DDF1C81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14:paraId="3FFA8FEE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4599" w:type="dxa"/>
            <w:noWrap/>
            <w:hideMark/>
          </w:tcPr>
          <w:p w14:paraId="0A706878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Total hip replacement</w:t>
            </w:r>
          </w:p>
        </w:tc>
        <w:tc>
          <w:tcPr>
            <w:tcW w:w="0" w:type="auto"/>
            <w:noWrap/>
            <w:hideMark/>
          </w:tcPr>
          <w:p w14:paraId="15647041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·59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(0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·50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-0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·69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9332AFB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&lt;0</w:t>
            </w:r>
            <w:r w:rsidRPr="007B04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·</w:t>
            </w:r>
            <w:r w:rsidRPr="007B04BA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001</w:t>
            </w:r>
          </w:p>
        </w:tc>
        <w:tc>
          <w:tcPr>
            <w:tcW w:w="0" w:type="auto"/>
            <w:noWrap/>
            <w:hideMark/>
          </w:tcPr>
          <w:p w14:paraId="4B04AFF5" w14:textId="77777777" w:rsidR="00752376" w:rsidRPr="007B04BA" w:rsidRDefault="00752376" w:rsidP="001C54C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752376" w:rsidRPr="00BF1470" w14:paraId="575AFAF2" w14:textId="77777777" w:rsidTr="001C54C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noWrap/>
            <w:hideMark/>
          </w:tcPr>
          <w:p w14:paraId="435533D1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sv-SE"/>
              </w:rPr>
            </w:pPr>
          </w:p>
          <w:p w14:paraId="36B1A02F" w14:textId="77777777" w:rsidR="00752376" w:rsidRPr="007B04BA" w:rsidRDefault="00752376" w:rsidP="001C54CC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sv-SE"/>
              </w:rPr>
            </w:pPr>
            <w:r w:rsidRPr="007B04BA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 w:eastAsia="sv-SE"/>
              </w:rPr>
              <w:t>Poisson regression model with robust standard errors. Multiple imputation method for missing values. Model adjusted for age, sex, Charlson comorbidity index, ASA classification, fracture type and type of surgery.</w:t>
            </w:r>
          </w:p>
        </w:tc>
      </w:tr>
    </w:tbl>
    <w:p w14:paraId="27C50D2A" w14:textId="77777777" w:rsidR="00752376" w:rsidRPr="00752376" w:rsidRDefault="00752376">
      <w:pPr>
        <w:rPr>
          <w:lang w:val="en-US"/>
        </w:rPr>
      </w:pPr>
    </w:p>
    <w:sectPr w:rsidR="00752376" w:rsidRPr="0075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76"/>
    <w:rsid w:val="00752376"/>
    <w:rsid w:val="00B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43FFC0"/>
  <w15:chartTrackingRefBased/>
  <w15:docId w15:val="{0846C0D6-2C64-154D-A49B-5D892B0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76"/>
    <w:pPr>
      <w:spacing w:after="160" w:line="259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752376"/>
    <w:rPr>
      <w:sz w:val="22"/>
      <w:szCs w:val="22"/>
      <w:lang w:val="sv-S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752376"/>
    <w:rPr>
      <w:sz w:val="22"/>
      <w:szCs w:val="22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21">
    <w:name w:val="Oformaterad tabell 21"/>
    <w:basedOn w:val="TableNormal"/>
    <w:next w:val="PlainTable2"/>
    <w:uiPriority w:val="42"/>
    <w:rsid w:val="00752376"/>
    <w:rPr>
      <w:sz w:val="22"/>
      <w:szCs w:val="22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14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70"/>
    <w:rPr>
      <w:rFonts w:ascii="Times New Roman" w:hAnsi="Times New Roman" w:cs="Times New Roman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Mohseni</dc:creator>
  <cp:keywords/>
  <dc:description/>
  <cp:lastModifiedBy>Rebecka</cp:lastModifiedBy>
  <cp:revision>2</cp:revision>
  <dcterms:created xsi:type="dcterms:W3CDTF">2020-10-07T07:42:00Z</dcterms:created>
  <dcterms:modified xsi:type="dcterms:W3CDTF">2020-10-08T20:42:00Z</dcterms:modified>
</cp:coreProperties>
</file>