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E3" w:rsidRDefault="0066394D" w:rsidP="00C118E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  <w:r w:rsidRPr="00A819F4">
        <w:rPr>
          <w:b/>
          <w:color w:val="000000"/>
        </w:rPr>
        <w:t>Data S1.</w:t>
      </w:r>
      <w:r w:rsidR="003A6811">
        <w:rPr>
          <w:color w:val="000000"/>
        </w:rPr>
        <w:t xml:space="preserve"> Characteristics of the </w:t>
      </w:r>
      <w:r w:rsidR="00C118E3">
        <w:rPr>
          <w:color w:val="000000"/>
        </w:rPr>
        <w:t xml:space="preserve">excluded articles </w:t>
      </w:r>
    </w:p>
    <w:tbl>
      <w:tblPr>
        <w:tblStyle w:val="TableGrid"/>
        <w:tblW w:w="10488" w:type="dxa"/>
        <w:tblInd w:w="-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6652"/>
      </w:tblGrid>
      <w:tr w:rsidR="00C118E3" w:rsidTr="00014415">
        <w:trPr>
          <w:trHeight w:val="373"/>
        </w:trPr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C118E3" w:rsidRPr="00FF64FC" w:rsidRDefault="00C118E3" w:rsidP="00014415">
            <w:pPr>
              <w:jc w:val="center"/>
              <w:rPr>
                <w:sz w:val="22"/>
                <w:szCs w:val="22"/>
              </w:rPr>
            </w:pPr>
            <w:r w:rsidRPr="00FF64FC">
              <w:rPr>
                <w:sz w:val="22"/>
                <w:szCs w:val="22"/>
              </w:rPr>
              <w:t>Rationale for exclusion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</w:tcPr>
          <w:p w:rsidR="00C118E3" w:rsidRPr="00FF64FC" w:rsidRDefault="00C118E3" w:rsidP="00014415">
            <w:pPr>
              <w:jc w:val="center"/>
              <w:rPr>
                <w:sz w:val="22"/>
                <w:szCs w:val="22"/>
              </w:rPr>
            </w:pPr>
            <w:r w:rsidRPr="00FF64FC">
              <w:rPr>
                <w:sz w:val="22"/>
                <w:szCs w:val="22"/>
              </w:rPr>
              <w:t>Study</w:t>
            </w:r>
          </w:p>
        </w:tc>
      </w:tr>
      <w:tr w:rsidR="00C118E3" w:rsidTr="00014415">
        <w:trPr>
          <w:trHeight w:val="1606"/>
        </w:trPr>
        <w:tc>
          <w:tcPr>
            <w:tcW w:w="3836" w:type="dxa"/>
            <w:tcBorders>
              <w:top w:val="single" w:sz="4" w:space="0" w:color="auto"/>
            </w:tcBorders>
          </w:tcPr>
          <w:p w:rsidR="00C118E3" w:rsidRPr="00871354" w:rsidRDefault="00C118E3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EA7F5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871354">
              <w:rPr>
                <w:sz w:val="20"/>
                <w:szCs w:val="20"/>
              </w:rPr>
              <w:t>RCT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C118E3" w:rsidRPr="00871354" w:rsidRDefault="00D0316A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Ozcelik et al. 2015, Souza et al. </w:t>
            </w:r>
            <w:r w:rsidR="005B6A5F">
              <w:rPr>
                <w:sz w:val="20"/>
                <w:szCs w:val="20"/>
              </w:rPr>
              <w:t>2008</w:t>
            </w:r>
            <w:r w:rsidR="00A76025">
              <w:rPr>
                <w:sz w:val="20"/>
                <w:szCs w:val="20"/>
              </w:rPr>
              <w:t xml:space="preserve">, Bellver-Fernandez et al. 2016, </w:t>
            </w:r>
            <w:r w:rsidR="00287609">
              <w:rPr>
                <w:sz w:val="20"/>
                <w:szCs w:val="20"/>
              </w:rPr>
              <w:t xml:space="preserve">Cairo and pini-prato 2010, </w:t>
            </w:r>
            <w:r w:rsidR="004B0CD2">
              <w:rPr>
                <w:sz w:val="20"/>
                <w:szCs w:val="20"/>
              </w:rPr>
              <w:t xml:space="preserve">Chambrone and chambrone 2006, </w:t>
            </w:r>
            <w:r w:rsidR="00560E7C">
              <w:rPr>
                <w:sz w:val="20"/>
                <w:szCs w:val="20"/>
              </w:rPr>
              <w:t xml:space="preserve">de sanctis et al. 2011, </w:t>
            </w:r>
            <w:r w:rsidR="00F30DCA">
              <w:rPr>
                <w:sz w:val="20"/>
                <w:szCs w:val="20"/>
              </w:rPr>
              <w:t>Dominiak et al. 2006</w:t>
            </w:r>
            <w:r w:rsidR="00EA7F52">
              <w:rPr>
                <w:sz w:val="20"/>
                <w:szCs w:val="20"/>
              </w:rPr>
              <w:t xml:space="preserve">, Harris 2000, </w:t>
            </w:r>
            <w:r w:rsidR="00C93AB0">
              <w:rPr>
                <w:sz w:val="20"/>
                <w:szCs w:val="20"/>
              </w:rPr>
              <w:t>Harris 2002, Harris et al. 2005</w:t>
            </w:r>
            <w:r w:rsidR="00276FA9">
              <w:rPr>
                <w:sz w:val="20"/>
                <w:szCs w:val="20"/>
              </w:rPr>
              <w:t xml:space="preserve">, Hirsch et al. 2005, </w:t>
            </w:r>
            <w:r w:rsidR="00805E10">
              <w:rPr>
                <w:sz w:val="20"/>
                <w:szCs w:val="20"/>
              </w:rPr>
              <w:t xml:space="preserve">Lee et al. 2002, </w:t>
            </w:r>
            <w:r w:rsidR="00E9205E">
              <w:rPr>
                <w:sz w:val="20"/>
                <w:szCs w:val="20"/>
              </w:rPr>
              <w:t xml:space="preserve">Pini prato et al. 2010, </w:t>
            </w:r>
            <w:r w:rsidR="006E1896">
              <w:rPr>
                <w:sz w:val="20"/>
                <w:szCs w:val="20"/>
              </w:rPr>
              <w:t>pini-prato et al. 2010</w:t>
            </w:r>
            <w:r w:rsidR="00812F20">
              <w:rPr>
                <w:sz w:val="20"/>
                <w:szCs w:val="20"/>
              </w:rPr>
              <w:t xml:space="preserve">, pini-prato et al. 2011, </w:t>
            </w:r>
            <w:r w:rsidR="004F2A98">
              <w:rPr>
                <w:sz w:val="20"/>
                <w:szCs w:val="20"/>
              </w:rPr>
              <w:t>Pini-prato et al. 2015</w:t>
            </w:r>
            <w:r w:rsidR="000E701C">
              <w:rPr>
                <w:sz w:val="20"/>
                <w:szCs w:val="20"/>
              </w:rPr>
              <w:t xml:space="preserve">, </w:t>
            </w:r>
            <w:r w:rsidR="00076B4E">
              <w:rPr>
                <w:sz w:val="20"/>
                <w:szCs w:val="20"/>
              </w:rPr>
              <w:t xml:space="preserve">Pini-prato et al. 2015, </w:t>
            </w:r>
            <w:r w:rsidR="002E2BDB">
              <w:rPr>
                <w:sz w:val="20"/>
                <w:szCs w:val="20"/>
              </w:rPr>
              <w:t xml:space="preserve">Roman et al. 2012, </w:t>
            </w:r>
            <w:r w:rsidR="00325F87">
              <w:rPr>
                <w:sz w:val="20"/>
                <w:szCs w:val="20"/>
              </w:rPr>
              <w:t>Wennstrom and Zucchelli 1996</w:t>
            </w:r>
            <w:r w:rsidR="00477AEA">
              <w:rPr>
                <w:sz w:val="20"/>
                <w:szCs w:val="20"/>
              </w:rPr>
              <w:t xml:space="preserve">, </w:t>
            </w:r>
            <w:r w:rsidR="00FF008A">
              <w:rPr>
                <w:sz w:val="20"/>
                <w:szCs w:val="20"/>
              </w:rPr>
              <w:t xml:space="preserve">Zucchelli et al. 2010 </w:t>
            </w:r>
          </w:p>
        </w:tc>
      </w:tr>
      <w:tr w:rsidR="00436CF3" w:rsidTr="00E558BC">
        <w:trPr>
          <w:trHeight w:val="638"/>
        </w:trPr>
        <w:tc>
          <w:tcPr>
            <w:tcW w:w="3836" w:type="dxa"/>
            <w:tcBorders>
              <w:top w:val="single" w:sz="4" w:space="0" w:color="auto"/>
            </w:tcBorders>
          </w:tcPr>
          <w:p w:rsidR="00436CF3" w:rsidRDefault="00F75F91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EDTA used in adjuct to other biologic agents (EMD</w:t>
            </w:r>
            <w:r w:rsidR="00C11628">
              <w:rPr>
                <w:sz w:val="20"/>
                <w:szCs w:val="20"/>
              </w:rPr>
              <w:t>/PDGF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F75F91" w:rsidRPr="00871354" w:rsidRDefault="00C11628" w:rsidP="001F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Deshpande et al. 2014</w:t>
            </w:r>
            <w:r w:rsidR="009F3413">
              <w:rPr>
                <w:sz w:val="20"/>
                <w:szCs w:val="20"/>
              </w:rPr>
              <w:t>, Rubins et al. 2014</w:t>
            </w:r>
            <w:r w:rsidR="00524BCF">
              <w:rPr>
                <w:sz w:val="20"/>
                <w:szCs w:val="20"/>
              </w:rPr>
              <w:t xml:space="preserve"> </w:t>
            </w:r>
          </w:p>
        </w:tc>
      </w:tr>
      <w:tr w:rsidR="00D752E4" w:rsidTr="005E0438">
        <w:trPr>
          <w:trHeight w:val="620"/>
        </w:trPr>
        <w:tc>
          <w:tcPr>
            <w:tcW w:w="3836" w:type="dxa"/>
            <w:tcBorders>
              <w:top w:val="single" w:sz="4" w:space="0" w:color="auto"/>
            </w:tcBorders>
          </w:tcPr>
          <w:p w:rsidR="00D752E4" w:rsidRDefault="003E598E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CTG </w:t>
            </w:r>
            <w:r w:rsidR="005A3F7B">
              <w:rPr>
                <w:sz w:val="20"/>
                <w:szCs w:val="20"/>
              </w:rPr>
              <w:t xml:space="preserve">left </w:t>
            </w:r>
            <w:r>
              <w:rPr>
                <w:sz w:val="20"/>
                <w:szCs w:val="20"/>
              </w:rPr>
              <w:t>exposed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D752E4" w:rsidRDefault="005A3F7B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Byun et al. 2009</w:t>
            </w:r>
            <w:r w:rsidR="004B0CD2">
              <w:rPr>
                <w:sz w:val="20"/>
                <w:szCs w:val="20"/>
              </w:rPr>
              <w:t>, Cordioli</w:t>
            </w:r>
            <w:r w:rsidR="001552D8">
              <w:rPr>
                <w:sz w:val="20"/>
                <w:szCs w:val="20"/>
              </w:rPr>
              <w:t xml:space="preserve"> et al.</w:t>
            </w:r>
            <w:r w:rsidR="004B0CD2">
              <w:rPr>
                <w:sz w:val="20"/>
                <w:szCs w:val="20"/>
              </w:rPr>
              <w:t xml:space="preserve"> 2001, </w:t>
            </w:r>
            <w:r w:rsidR="00375986">
              <w:rPr>
                <w:sz w:val="20"/>
                <w:szCs w:val="20"/>
              </w:rPr>
              <w:t>Jepsen et al. 1998</w:t>
            </w:r>
          </w:p>
        </w:tc>
      </w:tr>
      <w:tr w:rsidR="005A3F7B" w:rsidTr="007B26CF">
        <w:trPr>
          <w:trHeight w:val="431"/>
        </w:trPr>
        <w:tc>
          <w:tcPr>
            <w:tcW w:w="3836" w:type="dxa"/>
            <w:tcBorders>
              <w:top w:val="single" w:sz="4" w:space="0" w:color="auto"/>
            </w:tcBorders>
          </w:tcPr>
          <w:p w:rsidR="005A3F7B" w:rsidRDefault="005A3F7B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 class III</w:t>
            </w:r>
          </w:p>
          <w:p w:rsidR="007D1082" w:rsidRDefault="007D1082" w:rsidP="00014415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5A3F7B" w:rsidRDefault="001E5DC0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Cairo et al. 2015 (SCTG)</w:t>
            </w:r>
            <w:r w:rsidR="00364EAC">
              <w:rPr>
                <w:sz w:val="20"/>
                <w:szCs w:val="20"/>
              </w:rPr>
              <w:t>, Henriques et al. 2010</w:t>
            </w:r>
          </w:p>
        </w:tc>
      </w:tr>
      <w:tr w:rsidR="004B11D6" w:rsidTr="007B26CF">
        <w:trPr>
          <w:trHeight w:val="530"/>
        </w:trPr>
        <w:tc>
          <w:tcPr>
            <w:tcW w:w="3836" w:type="dxa"/>
            <w:tcBorders>
              <w:top w:val="single" w:sz="4" w:space="0" w:color="auto"/>
            </w:tcBorders>
          </w:tcPr>
          <w:p w:rsidR="004B11D6" w:rsidRDefault="00EE0ECC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different chemical agent</w:t>
            </w:r>
            <w:r w:rsidR="00952BCE">
              <w:rPr>
                <w:sz w:val="20"/>
                <w:szCs w:val="20"/>
              </w:rPr>
              <w:t xml:space="preserve"> (Tetracycline) 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4B11D6" w:rsidRDefault="00952BCE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Bherwani et al. 2014</w:t>
            </w:r>
          </w:p>
        </w:tc>
      </w:tr>
      <w:tr w:rsidR="00FC786C" w:rsidTr="005E0438">
        <w:trPr>
          <w:trHeight w:val="629"/>
        </w:trPr>
        <w:tc>
          <w:tcPr>
            <w:tcW w:w="3836" w:type="dxa"/>
            <w:tcBorders>
              <w:top w:val="single" w:sz="4" w:space="0" w:color="auto"/>
            </w:tcBorders>
          </w:tcPr>
          <w:p w:rsidR="00FC786C" w:rsidRDefault="00FC786C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Non-carious cervical lesions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FC786C" w:rsidRDefault="00721E35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Santamaria et al. 2009, Santamaria 2010, </w:t>
            </w:r>
            <w:r w:rsidR="00FC786C">
              <w:rPr>
                <w:sz w:val="20"/>
                <w:szCs w:val="20"/>
              </w:rPr>
              <w:t>Santamaria et al. 2013, Santamaria et al. 2014</w:t>
            </w:r>
          </w:p>
        </w:tc>
      </w:tr>
      <w:tr w:rsidR="00952BCE" w:rsidTr="005E0438">
        <w:trPr>
          <w:trHeight w:val="530"/>
        </w:trPr>
        <w:tc>
          <w:tcPr>
            <w:tcW w:w="3836" w:type="dxa"/>
            <w:tcBorders>
              <w:top w:val="single" w:sz="4" w:space="0" w:color="auto"/>
            </w:tcBorders>
          </w:tcPr>
          <w:p w:rsidR="00952BCE" w:rsidRDefault="00952BCE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of a previous randomized trial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952BCE" w:rsidRDefault="00952BCE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Cairo et al. 2015</w:t>
            </w:r>
            <w:r w:rsidR="009A2AA6">
              <w:rPr>
                <w:sz w:val="20"/>
                <w:szCs w:val="20"/>
              </w:rPr>
              <w:t xml:space="preserve">, </w:t>
            </w:r>
            <w:r w:rsidR="009D52D9">
              <w:rPr>
                <w:sz w:val="20"/>
                <w:szCs w:val="20"/>
              </w:rPr>
              <w:t>Moses et al. 2006</w:t>
            </w:r>
          </w:p>
        </w:tc>
      </w:tr>
      <w:tr w:rsidR="005A7A85" w:rsidTr="006E46F7">
        <w:trPr>
          <w:trHeight w:val="791"/>
        </w:trPr>
        <w:tc>
          <w:tcPr>
            <w:tcW w:w="3836" w:type="dxa"/>
            <w:tcBorders>
              <w:top w:val="single" w:sz="4" w:space="0" w:color="auto"/>
            </w:tcBorders>
          </w:tcPr>
          <w:p w:rsidR="005A7A85" w:rsidRDefault="005A7A85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871354">
              <w:rPr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>ing</w:t>
            </w:r>
            <w:r w:rsidRPr="00871354">
              <w:rPr>
                <w:sz w:val="20"/>
                <w:szCs w:val="20"/>
              </w:rPr>
              <w:t xml:space="preserve"> SD or 95% confidential intervals for any of the investigated parameters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5A7A85" w:rsidRDefault="005A7A85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Lops et al. 2015</w:t>
            </w:r>
          </w:p>
        </w:tc>
      </w:tr>
      <w:tr w:rsidR="00EF36B8" w:rsidTr="007B26CF">
        <w:trPr>
          <w:trHeight w:val="710"/>
        </w:trPr>
        <w:tc>
          <w:tcPr>
            <w:tcW w:w="3836" w:type="dxa"/>
            <w:tcBorders>
              <w:top w:val="single" w:sz="4" w:space="0" w:color="auto"/>
            </w:tcBorders>
          </w:tcPr>
          <w:p w:rsidR="00EF36B8" w:rsidRPr="00871354" w:rsidRDefault="001C34EA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</w:t>
            </w:r>
            <w:r w:rsidR="00483546">
              <w:rPr>
                <w:sz w:val="20"/>
                <w:szCs w:val="20"/>
              </w:rPr>
              <w:t>/unclear data,</w:t>
            </w:r>
            <w:r>
              <w:rPr>
                <w:sz w:val="20"/>
                <w:szCs w:val="20"/>
              </w:rPr>
              <w:t xml:space="preserve"> u</w:t>
            </w:r>
            <w:r w:rsidR="00EF36B8">
              <w:rPr>
                <w:sz w:val="20"/>
                <w:szCs w:val="20"/>
              </w:rPr>
              <w:t>nable to extract raw data for statistical analysis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520856" w:rsidRPr="007B26CF" w:rsidRDefault="001C34EA" w:rsidP="00014415">
            <w:pPr>
              <w:rPr>
                <w:sz w:val="20"/>
                <w:szCs w:val="20"/>
              </w:rPr>
            </w:pPr>
            <w:r w:rsidRPr="00CB684B">
              <w:rPr>
                <w:sz w:val="20"/>
                <w:szCs w:val="20"/>
              </w:rPr>
              <w:t>Zucchelli et al. 1998</w:t>
            </w:r>
            <w:r w:rsidR="001F2E50" w:rsidRPr="00CB684B">
              <w:rPr>
                <w:sz w:val="20"/>
                <w:szCs w:val="20"/>
              </w:rPr>
              <w:t xml:space="preserve">, </w:t>
            </w:r>
            <w:r w:rsidR="001F2E50">
              <w:rPr>
                <w:sz w:val="20"/>
                <w:szCs w:val="20"/>
              </w:rPr>
              <w:t>Alkan et al. 2011</w:t>
            </w:r>
          </w:p>
        </w:tc>
      </w:tr>
      <w:tr w:rsidR="007E17B2" w:rsidTr="007B26CF">
        <w:trPr>
          <w:trHeight w:val="539"/>
        </w:trPr>
        <w:tc>
          <w:tcPr>
            <w:tcW w:w="3836" w:type="dxa"/>
            <w:tcBorders>
              <w:top w:val="single" w:sz="4" w:space="0" w:color="auto"/>
            </w:tcBorders>
          </w:tcPr>
          <w:p w:rsidR="007E17B2" w:rsidRDefault="00893AFA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flap design than</w:t>
            </w:r>
            <w:r w:rsidR="007E17B2" w:rsidRPr="00871354">
              <w:rPr>
                <w:sz w:val="20"/>
                <w:szCs w:val="20"/>
              </w:rPr>
              <w:t xml:space="preserve"> CAF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7E17B2" w:rsidRPr="00C709A1" w:rsidRDefault="007E17B2" w:rsidP="00014415">
            <w:pPr>
              <w:rPr>
                <w:sz w:val="20"/>
                <w:szCs w:val="20"/>
                <w:highlight w:val="yellow"/>
              </w:rPr>
            </w:pPr>
            <w:r w:rsidRPr="00BD3088">
              <w:rPr>
                <w:sz w:val="20"/>
                <w:szCs w:val="20"/>
              </w:rPr>
              <w:t>Tunali et al. 2015</w:t>
            </w:r>
            <w:r w:rsidR="00BD3088">
              <w:rPr>
                <w:sz w:val="20"/>
                <w:szCs w:val="20"/>
              </w:rPr>
              <w:t xml:space="preserve"> (IJPRD)</w:t>
            </w:r>
          </w:p>
        </w:tc>
      </w:tr>
      <w:tr w:rsidR="00520856" w:rsidTr="00134585">
        <w:trPr>
          <w:trHeight w:val="3509"/>
        </w:trPr>
        <w:tc>
          <w:tcPr>
            <w:tcW w:w="3836" w:type="dxa"/>
            <w:tcBorders>
              <w:top w:val="single" w:sz="4" w:space="0" w:color="auto"/>
            </w:tcBorders>
          </w:tcPr>
          <w:p w:rsidR="00520856" w:rsidRDefault="00B37939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one year</w:t>
            </w:r>
            <w:r w:rsidR="009668B4">
              <w:rPr>
                <w:sz w:val="20"/>
                <w:szCs w:val="20"/>
              </w:rPr>
              <w:t xml:space="preserve"> follow-up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520856" w:rsidRDefault="00B37939" w:rsidP="0001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Kassab et al. 2006, Cortellini et al. 2009, Eren et al. 20</w:t>
            </w:r>
            <w:r w:rsidR="009D6F47">
              <w:rPr>
                <w:sz w:val="20"/>
                <w:szCs w:val="20"/>
              </w:rPr>
              <w:t>14, Fernandes-Dias et al. 2015</w:t>
            </w:r>
            <w:r>
              <w:rPr>
                <w:sz w:val="20"/>
                <w:szCs w:val="20"/>
              </w:rPr>
              <w:t>, Santamaria et al. 2017, McGuire et al. 2009</w:t>
            </w:r>
            <w:r w:rsidR="00C114BB">
              <w:rPr>
                <w:sz w:val="20"/>
                <w:szCs w:val="20"/>
              </w:rPr>
              <w:t xml:space="preserve">, </w:t>
            </w:r>
            <w:r w:rsidR="001E5DC0">
              <w:rPr>
                <w:sz w:val="20"/>
                <w:szCs w:val="20"/>
              </w:rPr>
              <w:t xml:space="preserve">Cairo et al. 2015 (SCTG), </w:t>
            </w:r>
            <w:r w:rsidR="001B28CA">
              <w:rPr>
                <w:sz w:val="20"/>
                <w:szCs w:val="20"/>
              </w:rPr>
              <w:t xml:space="preserve">Gilbert et el. 2015, </w:t>
            </w:r>
            <w:r w:rsidR="00237322">
              <w:rPr>
                <w:sz w:val="20"/>
                <w:szCs w:val="20"/>
              </w:rPr>
              <w:t xml:space="preserve">Mazzocco et al. 2011, </w:t>
            </w:r>
            <w:r w:rsidR="00E72D9E">
              <w:rPr>
                <w:sz w:val="20"/>
                <w:szCs w:val="20"/>
              </w:rPr>
              <w:t>Salhi et al. 2014</w:t>
            </w:r>
            <w:r w:rsidR="0028436D">
              <w:rPr>
                <w:sz w:val="20"/>
                <w:szCs w:val="20"/>
              </w:rPr>
              <w:t xml:space="preserve"> </w:t>
            </w:r>
          </w:p>
        </w:tc>
      </w:tr>
    </w:tbl>
    <w:p w:rsidR="0001045D" w:rsidRDefault="00DE0BD5"/>
    <w:sectPr w:rsidR="0001045D" w:rsidSect="0089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E3"/>
    <w:rsid w:val="00076B4E"/>
    <w:rsid w:val="000A3D7C"/>
    <w:rsid w:val="000E701C"/>
    <w:rsid w:val="000F4E7C"/>
    <w:rsid w:val="00113AC7"/>
    <w:rsid w:val="00134585"/>
    <w:rsid w:val="001552D8"/>
    <w:rsid w:val="00171716"/>
    <w:rsid w:val="00190EE2"/>
    <w:rsid w:val="0019293C"/>
    <w:rsid w:val="001A7F2F"/>
    <w:rsid w:val="001B28CA"/>
    <w:rsid w:val="001C34EA"/>
    <w:rsid w:val="001E5DC0"/>
    <w:rsid w:val="001F1AFA"/>
    <w:rsid w:val="001F2E50"/>
    <w:rsid w:val="00237322"/>
    <w:rsid w:val="002521E8"/>
    <w:rsid w:val="0026195C"/>
    <w:rsid w:val="00261E49"/>
    <w:rsid w:val="002713C7"/>
    <w:rsid w:val="00276FA9"/>
    <w:rsid w:val="0028436D"/>
    <w:rsid w:val="00287609"/>
    <w:rsid w:val="002B7E9A"/>
    <w:rsid w:val="002D1918"/>
    <w:rsid w:val="002E2BDB"/>
    <w:rsid w:val="0030473B"/>
    <w:rsid w:val="003067B7"/>
    <w:rsid w:val="00313CAD"/>
    <w:rsid w:val="003224DF"/>
    <w:rsid w:val="00325F87"/>
    <w:rsid w:val="00364EAC"/>
    <w:rsid w:val="00375986"/>
    <w:rsid w:val="00393375"/>
    <w:rsid w:val="003A6811"/>
    <w:rsid w:val="003D32A5"/>
    <w:rsid w:val="003E03E8"/>
    <w:rsid w:val="003E598E"/>
    <w:rsid w:val="003E6D89"/>
    <w:rsid w:val="00401D2C"/>
    <w:rsid w:val="00407A7B"/>
    <w:rsid w:val="0042205F"/>
    <w:rsid w:val="004310CC"/>
    <w:rsid w:val="00436CF3"/>
    <w:rsid w:val="00450B9E"/>
    <w:rsid w:val="004548C8"/>
    <w:rsid w:val="00477AEA"/>
    <w:rsid w:val="00483546"/>
    <w:rsid w:val="0049207B"/>
    <w:rsid w:val="00494F0D"/>
    <w:rsid w:val="004B0CD2"/>
    <w:rsid w:val="004B11D6"/>
    <w:rsid w:val="004E1AAB"/>
    <w:rsid w:val="004F2A98"/>
    <w:rsid w:val="00510E50"/>
    <w:rsid w:val="00520856"/>
    <w:rsid w:val="00524BCF"/>
    <w:rsid w:val="0052695B"/>
    <w:rsid w:val="0054246A"/>
    <w:rsid w:val="00560E7C"/>
    <w:rsid w:val="00563F75"/>
    <w:rsid w:val="005649E0"/>
    <w:rsid w:val="005937D1"/>
    <w:rsid w:val="005A3F7B"/>
    <w:rsid w:val="005A7A85"/>
    <w:rsid w:val="005B6A5F"/>
    <w:rsid w:val="005E0438"/>
    <w:rsid w:val="005E2295"/>
    <w:rsid w:val="005E756D"/>
    <w:rsid w:val="005F1EAA"/>
    <w:rsid w:val="006105A6"/>
    <w:rsid w:val="0061264B"/>
    <w:rsid w:val="00621F21"/>
    <w:rsid w:val="006355EB"/>
    <w:rsid w:val="00650975"/>
    <w:rsid w:val="00657A01"/>
    <w:rsid w:val="0066394D"/>
    <w:rsid w:val="00692E66"/>
    <w:rsid w:val="006C4B5E"/>
    <w:rsid w:val="006D6AB0"/>
    <w:rsid w:val="006E1896"/>
    <w:rsid w:val="006E46F7"/>
    <w:rsid w:val="006F45E8"/>
    <w:rsid w:val="0071488E"/>
    <w:rsid w:val="00721E35"/>
    <w:rsid w:val="007A5CD7"/>
    <w:rsid w:val="007A7500"/>
    <w:rsid w:val="007B26CF"/>
    <w:rsid w:val="007D1082"/>
    <w:rsid w:val="007E17B2"/>
    <w:rsid w:val="007E6F68"/>
    <w:rsid w:val="00805E10"/>
    <w:rsid w:val="00812F20"/>
    <w:rsid w:val="00842906"/>
    <w:rsid w:val="00871450"/>
    <w:rsid w:val="0088366F"/>
    <w:rsid w:val="00893AFA"/>
    <w:rsid w:val="008942C4"/>
    <w:rsid w:val="00897B51"/>
    <w:rsid w:val="008C20EE"/>
    <w:rsid w:val="008E372F"/>
    <w:rsid w:val="008F5188"/>
    <w:rsid w:val="009035C1"/>
    <w:rsid w:val="00936052"/>
    <w:rsid w:val="00943C45"/>
    <w:rsid w:val="00952BCE"/>
    <w:rsid w:val="009668B4"/>
    <w:rsid w:val="009865C7"/>
    <w:rsid w:val="009A0AAE"/>
    <w:rsid w:val="009A2AA6"/>
    <w:rsid w:val="009A3F50"/>
    <w:rsid w:val="009C3ED0"/>
    <w:rsid w:val="009D52D9"/>
    <w:rsid w:val="009D6F47"/>
    <w:rsid w:val="009E2478"/>
    <w:rsid w:val="009F3413"/>
    <w:rsid w:val="00A320E5"/>
    <w:rsid w:val="00A5378D"/>
    <w:rsid w:val="00A64543"/>
    <w:rsid w:val="00A76025"/>
    <w:rsid w:val="00A85821"/>
    <w:rsid w:val="00AC17CC"/>
    <w:rsid w:val="00AC3CB6"/>
    <w:rsid w:val="00AD5E98"/>
    <w:rsid w:val="00AE23C9"/>
    <w:rsid w:val="00AF662A"/>
    <w:rsid w:val="00B11009"/>
    <w:rsid w:val="00B2184D"/>
    <w:rsid w:val="00B241C1"/>
    <w:rsid w:val="00B37939"/>
    <w:rsid w:val="00B41155"/>
    <w:rsid w:val="00BC77F9"/>
    <w:rsid w:val="00BD3088"/>
    <w:rsid w:val="00BF2736"/>
    <w:rsid w:val="00BF386A"/>
    <w:rsid w:val="00BF7F4A"/>
    <w:rsid w:val="00C00D8B"/>
    <w:rsid w:val="00C114BB"/>
    <w:rsid w:val="00C11628"/>
    <w:rsid w:val="00C11682"/>
    <w:rsid w:val="00C118E3"/>
    <w:rsid w:val="00C12052"/>
    <w:rsid w:val="00C35915"/>
    <w:rsid w:val="00C360B7"/>
    <w:rsid w:val="00C36E97"/>
    <w:rsid w:val="00C37416"/>
    <w:rsid w:val="00C55D41"/>
    <w:rsid w:val="00C709A1"/>
    <w:rsid w:val="00C72E5A"/>
    <w:rsid w:val="00C81974"/>
    <w:rsid w:val="00C93AB0"/>
    <w:rsid w:val="00CA691F"/>
    <w:rsid w:val="00CB684B"/>
    <w:rsid w:val="00D0316A"/>
    <w:rsid w:val="00D06B02"/>
    <w:rsid w:val="00D13EC5"/>
    <w:rsid w:val="00D171A6"/>
    <w:rsid w:val="00D30B65"/>
    <w:rsid w:val="00D319C7"/>
    <w:rsid w:val="00D512C5"/>
    <w:rsid w:val="00D625F8"/>
    <w:rsid w:val="00D752E4"/>
    <w:rsid w:val="00DA2219"/>
    <w:rsid w:val="00DC6901"/>
    <w:rsid w:val="00DE0BD5"/>
    <w:rsid w:val="00DE3B9F"/>
    <w:rsid w:val="00DE5229"/>
    <w:rsid w:val="00DF6ED8"/>
    <w:rsid w:val="00E558BC"/>
    <w:rsid w:val="00E647AB"/>
    <w:rsid w:val="00E72D9E"/>
    <w:rsid w:val="00E73969"/>
    <w:rsid w:val="00E77309"/>
    <w:rsid w:val="00E840E2"/>
    <w:rsid w:val="00E9205E"/>
    <w:rsid w:val="00EA7F52"/>
    <w:rsid w:val="00EE0ECC"/>
    <w:rsid w:val="00EE5D0E"/>
    <w:rsid w:val="00EF36B8"/>
    <w:rsid w:val="00F16357"/>
    <w:rsid w:val="00F252DB"/>
    <w:rsid w:val="00F30DCA"/>
    <w:rsid w:val="00F52906"/>
    <w:rsid w:val="00F73F73"/>
    <w:rsid w:val="00F75F91"/>
    <w:rsid w:val="00F92018"/>
    <w:rsid w:val="00FC786C"/>
    <w:rsid w:val="00FE2FEA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67BB97F-9C9F-2148-8A3B-CB7D2655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1302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Barootchi</dc:creator>
  <cp:keywords/>
  <dc:description/>
  <cp:lastModifiedBy>Shayan Barootchi</cp:lastModifiedBy>
  <cp:revision>88</cp:revision>
  <dcterms:created xsi:type="dcterms:W3CDTF">2018-02-22T01:06:00Z</dcterms:created>
  <dcterms:modified xsi:type="dcterms:W3CDTF">2018-03-26T01:36:00Z</dcterms:modified>
  <cp:category/>
</cp:coreProperties>
</file>